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63961" w14:textId="77777777" w:rsidR="003615CB" w:rsidRPr="004F5A32" w:rsidRDefault="00B00100" w:rsidP="004F5A32">
      <w:pPr>
        <w:jc w:val="center"/>
        <w:rPr>
          <w:rFonts w:asciiTheme="minorHAnsi" w:hAnsiTheme="minorHAnsi"/>
          <w:b/>
          <w:bCs/>
        </w:rPr>
      </w:pPr>
      <w:r w:rsidRPr="004F5A32">
        <w:rPr>
          <w:rFonts w:asciiTheme="minorHAnsi" w:hAnsiTheme="minorHAnsi"/>
          <w:b/>
          <w:spacing w:val="-1"/>
        </w:rPr>
        <w:t>FOR OFFICIAL</w:t>
      </w:r>
      <w:r w:rsidRPr="004F5A32">
        <w:rPr>
          <w:rFonts w:asciiTheme="minorHAnsi" w:hAnsiTheme="minorHAnsi"/>
          <w:b/>
        </w:rPr>
        <w:t xml:space="preserve"> </w:t>
      </w:r>
      <w:r w:rsidRPr="004F5A32">
        <w:rPr>
          <w:rFonts w:asciiTheme="minorHAnsi" w:hAnsiTheme="minorHAnsi"/>
          <w:b/>
          <w:spacing w:val="-1"/>
        </w:rPr>
        <w:t>USE</w:t>
      </w:r>
      <w:r w:rsidRPr="004F5A32">
        <w:rPr>
          <w:rFonts w:asciiTheme="minorHAnsi" w:hAnsiTheme="minorHAnsi"/>
          <w:b/>
          <w:spacing w:val="3"/>
        </w:rPr>
        <w:t xml:space="preserve"> </w:t>
      </w:r>
      <w:r w:rsidRPr="004F5A32">
        <w:rPr>
          <w:rFonts w:asciiTheme="minorHAnsi" w:hAnsiTheme="minorHAnsi"/>
          <w:b/>
          <w:spacing w:val="-1"/>
        </w:rPr>
        <w:t>ONLY</w:t>
      </w:r>
    </w:p>
    <w:p w14:paraId="361402CD" w14:textId="77777777" w:rsidR="003615CB" w:rsidRDefault="00B00100" w:rsidP="00370635">
      <w:pPr>
        <w:jc w:val="right"/>
        <w:rPr>
          <w:rFonts w:asciiTheme="minorHAnsi" w:hAnsiTheme="minorHAnsi"/>
          <w:spacing w:val="-1"/>
        </w:rPr>
      </w:pPr>
      <w:r>
        <w:rPr>
          <w:rFonts w:asciiTheme="minorHAnsi" w:hAnsiTheme="minorHAnsi"/>
        </w:rPr>
        <w:t>Report No:</w:t>
      </w:r>
      <w:r>
        <w:rPr>
          <w:rFonts w:asciiTheme="minorHAnsi" w:hAnsiTheme="minorHAnsi"/>
          <w:sz w:val="22"/>
          <w:szCs w:val="22"/>
        </w:rPr>
        <w:t xml:space="preserve"> </w:t>
      </w:r>
      <w:r w:rsidR="00FB61BB">
        <w:rPr>
          <w:rFonts w:asciiTheme="minorHAnsi" w:hAnsiTheme="minorHAnsi" w:cs="Times New Roman"/>
          <w:noProof/>
          <w:color w:val="auto"/>
        </w:rPr>
        <w:t>PAD3393</w:t>
      </w:r>
      <w:r>
        <w:rPr>
          <w:rFonts w:asciiTheme="minorHAnsi" w:hAnsiTheme="minorHAnsi"/>
          <w:spacing w:val="-1"/>
        </w:rPr>
        <w:t xml:space="preserve"> </w:t>
      </w:r>
    </w:p>
    <w:p w14:paraId="38BC392B" w14:textId="77777777" w:rsidR="00E94D9A" w:rsidRDefault="00E94D9A" w:rsidP="004F5A32">
      <w:pPr>
        <w:spacing w:after="120"/>
        <w:jc w:val="center"/>
        <w:rPr>
          <w:rFonts w:asciiTheme="minorHAnsi" w:hAnsiTheme="minorHAnsi" w:cs="Times New Roman"/>
          <w:bCs/>
          <w:color w:val="262626" w:themeColor="text1" w:themeTint="D9"/>
          <w:kern w:val="24"/>
        </w:rPr>
      </w:pPr>
    </w:p>
    <w:p w14:paraId="27E9FBBE" w14:textId="77777777" w:rsidR="00140F22" w:rsidRPr="00140F22" w:rsidRDefault="00B00100" w:rsidP="00140F22">
      <w:pPr>
        <w:jc w:val="center"/>
        <w:rPr>
          <w:rFonts w:ascii="Calibri" w:eastAsia="Times New Roman" w:hAnsi="Calibri" w:cs="Times New Roman"/>
          <w:bCs/>
          <w:color w:val="262626"/>
          <w:kern w:val="24"/>
          <w:sz w:val="22"/>
          <w:szCs w:val="22"/>
        </w:rPr>
      </w:pPr>
      <w:r w:rsidRPr="00140F22">
        <w:rPr>
          <w:rFonts w:ascii="Calibri" w:eastAsia="Times New Roman" w:hAnsi="Calibri" w:cs="Times New Roman"/>
          <w:bCs/>
          <w:color w:val="262626"/>
          <w:kern w:val="24"/>
          <w:sz w:val="22"/>
          <w:szCs w:val="22"/>
        </w:rPr>
        <w:t>INTERNATIONAL DEVELOPMENT ASSOCIATION</w:t>
      </w:r>
    </w:p>
    <w:p w14:paraId="566B68AF" w14:textId="77777777" w:rsidR="00140F22" w:rsidRPr="00140F22" w:rsidRDefault="00140F22" w:rsidP="00140F22">
      <w:pPr>
        <w:tabs>
          <w:tab w:val="left" w:pos="6690"/>
        </w:tabs>
        <w:jc w:val="center"/>
        <w:rPr>
          <w:rFonts w:ascii="Calibri" w:eastAsia="Times New Roman" w:hAnsi="Calibri" w:cs="Times New Roman"/>
          <w:bCs/>
          <w:color w:val="262626"/>
          <w:kern w:val="24"/>
          <w:sz w:val="22"/>
          <w:szCs w:val="22"/>
        </w:rPr>
      </w:pPr>
    </w:p>
    <w:p w14:paraId="719BF868" w14:textId="77777777" w:rsidR="00140F22" w:rsidRDefault="00B00100" w:rsidP="00140F22">
      <w:pPr>
        <w:spacing w:line="276" w:lineRule="auto"/>
        <w:jc w:val="center"/>
        <w:rPr>
          <w:rFonts w:ascii="Calibri" w:eastAsia="Times New Roman" w:hAnsi="Calibri" w:cs="Times New Roman"/>
          <w:caps/>
          <w:sz w:val="22"/>
          <w:szCs w:val="22"/>
        </w:rPr>
      </w:pPr>
      <w:r w:rsidRPr="00140F22">
        <w:rPr>
          <w:rFonts w:ascii="Calibri" w:eastAsia="Times New Roman" w:hAnsi="Calibri" w:cs="Times New Roman"/>
          <w:caps/>
          <w:sz w:val="22"/>
          <w:szCs w:val="22"/>
        </w:rPr>
        <w:t>Project Appraisal Document</w:t>
      </w:r>
    </w:p>
    <w:p w14:paraId="0795B122" w14:textId="77777777" w:rsidR="001A2BE0" w:rsidRPr="00140F22" w:rsidRDefault="001A2BE0" w:rsidP="00140F22">
      <w:pPr>
        <w:spacing w:line="276" w:lineRule="auto"/>
        <w:jc w:val="center"/>
        <w:rPr>
          <w:rFonts w:ascii="Calibri" w:eastAsia="Times New Roman" w:hAnsi="Calibri" w:cs="Times New Roman"/>
          <w:caps/>
          <w:sz w:val="22"/>
          <w:szCs w:val="22"/>
        </w:rPr>
      </w:pPr>
    </w:p>
    <w:p w14:paraId="14B928DD" w14:textId="77777777" w:rsidR="00140F22" w:rsidRDefault="00B00100" w:rsidP="00140F22">
      <w:pPr>
        <w:spacing w:line="276" w:lineRule="auto"/>
        <w:jc w:val="center"/>
        <w:rPr>
          <w:rFonts w:ascii="Calibri" w:eastAsia="Times New Roman" w:hAnsi="Calibri" w:cs="Times New Roman"/>
          <w:caps/>
          <w:sz w:val="22"/>
          <w:szCs w:val="22"/>
        </w:rPr>
      </w:pPr>
      <w:r w:rsidRPr="00140F22">
        <w:rPr>
          <w:rFonts w:ascii="Calibri" w:eastAsia="Times New Roman" w:hAnsi="Calibri" w:cs="Times New Roman"/>
          <w:caps/>
          <w:sz w:val="22"/>
          <w:szCs w:val="22"/>
        </w:rPr>
        <w:t>ON PROPOSED CREDITS</w:t>
      </w:r>
    </w:p>
    <w:p w14:paraId="1E617304" w14:textId="77777777" w:rsidR="001A2BE0" w:rsidRPr="00140F22" w:rsidRDefault="001A2BE0" w:rsidP="00140F22">
      <w:pPr>
        <w:spacing w:line="276" w:lineRule="auto"/>
        <w:jc w:val="center"/>
        <w:rPr>
          <w:rFonts w:ascii="Calibri" w:eastAsia="Times New Roman" w:hAnsi="Calibri" w:cs="Times New Roman"/>
          <w:caps/>
          <w:sz w:val="22"/>
          <w:szCs w:val="22"/>
        </w:rPr>
      </w:pPr>
    </w:p>
    <w:p w14:paraId="1B8613EE" w14:textId="77777777" w:rsidR="00140F22" w:rsidRPr="00140F22" w:rsidRDefault="00B00100" w:rsidP="00140F22">
      <w:pPr>
        <w:jc w:val="center"/>
        <w:rPr>
          <w:rFonts w:ascii="Calibri" w:eastAsia="Times New Roman" w:hAnsi="Calibri" w:cs="Times New Roman"/>
          <w:caps/>
          <w:sz w:val="22"/>
          <w:szCs w:val="22"/>
        </w:rPr>
      </w:pPr>
      <w:r w:rsidRPr="008B7E8A">
        <w:rPr>
          <w:rFonts w:ascii="Calibri" w:eastAsia="Times New Roman" w:hAnsi="Calibri" w:cs="Times New Roman"/>
          <w:caps/>
          <w:sz w:val="22"/>
          <w:szCs w:val="22"/>
        </w:rPr>
        <w:t>T</w:t>
      </w:r>
      <w:r w:rsidRPr="00140F22">
        <w:rPr>
          <w:rFonts w:ascii="Calibri" w:eastAsia="Times New Roman" w:hAnsi="Calibri" w:cs="Times New Roman"/>
          <w:caps/>
          <w:sz w:val="22"/>
          <w:szCs w:val="22"/>
        </w:rPr>
        <w:t>O THE</w:t>
      </w:r>
    </w:p>
    <w:p w14:paraId="01B76323" w14:textId="77777777" w:rsidR="00140F22" w:rsidRPr="00140F22" w:rsidRDefault="00140F22" w:rsidP="00140F22">
      <w:pPr>
        <w:jc w:val="center"/>
        <w:rPr>
          <w:rFonts w:ascii="Calibri" w:eastAsia="Times New Roman" w:hAnsi="Calibri" w:cs="Times New Roman"/>
          <w:caps/>
          <w:sz w:val="22"/>
          <w:szCs w:val="22"/>
        </w:rPr>
      </w:pPr>
    </w:p>
    <w:p w14:paraId="7362E8BD" w14:textId="77777777" w:rsidR="00140F22" w:rsidRPr="00140F22" w:rsidRDefault="00B00100" w:rsidP="00140F22">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BENIN IN THE AMOUNT OF </w:t>
      </w:r>
      <w:r w:rsidR="002C103A">
        <w:rPr>
          <w:rFonts w:ascii="Calibri" w:eastAsia="Times New Roman" w:hAnsi="Calibri" w:cs="Times New Roman"/>
          <w:caps/>
          <w:color w:val="auto"/>
          <w:sz w:val="22"/>
          <w:szCs w:val="22"/>
        </w:rPr>
        <w:t xml:space="preserve">eur </w:t>
      </w:r>
      <w:r w:rsidR="00AB2F59">
        <w:rPr>
          <w:rFonts w:ascii="Calibri" w:eastAsia="Times New Roman" w:hAnsi="Calibri" w:cs="Times New Roman"/>
          <w:caps/>
          <w:color w:val="auto"/>
          <w:sz w:val="22"/>
          <w:szCs w:val="22"/>
        </w:rPr>
        <w:t xml:space="preserve">1.9 </w:t>
      </w:r>
      <w:r w:rsidR="00B00EC9">
        <w:rPr>
          <w:rFonts w:ascii="Calibri" w:eastAsia="Times New Roman" w:hAnsi="Calibri" w:cs="Times New Roman"/>
          <w:caps/>
          <w:color w:val="auto"/>
          <w:sz w:val="22"/>
          <w:szCs w:val="22"/>
        </w:rPr>
        <w:t>Million</w:t>
      </w:r>
      <w:r w:rsidRPr="00140F22">
        <w:rPr>
          <w:rFonts w:ascii="Calibri" w:eastAsia="Times New Roman" w:hAnsi="Calibri" w:cs="Times New Roman"/>
          <w:caps/>
          <w:color w:val="auto"/>
          <w:sz w:val="22"/>
          <w:szCs w:val="22"/>
        </w:rPr>
        <w:t xml:space="preserve"> (US$</w:t>
      </w:r>
      <w:r w:rsidR="00A514A6">
        <w:rPr>
          <w:rFonts w:ascii="Calibri" w:eastAsia="Times New Roman" w:hAnsi="Calibri" w:cs="Times New Roman"/>
          <w:caps/>
          <w:color w:val="auto"/>
          <w:sz w:val="22"/>
          <w:szCs w:val="22"/>
        </w:rPr>
        <w:t>2</w:t>
      </w:r>
      <w:r w:rsidR="001A2BE0">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34878F40" w14:textId="77777777" w:rsidR="001A2BE0" w:rsidRPr="00140F22" w:rsidRDefault="00B00100" w:rsidP="001A2BE0">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NIGER IN THE AMOUNT OF </w:t>
      </w:r>
      <w:r>
        <w:rPr>
          <w:rFonts w:ascii="Calibri" w:eastAsia="Times New Roman" w:hAnsi="Calibri" w:cs="Times New Roman"/>
          <w:caps/>
          <w:color w:val="auto"/>
          <w:sz w:val="22"/>
          <w:szCs w:val="22"/>
        </w:rPr>
        <w:t>Eur 4.6 Million</w:t>
      </w:r>
      <w:r w:rsidRPr="00140F22">
        <w:rPr>
          <w:rFonts w:ascii="Calibri" w:eastAsia="Times New Roman" w:hAnsi="Calibri" w:cs="Times New Roman"/>
          <w:caps/>
          <w:color w:val="auto"/>
          <w:sz w:val="22"/>
          <w:szCs w:val="22"/>
        </w:rPr>
        <w:t xml:space="preserve"> (US$5</w:t>
      </w:r>
      <w:r>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4F8F6D14" w14:textId="77777777" w:rsidR="001A2BE0" w:rsidRPr="00140F22" w:rsidRDefault="00B00100" w:rsidP="001A2BE0">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Federal REPUBLIC OF NIGERia IN THE AMOUNT OF </w:t>
      </w:r>
      <w:r>
        <w:rPr>
          <w:rFonts w:ascii="Calibri" w:eastAsia="Times New Roman" w:hAnsi="Calibri" w:cs="Times New Roman"/>
          <w:caps/>
          <w:color w:val="auto"/>
          <w:sz w:val="22"/>
          <w:szCs w:val="22"/>
        </w:rPr>
        <w:t>SDR 55.1 Million</w:t>
      </w:r>
      <w:r w:rsidRPr="00140F22">
        <w:rPr>
          <w:rFonts w:ascii="Calibri" w:eastAsia="Times New Roman" w:hAnsi="Calibri" w:cs="Times New Roman"/>
          <w:caps/>
          <w:color w:val="auto"/>
          <w:sz w:val="22"/>
          <w:szCs w:val="22"/>
        </w:rPr>
        <w:t xml:space="preserve"> (US$</w:t>
      </w:r>
      <w:r>
        <w:rPr>
          <w:rFonts w:ascii="Calibri" w:eastAsia="Times New Roman" w:hAnsi="Calibri" w:cs="Times New Roman"/>
          <w:caps/>
          <w:color w:val="auto"/>
          <w:sz w:val="22"/>
          <w:szCs w:val="22"/>
        </w:rPr>
        <w:t>75.0</w:t>
      </w:r>
      <w:r w:rsidRPr="00140F22">
        <w:rPr>
          <w:rFonts w:ascii="Calibri" w:eastAsia="Times New Roman" w:hAnsi="Calibri" w:cs="Times New Roman"/>
          <w:caps/>
          <w:color w:val="auto"/>
          <w:sz w:val="22"/>
          <w:szCs w:val="22"/>
        </w:rPr>
        <w:t xml:space="preserve"> MILLION EQUIVALENT)</w:t>
      </w:r>
    </w:p>
    <w:p w14:paraId="4C588882" w14:textId="77777777" w:rsidR="00140F22" w:rsidRPr="00140F22" w:rsidRDefault="00B00100" w:rsidP="00140F22">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TOGO IN THE AMOUNT OF </w:t>
      </w:r>
      <w:r w:rsidR="002C103A">
        <w:rPr>
          <w:rFonts w:ascii="Calibri" w:eastAsia="Times New Roman" w:hAnsi="Calibri" w:cs="Times New Roman"/>
          <w:caps/>
          <w:color w:val="auto"/>
          <w:sz w:val="22"/>
          <w:szCs w:val="22"/>
        </w:rPr>
        <w:t>EUR</w:t>
      </w:r>
      <w:r w:rsidR="00AB2F59">
        <w:rPr>
          <w:rFonts w:ascii="Calibri" w:eastAsia="Times New Roman" w:hAnsi="Calibri" w:cs="Times New Roman"/>
          <w:caps/>
          <w:color w:val="auto"/>
          <w:sz w:val="22"/>
          <w:szCs w:val="22"/>
        </w:rPr>
        <w:t xml:space="preserve"> 11</w:t>
      </w:r>
      <w:r w:rsidR="00E72E64">
        <w:rPr>
          <w:rFonts w:ascii="Calibri" w:eastAsia="Times New Roman" w:hAnsi="Calibri" w:cs="Times New Roman"/>
          <w:caps/>
          <w:color w:val="auto"/>
          <w:sz w:val="22"/>
          <w:szCs w:val="22"/>
        </w:rPr>
        <w:t>.0</w:t>
      </w:r>
      <w:r w:rsidR="002C103A">
        <w:rPr>
          <w:rFonts w:ascii="Calibri" w:eastAsia="Times New Roman" w:hAnsi="Calibri" w:cs="Times New Roman"/>
          <w:caps/>
          <w:color w:val="auto"/>
          <w:sz w:val="22"/>
          <w:szCs w:val="22"/>
        </w:rPr>
        <w:t xml:space="preserve"> </w:t>
      </w:r>
      <w:r w:rsidR="00B00EC9">
        <w:rPr>
          <w:rFonts w:ascii="Calibri" w:eastAsia="Times New Roman" w:hAnsi="Calibri" w:cs="Times New Roman"/>
          <w:caps/>
          <w:color w:val="auto"/>
          <w:sz w:val="22"/>
          <w:szCs w:val="22"/>
        </w:rPr>
        <w:t>Million</w:t>
      </w:r>
      <w:r w:rsidRPr="00140F22">
        <w:rPr>
          <w:rFonts w:ascii="Calibri" w:eastAsia="Times New Roman" w:hAnsi="Calibri" w:cs="Times New Roman"/>
          <w:caps/>
          <w:color w:val="auto"/>
          <w:sz w:val="22"/>
          <w:szCs w:val="22"/>
        </w:rPr>
        <w:t xml:space="preserve"> (US$1</w:t>
      </w:r>
      <w:r w:rsidR="00C6570D">
        <w:rPr>
          <w:rFonts w:ascii="Calibri" w:eastAsia="Times New Roman" w:hAnsi="Calibri" w:cs="Times New Roman"/>
          <w:caps/>
          <w:color w:val="auto"/>
          <w:sz w:val="22"/>
          <w:szCs w:val="22"/>
        </w:rPr>
        <w:t>2</w:t>
      </w:r>
      <w:r w:rsidR="001A2BE0">
        <w:rPr>
          <w:rFonts w:ascii="Calibri" w:eastAsia="Times New Roman" w:hAnsi="Calibri" w:cs="Times New Roman"/>
          <w:caps/>
          <w:color w:val="auto"/>
          <w:sz w:val="22"/>
          <w:szCs w:val="22"/>
        </w:rPr>
        <w:t>.</w:t>
      </w:r>
      <w:r w:rsidR="00E72E64">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7B79C0CF" w14:textId="77777777" w:rsidR="00D0110F" w:rsidRDefault="00D0110F" w:rsidP="00865367">
      <w:pPr>
        <w:jc w:val="center"/>
        <w:rPr>
          <w:rFonts w:asciiTheme="minorHAnsi" w:eastAsia="Calibri" w:hAnsiTheme="minorHAnsi" w:cstheme="minorHAnsi"/>
          <w:caps/>
          <w:sz w:val="22"/>
          <w:szCs w:val="22"/>
        </w:rPr>
      </w:pPr>
    </w:p>
    <w:p w14:paraId="08E6C063" w14:textId="77777777" w:rsidR="00D0110F" w:rsidRDefault="00B00100" w:rsidP="00D0110F">
      <w:pPr>
        <w:spacing w:after="120"/>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AND</w:t>
      </w:r>
      <w:r w:rsidR="00D1538D">
        <w:rPr>
          <w:rFonts w:asciiTheme="minorHAnsi" w:eastAsia="Calibri" w:hAnsiTheme="minorHAnsi" w:cstheme="minorHAnsi"/>
          <w:caps/>
          <w:sz w:val="22"/>
          <w:szCs w:val="22"/>
        </w:rPr>
        <w:t xml:space="preserve"> </w:t>
      </w:r>
      <w:r w:rsidRPr="00746F97">
        <w:rPr>
          <w:rFonts w:asciiTheme="minorHAnsi" w:eastAsia="Calibri" w:hAnsiTheme="minorHAnsi" w:cstheme="minorHAnsi"/>
          <w:caps/>
          <w:sz w:val="22"/>
          <w:szCs w:val="22"/>
        </w:rPr>
        <w:t>PROPOSED GRANT</w:t>
      </w:r>
      <w:r w:rsidR="00D1538D">
        <w:rPr>
          <w:rFonts w:asciiTheme="minorHAnsi" w:eastAsia="Calibri" w:hAnsiTheme="minorHAnsi" w:cstheme="minorHAnsi"/>
          <w:caps/>
          <w:sz w:val="22"/>
          <w:szCs w:val="22"/>
        </w:rPr>
        <w:t>s</w:t>
      </w:r>
    </w:p>
    <w:p w14:paraId="176F3AC2" w14:textId="77777777" w:rsidR="00DC6690" w:rsidRDefault="00B00100" w:rsidP="00DC6690">
      <w:pPr>
        <w:spacing w:after="120"/>
        <w:jc w:val="center"/>
        <w:rPr>
          <w:rFonts w:asciiTheme="minorHAnsi" w:eastAsia="Calibri" w:hAnsiTheme="minorHAnsi" w:cstheme="minorHAnsi"/>
          <w:caps/>
          <w:sz w:val="22"/>
          <w:szCs w:val="22"/>
        </w:rPr>
      </w:pPr>
      <w:r>
        <w:rPr>
          <w:rFonts w:asciiTheme="minorHAnsi" w:eastAsia="Calibri" w:hAnsiTheme="minorHAnsi" w:cstheme="minorHAnsi"/>
          <w:caps/>
          <w:sz w:val="22"/>
          <w:szCs w:val="22"/>
        </w:rPr>
        <w:t>To</w:t>
      </w:r>
      <w:r w:rsidR="00B00EC9">
        <w:rPr>
          <w:rFonts w:asciiTheme="minorHAnsi" w:eastAsia="Calibri" w:hAnsiTheme="minorHAnsi" w:cstheme="minorHAnsi"/>
          <w:caps/>
          <w:sz w:val="22"/>
          <w:szCs w:val="22"/>
        </w:rPr>
        <w:t xml:space="preserve"> The</w:t>
      </w:r>
    </w:p>
    <w:p w14:paraId="212DDF13" w14:textId="77777777" w:rsidR="00EF6566" w:rsidRPr="00140F22" w:rsidRDefault="00B00100" w:rsidP="00EF6566">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BENIN IN THE AMOUNT OF </w:t>
      </w:r>
      <w:r w:rsidR="00B00EC9">
        <w:rPr>
          <w:rFonts w:ascii="Calibri" w:eastAsia="Times New Roman" w:hAnsi="Calibri" w:cs="Times New Roman"/>
          <w:caps/>
          <w:color w:val="auto"/>
          <w:sz w:val="22"/>
          <w:szCs w:val="22"/>
        </w:rPr>
        <w:t xml:space="preserve">SDR </w:t>
      </w:r>
      <w:r w:rsidR="000172D1">
        <w:rPr>
          <w:rFonts w:ascii="Calibri" w:eastAsia="Times New Roman" w:hAnsi="Calibri" w:cs="Times New Roman"/>
          <w:caps/>
          <w:color w:val="auto"/>
          <w:sz w:val="22"/>
          <w:szCs w:val="22"/>
        </w:rPr>
        <w:t>3</w:t>
      </w:r>
      <w:r w:rsidR="00E72E64">
        <w:rPr>
          <w:rFonts w:ascii="Calibri" w:eastAsia="Times New Roman" w:hAnsi="Calibri" w:cs="Times New Roman"/>
          <w:caps/>
          <w:color w:val="auto"/>
          <w:sz w:val="22"/>
          <w:szCs w:val="22"/>
        </w:rPr>
        <w:t>.0</w:t>
      </w:r>
      <w:r w:rsidR="00B00EC9">
        <w:rPr>
          <w:rFonts w:ascii="Calibri" w:eastAsia="Times New Roman" w:hAnsi="Calibri" w:cs="Times New Roman"/>
          <w:caps/>
          <w:color w:val="auto"/>
          <w:sz w:val="22"/>
          <w:szCs w:val="22"/>
        </w:rPr>
        <w:t xml:space="preserve"> Million</w:t>
      </w:r>
      <w:r w:rsidR="00B00EC9" w:rsidRPr="00140F22">
        <w:rPr>
          <w:rFonts w:ascii="Calibri" w:eastAsia="Times New Roman" w:hAnsi="Calibri" w:cs="Times New Roman"/>
          <w:caps/>
          <w:color w:val="auto"/>
          <w:sz w:val="22"/>
          <w:szCs w:val="22"/>
        </w:rPr>
        <w:t xml:space="preserve"> </w:t>
      </w:r>
      <w:r w:rsidRPr="00140F22">
        <w:rPr>
          <w:rFonts w:ascii="Calibri" w:eastAsia="Times New Roman" w:hAnsi="Calibri" w:cs="Times New Roman"/>
          <w:caps/>
          <w:color w:val="auto"/>
          <w:sz w:val="22"/>
          <w:szCs w:val="22"/>
        </w:rPr>
        <w:t>(US$</w:t>
      </w:r>
      <w:r w:rsidR="00A514A6">
        <w:rPr>
          <w:rFonts w:ascii="Calibri" w:eastAsia="Times New Roman" w:hAnsi="Calibri" w:cs="Times New Roman"/>
          <w:caps/>
          <w:color w:val="auto"/>
          <w:sz w:val="22"/>
          <w:szCs w:val="22"/>
        </w:rPr>
        <w:t>4</w:t>
      </w:r>
      <w:r w:rsidR="001A2BE0">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77D39106" w14:textId="77777777" w:rsidR="004D149E" w:rsidRPr="00140F22" w:rsidRDefault="00B00100" w:rsidP="004D149E">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THE GAMBIA IN THE AMOUNT OF </w:t>
      </w:r>
      <w:r>
        <w:rPr>
          <w:rFonts w:ascii="Calibri" w:eastAsia="Times New Roman" w:hAnsi="Calibri" w:cs="Times New Roman"/>
          <w:caps/>
          <w:color w:val="auto"/>
          <w:sz w:val="22"/>
          <w:szCs w:val="22"/>
        </w:rPr>
        <w:t xml:space="preserve">SDR </w:t>
      </w:r>
      <w:r w:rsidRPr="007A6EF9">
        <w:rPr>
          <w:rFonts w:ascii="Calibri" w:eastAsia="Times New Roman" w:hAnsi="Calibri" w:cs="Times New Roman"/>
          <w:caps/>
          <w:color w:val="auto"/>
          <w:sz w:val="22"/>
          <w:szCs w:val="22"/>
        </w:rPr>
        <w:t>8</w:t>
      </w:r>
      <w:r>
        <w:rPr>
          <w:rFonts w:ascii="Calibri" w:eastAsia="Times New Roman" w:hAnsi="Calibri" w:cs="Times New Roman"/>
          <w:caps/>
          <w:color w:val="auto"/>
          <w:sz w:val="22"/>
          <w:szCs w:val="22"/>
        </w:rPr>
        <w:t>.9 Million</w:t>
      </w:r>
      <w:r w:rsidRPr="00140F22">
        <w:rPr>
          <w:rFonts w:ascii="Calibri" w:eastAsia="Times New Roman" w:hAnsi="Calibri" w:cs="Times New Roman"/>
          <w:caps/>
          <w:color w:val="auto"/>
          <w:sz w:val="22"/>
          <w:szCs w:val="22"/>
        </w:rPr>
        <w:t xml:space="preserve"> (US$12</w:t>
      </w:r>
      <w:r>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0A6F8B12" w14:textId="77777777" w:rsidR="001A2BE0" w:rsidRPr="00140F22" w:rsidRDefault="00B00100" w:rsidP="001A2BE0">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NIGER IN THE AMOUNT OF </w:t>
      </w:r>
      <w:r>
        <w:rPr>
          <w:rFonts w:ascii="Calibri" w:eastAsia="Times New Roman" w:hAnsi="Calibri" w:cs="Times New Roman"/>
          <w:caps/>
          <w:color w:val="auto"/>
          <w:sz w:val="22"/>
          <w:szCs w:val="22"/>
        </w:rPr>
        <w:t>SDR 7.4 Million</w:t>
      </w:r>
      <w:r w:rsidRPr="00140F22">
        <w:rPr>
          <w:rFonts w:ascii="Calibri" w:eastAsia="Times New Roman" w:hAnsi="Calibri" w:cs="Times New Roman"/>
          <w:caps/>
          <w:color w:val="auto"/>
          <w:sz w:val="22"/>
          <w:szCs w:val="22"/>
        </w:rPr>
        <w:t xml:space="preserve"> (US$1</w:t>
      </w:r>
      <w:r>
        <w:rPr>
          <w:rFonts w:ascii="Calibri" w:eastAsia="Times New Roman" w:hAnsi="Calibri" w:cs="Times New Roman"/>
          <w:caps/>
          <w:color w:val="auto"/>
          <w:sz w:val="22"/>
          <w:szCs w:val="22"/>
        </w:rPr>
        <w:t>0.0</w:t>
      </w:r>
      <w:r w:rsidRPr="00140F22">
        <w:rPr>
          <w:rFonts w:ascii="Calibri" w:eastAsia="Times New Roman" w:hAnsi="Calibri" w:cs="Times New Roman"/>
          <w:caps/>
          <w:color w:val="auto"/>
          <w:sz w:val="22"/>
          <w:szCs w:val="22"/>
        </w:rPr>
        <w:t xml:space="preserve"> MILLION EQUIVALENT)</w:t>
      </w:r>
    </w:p>
    <w:p w14:paraId="7436D6A0" w14:textId="77777777" w:rsidR="00EF6566" w:rsidRPr="00140F22" w:rsidRDefault="00B00100" w:rsidP="00EF6566">
      <w:pPr>
        <w:jc w:val="center"/>
        <w:rPr>
          <w:rFonts w:ascii="Calibri" w:eastAsia="Times New Roman" w:hAnsi="Calibri" w:cs="Times New Roman"/>
          <w:caps/>
          <w:color w:val="auto"/>
          <w:sz w:val="22"/>
          <w:szCs w:val="22"/>
        </w:rPr>
      </w:pPr>
      <w:r w:rsidRPr="00140F22">
        <w:rPr>
          <w:rFonts w:ascii="Calibri" w:eastAsia="Times New Roman" w:hAnsi="Calibri" w:cs="Times New Roman"/>
          <w:caps/>
          <w:color w:val="auto"/>
          <w:sz w:val="22"/>
          <w:szCs w:val="22"/>
        </w:rPr>
        <w:t xml:space="preserve">REPUBLIC OF TOGO IN THE AMOUNT OF </w:t>
      </w:r>
      <w:r w:rsidR="00B00EC9">
        <w:rPr>
          <w:rFonts w:ascii="Calibri" w:eastAsia="Times New Roman" w:hAnsi="Calibri" w:cs="Times New Roman"/>
          <w:caps/>
          <w:color w:val="auto"/>
          <w:sz w:val="22"/>
          <w:szCs w:val="22"/>
        </w:rPr>
        <w:t xml:space="preserve">SDR </w:t>
      </w:r>
      <w:r w:rsidR="006C18EA">
        <w:rPr>
          <w:rFonts w:ascii="Calibri" w:eastAsia="Times New Roman" w:hAnsi="Calibri" w:cs="Times New Roman"/>
          <w:caps/>
          <w:color w:val="auto"/>
          <w:sz w:val="22"/>
          <w:szCs w:val="22"/>
        </w:rPr>
        <w:t>4.5</w:t>
      </w:r>
      <w:r w:rsidR="00B00EC9">
        <w:rPr>
          <w:rFonts w:ascii="Calibri" w:eastAsia="Times New Roman" w:hAnsi="Calibri" w:cs="Times New Roman"/>
          <w:caps/>
          <w:color w:val="auto"/>
          <w:sz w:val="22"/>
          <w:szCs w:val="22"/>
        </w:rPr>
        <w:t xml:space="preserve"> Million</w:t>
      </w:r>
      <w:r w:rsidR="00B00EC9" w:rsidRPr="00140F22">
        <w:rPr>
          <w:rFonts w:ascii="Calibri" w:eastAsia="Times New Roman" w:hAnsi="Calibri" w:cs="Times New Roman"/>
          <w:caps/>
          <w:color w:val="auto"/>
          <w:sz w:val="22"/>
          <w:szCs w:val="22"/>
        </w:rPr>
        <w:t xml:space="preserve"> </w:t>
      </w:r>
      <w:r w:rsidRPr="00140F22">
        <w:rPr>
          <w:rFonts w:ascii="Calibri" w:eastAsia="Times New Roman" w:hAnsi="Calibri" w:cs="Times New Roman"/>
          <w:caps/>
          <w:color w:val="auto"/>
          <w:sz w:val="22"/>
          <w:szCs w:val="22"/>
        </w:rPr>
        <w:t>(US$</w:t>
      </w:r>
      <w:r w:rsidR="00C6570D">
        <w:rPr>
          <w:rFonts w:ascii="Calibri" w:eastAsia="Times New Roman" w:hAnsi="Calibri" w:cs="Times New Roman"/>
          <w:caps/>
          <w:color w:val="auto"/>
          <w:sz w:val="22"/>
          <w:szCs w:val="22"/>
        </w:rPr>
        <w:t>6</w:t>
      </w:r>
      <w:r w:rsidR="001A2BE0">
        <w:rPr>
          <w:rFonts w:ascii="Calibri" w:eastAsia="Times New Roman" w:hAnsi="Calibri" w:cs="Times New Roman"/>
          <w:caps/>
          <w:color w:val="auto"/>
          <w:sz w:val="22"/>
          <w:szCs w:val="22"/>
        </w:rPr>
        <w:t>.0</w:t>
      </w:r>
      <w:r w:rsidRPr="00140F22">
        <w:rPr>
          <w:rFonts w:ascii="Calibri" w:eastAsia="Times New Roman" w:hAnsi="Calibri" w:cs="Times New Roman"/>
          <w:caps/>
          <w:color w:val="auto"/>
          <w:sz w:val="22"/>
          <w:szCs w:val="22"/>
        </w:rPr>
        <w:t xml:space="preserve"> MILLION EQUIVALENT)</w:t>
      </w:r>
    </w:p>
    <w:p w14:paraId="76D4B4F4" w14:textId="77777777" w:rsidR="00865367" w:rsidRDefault="00B00100" w:rsidP="00F10BBD">
      <w:pPr>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 xml:space="preserve">association of african </w:t>
      </w:r>
      <w:r w:rsidR="00CB7A35" w:rsidRPr="00746F97">
        <w:rPr>
          <w:rFonts w:asciiTheme="minorHAnsi" w:eastAsia="Calibri" w:hAnsiTheme="minorHAnsi" w:cstheme="minorHAnsi"/>
          <w:caps/>
          <w:sz w:val="22"/>
          <w:szCs w:val="22"/>
        </w:rPr>
        <w:t>UNIVERSITIES IN</w:t>
      </w:r>
      <w:r w:rsidRPr="00746F97">
        <w:rPr>
          <w:rFonts w:asciiTheme="minorHAnsi" w:eastAsia="Calibri" w:hAnsiTheme="minorHAnsi" w:cstheme="minorHAnsi"/>
          <w:caps/>
          <w:sz w:val="22"/>
          <w:szCs w:val="22"/>
        </w:rPr>
        <w:t xml:space="preserve"> the amount of SDR </w:t>
      </w:r>
      <w:r w:rsidR="003E4ABD">
        <w:rPr>
          <w:rFonts w:asciiTheme="minorHAnsi" w:eastAsia="Calibri" w:hAnsiTheme="minorHAnsi" w:cstheme="minorHAnsi"/>
          <w:caps/>
          <w:sz w:val="22"/>
          <w:szCs w:val="22"/>
        </w:rPr>
        <w:t>3.7</w:t>
      </w:r>
      <w:r w:rsidRPr="00746F97">
        <w:rPr>
          <w:rFonts w:asciiTheme="minorHAnsi" w:eastAsia="Calibri" w:hAnsiTheme="minorHAnsi" w:cstheme="minorHAnsi"/>
          <w:caps/>
          <w:sz w:val="22"/>
          <w:szCs w:val="22"/>
        </w:rPr>
        <w:t xml:space="preserve"> </w:t>
      </w:r>
      <w:r>
        <w:rPr>
          <w:rFonts w:asciiTheme="minorHAnsi" w:eastAsia="Calibri" w:hAnsiTheme="minorHAnsi" w:cstheme="minorHAnsi"/>
          <w:caps/>
          <w:sz w:val="22"/>
          <w:szCs w:val="22"/>
        </w:rPr>
        <w:t>million</w:t>
      </w:r>
    </w:p>
    <w:p w14:paraId="592EE628" w14:textId="77777777" w:rsidR="00865367" w:rsidRDefault="00B00100" w:rsidP="00865367">
      <w:pPr>
        <w:jc w:val="center"/>
        <w:rPr>
          <w:rFonts w:asciiTheme="minorHAnsi" w:eastAsia="Calibri" w:hAnsiTheme="minorHAnsi" w:cstheme="minorHAnsi"/>
          <w:caps/>
          <w:sz w:val="22"/>
          <w:szCs w:val="22"/>
        </w:rPr>
      </w:pPr>
      <w:r w:rsidRPr="00746F97">
        <w:rPr>
          <w:rFonts w:asciiTheme="minorHAnsi" w:eastAsia="Calibri" w:hAnsiTheme="minorHAnsi" w:cstheme="minorHAnsi"/>
          <w:caps/>
          <w:sz w:val="22"/>
          <w:szCs w:val="22"/>
        </w:rPr>
        <w:t>(US$</w:t>
      </w:r>
      <w:r w:rsidR="00DC6690">
        <w:rPr>
          <w:rFonts w:asciiTheme="minorHAnsi" w:eastAsia="Calibri" w:hAnsiTheme="minorHAnsi" w:cstheme="minorHAnsi"/>
          <w:caps/>
          <w:sz w:val="22"/>
          <w:szCs w:val="22"/>
        </w:rPr>
        <w:t>5</w:t>
      </w:r>
      <w:r w:rsidRPr="00746F97">
        <w:rPr>
          <w:rFonts w:asciiTheme="minorHAnsi" w:eastAsia="Calibri" w:hAnsiTheme="minorHAnsi" w:cstheme="minorHAnsi"/>
          <w:caps/>
          <w:sz w:val="22"/>
          <w:szCs w:val="22"/>
        </w:rPr>
        <w:t xml:space="preserve"> million Equivalent)</w:t>
      </w:r>
    </w:p>
    <w:p w14:paraId="77406D8F" w14:textId="77777777" w:rsidR="00865367" w:rsidRPr="00746F97" w:rsidRDefault="00865367" w:rsidP="00865367">
      <w:pPr>
        <w:spacing w:after="120"/>
        <w:jc w:val="center"/>
        <w:rPr>
          <w:rFonts w:asciiTheme="minorHAnsi" w:eastAsia="Calibri,Times New Roman" w:hAnsiTheme="minorHAnsi" w:cstheme="minorHAnsi"/>
          <w:caps/>
          <w:sz w:val="22"/>
          <w:szCs w:val="22"/>
        </w:rPr>
      </w:pPr>
    </w:p>
    <w:p w14:paraId="7DB80FC4" w14:textId="2FBF615C" w:rsidR="00865367" w:rsidRPr="00746F97" w:rsidRDefault="00B00100" w:rsidP="00865367">
      <w:pPr>
        <w:spacing w:after="120"/>
        <w:jc w:val="center"/>
        <w:rPr>
          <w:rFonts w:asciiTheme="minorHAnsi" w:eastAsia="Calibri,Times New Roman" w:hAnsiTheme="minorHAnsi" w:cstheme="minorHAnsi"/>
          <w:caps/>
          <w:sz w:val="22"/>
          <w:szCs w:val="22"/>
        </w:rPr>
      </w:pPr>
      <w:r w:rsidRPr="00746F97">
        <w:rPr>
          <w:rFonts w:asciiTheme="minorHAnsi" w:eastAsia="Calibri" w:hAnsiTheme="minorHAnsi" w:cstheme="minorHAnsi"/>
          <w:caps/>
          <w:sz w:val="22"/>
          <w:szCs w:val="22"/>
        </w:rPr>
        <w:t xml:space="preserve">FOR </w:t>
      </w:r>
      <w:r w:rsidR="0085616C">
        <w:rPr>
          <w:rFonts w:asciiTheme="minorHAnsi" w:eastAsia="Calibri" w:hAnsiTheme="minorHAnsi" w:cstheme="minorHAnsi"/>
          <w:caps/>
          <w:sz w:val="22"/>
          <w:szCs w:val="22"/>
        </w:rPr>
        <w:t>A</w:t>
      </w:r>
    </w:p>
    <w:p w14:paraId="1941C61F" w14:textId="77777777" w:rsidR="00140F22" w:rsidRPr="00140F22" w:rsidRDefault="00140F22" w:rsidP="00140F22">
      <w:pPr>
        <w:jc w:val="center"/>
        <w:rPr>
          <w:rFonts w:ascii="Calibri" w:eastAsia="Times New Roman" w:hAnsi="Calibri" w:cs="Times New Roman"/>
          <w:caps/>
          <w:color w:val="auto"/>
          <w:sz w:val="22"/>
          <w:szCs w:val="22"/>
        </w:rPr>
      </w:pPr>
    </w:p>
    <w:p w14:paraId="0B5A46BE" w14:textId="77777777" w:rsidR="00140F22" w:rsidRDefault="00B00100" w:rsidP="00140F22">
      <w:pPr>
        <w:ind w:left="521" w:right="523"/>
        <w:jc w:val="center"/>
        <w:rPr>
          <w:rFonts w:ascii="Calibri" w:eastAsia="Times New Roman" w:hAnsi="Calibri" w:cs="Times New Roman"/>
          <w:noProof/>
          <w:color w:val="auto"/>
          <w:sz w:val="22"/>
          <w:szCs w:val="22"/>
        </w:rPr>
      </w:pPr>
      <w:r w:rsidRPr="00140F22">
        <w:rPr>
          <w:rFonts w:ascii="Calibri" w:eastAsia="Times New Roman" w:hAnsi="Calibri" w:cs="Times New Roman"/>
          <w:noProof/>
          <w:color w:val="auto"/>
          <w:sz w:val="22"/>
          <w:szCs w:val="22"/>
        </w:rPr>
        <w:t>SECOND AFRICA HIGHER EDUCATION CENTERS OF EXCELLENCE FOR DEVELOPMENT IMPACT</w:t>
      </w:r>
      <w:r w:rsidR="00971975">
        <w:rPr>
          <w:rFonts w:ascii="Calibri" w:eastAsia="Times New Roman" w:hAnsi="Calibri" w:cs="Times New Roman"/>
          <w:noProof/>
          <w:color w:val="auto"/>
          <w:sz w:val="22"/>
          <w:szCs w:val="22"/>
        </w:rPr>
        <w:t xml:space="preserve"> PROJECT</w:t>
      </w:r>
    </w:p>
    <w:p w14:paraId="21589256" w14:textId="77777777" w:rsidR="00971975" w:rsidRPr="00140F22" w:rsidRDefault="00971975" w:rsidP="00140F22">
      <w:pPr>
        <w:ind w:left="521" w:right="523"/>
        <w:jc w:val="center"/>
        <w:rPr>
          <w:rFonts w:ascii="Calibri" w:eastAsia="Times New Roman" w:hAnsi="Calibri" w:cs="Times New Roman"/>
          <w:caps/>
          <w:sz w:val="22"/>
          <w:szCs w:val="22"/>
        </w:rPr>
      </w:pPr>
    </w:p>
    <w:p w14:paraId="5DF2A044" w14:textId="77777777" w:rsidR="003615CB" w:rsidRPr="00381959" w:rsidRDefault="00B00100" w:rsidP="00CF0936">
      <w:pPr>
        <w:ind w:left="518" w:right="518"/>
        <w:jc w:val="center"/>
        <w:rPr>
          <w:rFonts w:asciiTheme="minorHAnsi" w:eastAsia="Times New Roman" w:hAnsiTheme="minorHAnsi" w:cs="Times New Roman"/>
          <w:color w:val="auto"/>
        </w:rPr>
      </w:pPr>
      <w:r>
        <w:rPr>
          <w:rFonts w:asciiTheme="minorHAnsi" w:hAnsiTheme="minorHAnsi"/>
          <w:color w:val="auto"/>
          <w:spacing w:val="-1"/>
        </w:rPr>
        <w:t xml:space="preserve">November </w:t>
      </w:r>
      <w:r w:rsidR="00705C12">
        <w:rPr>
          <w:rFonts w:asciiTheme="minorHAnsi" w:hAnsiTheme="minorHAnsi"/>
          <w:color w:val="auto"/>
          <w:spacing w:val="-1"/>
        </w:rPr>
        <w:t>5</w:t>
      </w:r>
      <w:r>
        <w:rPr>
          <w:rFonts w:asciiTheme="minorHAnsi" w:hAnsiTheme="minorHAnsi"/>
          <w:color w:val="auto"/>
          <w:spacing w:val="-1"/>
        </w:rPr>
        <w:t>, 2019</w:t>
      </w:r>
    </w:p>
    <w:p w14:paraId="3FFB454B" w14:textId="77777777" w:rsidR="001A0547" w:rsidRDefault="001A0547" w:rsidP="008A1F8C">
      <w:pPr>
        <w:ind w:left="-270"/>
        <w:rPr>
          <w:rFonts w:asciiTheme="minorHAnsi" w:hAnsiTheme="minorHAnsi" w:cs="Times New Roman"/>
          <w:noProof/>
        </w:rPr>
      </w:pPr>
    </w:p>
    <w:p w14:paraId="259E1A00" w14:textId="77777777" w:rsidR="001A2BE0" w:rsidRDefault="001A2BE0" w:rsidP="008A1F8C">
      <w:pPr>
        <w:ind w:left="-270"/>
        <w:rPr>
          <w:rFonts w:asciiTheme="minorHAnsi" w:hAnsiTheme="minorHAnsi" w:cs="Times New Roman"/>
          <w:noProof/>
        </w:rPr>
      </w:pPr>
    </w:p>
    <w:p w14:paraId="3D583DFA" w14:textId="77777777" w:rsidR="001A2BE0" w:rsidRDefault="001A2BE0" w:rsidP="008A1F8C">
      <w:pPr>
        <w:ind w:left="-270"/>
        <w:rPr>
          <w:rFonts w:asciiTheme="minorHAnsi" w:hAnsiTheme="minorHAnsi" w:cs="Times New Roman"/>
          <w:noProof/>
        </w:rPr>
      </w:pPr>
    </w:p>
    <w:p w14:paraId="7D4E80B3" w14:textId="77777777" w:rsidR="003615CB" w:rsidRPr="008E0DF5" w:rsidRDefault="00B00100" w:rsidP="008A1F8C">
      <w:pPr>
        <w:ind w:left="-270"/>
        <w:rPr>
          <w:rFonts w:asciiTheme="minorHAnsi" w:hAnsiTheme="minorHAnsi" w:cs="Times New Roman"/>
        </w:rPr>
      </w:pPr>
      <w:r w:rsidRPr="008E0DF5">
        <w:rPr>
          <w:rFonts w:asciiTheme="minorHAnsi" w:hAnsiTheme="minorHAnsi" w:cs="Times New Roman"/>
          <w:noProof/>
        </w:rPr>
        <w:t>Education Global Practice</w:t>
      </w:r>
    </w:p>
    <w:p w14:paraId="47AC4DE9" w14:textId="77777777" w:rsidR="003615CB" w:rsidRPr="008E0DF5" w:rsidRDefault="00B00100" w:rsidP="008A1F8C">
      <w:pPr>
        <w:ind w:left="-270"/>
        <w:rPr>
          <w:rFonts w:asciiTheme="minorHAnsi" w:hAnsiTheme="minorHAnsi" w:cs="Times New Roman"/>
        </w:rPr>
      </w:pPr>
      <w:r>
        <w:rPr>
          <w:rFonts w:asciiTheme="minorHAnsi" w:hAnsiTheme="minorHAnsi" w:cs="Times New Roman"/>
          <w:noProof/>
        </w:rPr>
        <w:t>Africa Region</w:t>
      </w:r>
    </w:p>
    <w:p w14:paraId="3835B94A" w14:textId="77777777" w:rsidR="003615CB" w:rsidRDefault="00B00100" w:rsidP="00370635">
      <w:pPr>
        <w:ind w:left="-288"/>
        <w:jc w:val="center"/>
        <w:rPr>
          <w:rFonts w:asciiTheme="minorHAnsi" w:hAnsiTheme="minorHAnsi"/>
          <w:szCs w:val="22"/>
        </w:rPr>
      </w:pPr>
      <w:r>
        <w:rPr>
          <w:rFonts w:ascii="Times New Roman" w:eastAsiaTheme="minorHAnsi" w:hAnsi="Times New Roman" w:cs="Times New Roman"/>
          <w:noProof/>
          <w:color w:val="auto"/>
        </w:rPr>
        <mc:AlternateContent>
          <mc:Choice Requires="wps">
            <w:drawing>
              <wp:inline distT="0" distB="0" distL="0" distR="0" wp14:anchorId="1583BA54" wp14:editId="798FE44E">
                <wp:extent cx="6134100" cy="561975"/>
                <wp:effectExtent l="0" t="0" r="19050" b="28575"/>
                <wp:docPr id="32809" name="Rectangle 32809"/>
                <wp:cNvGraphicFramePr/>
                <a:graphic xmlns:a="http://schemas.openxmlformats.org/drawingml/2006/main">
                  <a:graphicData uri="http://schemas.microsoft.com/office/word/2010/wordprocessingShape">
                    <wps:wsp>
                      <wps:cNvSpPr/>
                      <wps:spPr>
                        <a:xfrm>
                          <a:off x="0" y="0"/>
                          <a:ext cx="6134100" cy="5619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1140F" w14:textId="77777777" w:rsidR="00D936A3" w:rsidRDefault="00B00100"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1583BA54" id="Rectangle 32809" o:spid="_x0000_s1026" style="width:483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" fillcolor="white [3212]" strokecolor="#d8d8d8 [2732]" strokeweight="1pt">
                <v:textbox>
                  <w:txbxContent>
                    <w:p w14:paraId="7A71140F" w14:textId="77777777" w:rsidR="00D936A3" w:rsidRDefault="00B00100"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v:textbox>
                <w10:anchorlock/>
              </v:rect>
            </w:pict>
          </mc:Fallback>
        </mc:AlternateContent>
      </w:r>
    </w:p>
    <w:p w14:paraId="001216F7" w14:textId="77777777" w:rsidR="003615CB" w:rsidRDefault="003615CB" w:rsidP="00370635">
      <w:pPr>
        <w:spacing w:line="14" w:lineRule="exact"/>
        <w:rPr>
          <w:rFonts w:asciiTheme="minorHAnsi" w:hAnsiTheme="minorHAnsi"/>
          <w:szCs w:val="22"/>
        </w:rPr>
      </w:pPr>
    </w:p>
    <w:p w14:paraId="5107B55B" w14:textId="77777777" w:rsidR="003615CB" w:rsidRDefault="003615CB" w:rsidP="00370635">
      <w:pPr>
        <w:spacing w:line="14" w:lineRule="exact"/>
        <w:rPr>
          <w:rFonts w:asciiTheme="minorHAnsi" w:hAnsiTheme="minorHAnsi"/>
          <w:szCs w:val="22"/>
        </w:rPr>
      </w:pPr>
    </w:p>
    <w:p w14:paraId="2FC543AB" w14:textId="77777777" w:rsidR="003615CB" w:rsidRDefault="003615CB" w:rsidP="00370635">
      <w:pPr>
        <w:rPr>
          <w:rFonts w:asciiTheme="minorHAnsi" w:hAnsiTheme="minorHAnsi"/>
          <w:szCs w:val="22"/>
        </w:rPr>
      </w:pPr>
    </w:p>
    <w:sdt>
      <w:sdtPr>
        <w:id w:val="579876008"/>
        <w:lock w:val="sdtContentLocked"/>
        <w:placeholder>
          <w:docPart w:val="DefaultPlaceholder_1081868574"/>
        </w:placeholder>
      </w:sdtPr>
      <w:sdtEndPr/>
      <w:sdtContent>
        <w:p w14:paraId="3DC1D5E8" w14:textId="77777777" w:rsidR="003615CB" w:rsidRDefault="00B00100" w:rsidP="009B7B18">
          <w:pPr>
            <w:pStyle w:val="Normal1"/>
            <w:spacing w:after="0" w:line="14" w:lineRule="exact"/>
          </w:pPr>
          <w:r>
            <w:t xml:space="preserve"> </w:t>
          </w:r>
        </w:p>
      </w:sdtContent>
    </w:sdt>
    <w:p w14:paraId="5037F681" w14:textId="77777777" w:rsidR="00370635" w:rsidRDefault="00370635" w:rsidP="00370635">
      <w:pPr>
        <w:pStyle w:val="Normal1"/>
        <w:spacing w:after="0" w:line="240" w:lineRule="auto"/>
        <w:sectPr w:rsidR="00370635" w:rsidSect="001A6568">
          <w:headerReference w:type="even" r:id="rId11"/>
          <w:headerReference w:type="default" r:id="rId12"/>
          <w:footerReference w:type="default" r:id="rId13"/>
          <w:headerReference w:type="first" r:id="rId14"/>
          <w:pgSz w:w="12240" w:h="15840" w:code="1"/>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0C3959" w14:paraId="65DA67E3" w14:textId="77777777" w:rsidTr="00005F5F">
        <w:trPr>
          <w:jc w:val="center"/>
        </w:trPr>
        <w:tc>
          <w:tcPr>
            <w:tcW w:w="9450" w:type="dxa"/>
            <w:vAlign w:val="center"/>
          </w:tcPr>
          <w:p w14:paraId="0DF888CF" w14:textId="77777777" w:rsidR="003615CB" w:rsidRDefault="00B00100" w:rsidP="00370635">
            <w:pPr>
              <w:jc w:val="center"/>
              <w:rPr>
                <w:rFonts w:asciiTheme="minorHAnsi" w:hAnsiTheme="minorHAnsi" w:cs="Times New Roman"/>
              </w:rPr>
            </w:pPr>
            <w:r>
              <w:rPr>
                <w:noProof/>
              </w:rPr>
              <w:lastRenderedPageBreak/>
              <mc:AlternateContent>
                <mc:Choice Requires="wps">
                  <w:drawing>
                    <wp:anchor distT="0" distB="0" distL="114300" distR="114300" simplePos="0" relativeHeight="251658241" behindDoc="0" locked="0" layoutInCell="1" allowOverlap="1" wp14:anchorId="20368298" wp14:editId="663CB73D">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E16EE4" id="Straight Connector 24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Pr>
                <w:rFonts w:asciiTheme="minorHAnsi" w:hAnsiTheme="minorHAnsi" w:cs="Times New Roman"/>
              </w:rPr>
              <w:t xml:space="preserve">CURRENCY EQUIVALENTS </w:t>
            </w:r>
          </w:p>
          <w:p w14:paraId="12A52DCA" w14:textId="77777777" w:rsidR="003615CB" w:rsidRDefault="003615CB" w:rsidP="00370635">
            <w:pPr>
              <w:jc w:val="center"/>
              <w:rPr>
                <w:rFonts w:asciiTheme="minorHAnsi" w:hAnsiTheme="minorHAnsi" w:cs="Times New Roman"/>
              </w:rPr>
            </w:pPr>
          </w:p>
        </w:tc>
      </w:tr>
      <w:tr w:rsidR="000C3959" w14:paraId="00AFDA78" w14:textId="77777777" w:rsidTr="00005F5F">
        <w:trPr>
          <w:trHeight w:val="288"/>
          <w:jc w:val="center"/>
        </w:trPr>
        <w:tc>
          <w:tcPr>
            <w:tcW w:w="9450" w:type="dxa"/>
            <w:vAlign w:val="center"/>
            <w:hideMark/>
          </w:tcPr>
          <w:p w14:paraId="06D05093" w14:textId="77777777" w:rsidR="003615CB" w:rsidRDefault="00B00100" w:rsidP="00370635">
            <w:pPr>
              <w:jc w:val="center"/>
              <w:rPr>
                <w:rFonts w:asciiTheme="minorHAnsi" w:hAnsiTheme="minorHAnsi" w:cs="Times New Roman"/>
                <w:color w:val="595959" w:themeColor="text1" w:themeTint="A6"/>
              </w:rPr>
            </w:pPr>
            <w:r w:rsidRPr="00DA01D5">
              <w:rPr>
                <w:rFonts w:asciiTheme="minorHAnsi" w:hAnsiTheme="minorHAnsi" w:cs="Times New Roman"/>
                <w:color w:val="auto"/>
              </w:rPr>
              <w:t xml:space="preserve">Exchange Rate Effective </w:t>
            </w:r>
            <w:r w:rsidR="008B26AC" w:rsidRPr="00DA01D5">
              <w:rPr>
                <w:rFonts w:asciiTheme="minorHAnsi" w:hAnsiTheme="minorHAnsi" w:cs="Times New Roman"/>
                <w:noProof/>
                <w:color w:val="auto"/>
              </w:rPr>
              <w:t>September 30</w:t>
            </w:r>
            <w:r w:rsidRPr="00DA01D5">
              <w:rPr>
                <w:rFonts w:asciiTheme="minorHAnsi" w:hAnsiTheme="minorHAnsi" w:cs="Times New Roman"/>
                <w:noProof/>
                <w:color w:val="auto"/>
              </w:rPr>
              <w:t>, 2019</w:t>
            </w:r>
          </w:p>
        </w:tc>
      </w:tr>
      <w:tr w:rsidR="000C3959" w14:paraId="04B7FDCC" w14:textId="77777777" w:rsidTr="00005F5F">
        <w:trPr>
          <w:trHeight w:val="20"/>
          <w:jc w:val="center"/>
        </w:trPr>
        <w:tc>
          <w:tcPr>
            <w:tcW w:w="9450" w:type="dxa"/>
            <w:vAlign w:val="center"/>
          </w:tcPr>
          <w:p w14:paraId="755CD082" w14:textId="77777777" w:rsidR="003615CB" w:rsidRDefault="003615CB" w:rsidP="00370635">
            <w:pPr>
              <w:jc w:val="center"/>
              <w:rPr>
                <w:rFonts w:asciiTheme="minorHAnsi" w:hAnsiTheme="minorHAnsi" w:cs="Times New Roman"/>
              </w:rPr>
            </w:pPr>
          </w:p>
        </w:tc>
      </w:tr>
      <w:tr w:rsidR="000C3959" w14:paraId="079D60A1" w14:textId="77777777" w:rsidTr="00005F5F">
        <w:trPr>
          <w:jc w:val="center"/>
        </w:trPr>
        <w:tc>
          <w:tcPr>
            <w:tcW w:w="9450" w:type="dxa"/>
            <w:vAlign w:val="center"/>
            <w:hideMark/>
          </w:tcPr>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417"/>
            </w:tblGrid>
            <w:tr w:rsidR="000C3959" w14:paraId="36BE7CE6" w14:textId="77777777" w:rsidTr="00DA01D5">
              <w:trPr>
                <w:trHeight w:val="441"/>
              </w:trPr>
              <w:tc>
                <w:tcPr>
                  <w:tcW w:w="5654" w:type="dxa"/>
                  <w:vAlign w:val="center"/>
                  <w:hideMark/>
                </w:tcPr>
                <w:p w14:paraId="21902FC9" w14:textId="77777777" w:rsidR="003615CB" w:rsidRPr="008D7A4C" w:rsidRDefault="00B00100" w:rsidP="00370635">
                  <w:pPr>
                    <w:ind w:left="-900" w:firstLine="900"/>
                    <w:jc w:val="right"/>
                    <w:rPr>
                      <w:rFonts w:asciiTheme="minorHAnsi" w:hAnsiTheme="minorHAnsi" w:cs="Times New Roman"/>
                      <w:sz w:val="22"/>
                      <w:szCs w:val="22"/>
                    </w:rPr>
                  </w:pPr>
                  <w:r w:rsidRPr="008D7A4C">
                    <w:rPr>
                      <w:rFonts w:asciiTheme="minorHAnsi" w:hAnsiTheme="minorHAnsi" w:cs="Times New Roman"/>
                      <w:sz w:val="22"/>
                      <w:szCs w:val="22"/>
                    </w:rPr>
                    <w:t xml:space="preserve">Currency Unit </w:t>
                  </w:r>
                  <w:r w:rsidR="009A0A87" w:rsidRPr="008D7A4C">
                    <w:rPr>
                      <w:rFonts w:asciiTheme="minorHAnsi" w:hAnsiTheme="minorHAnsi" w:cs="Times New Roman"/>
                      <w:sz w:val="22"/>
                      <w:szCs w:val="22"/>
                    </w:rPr>
                    <w:t xml:space="preserve">=                                    </w:t>
                  </w:r>
                </w:p>
              </w:tc>
              <w:tc>
                <w:tcPr>
                  <w:tcW w:w="3417" w:type="dxa"/>
                  <w:vAlign w:val="center"/>
                </w:tcPr>
                <w:p w14:paraId="33860019" w14:textId="77777777" w:rsidR="001A2BE0" w:rsidRPr="008D7A4C" w:rsidRDefault="00B00100" w:rsidP="00370635">
                  <w:pPr>
                    <w:rPr>
                      <w:rFonts w:asciiTheme="minorHAnsi" w:hAnsiTheme="minorHAnsi" w:cs="Times New Roman"/>
                      <w:sz w:val="22"/>
                      <w:szCs w:val="22"/>
                    </w:rPr>
                  </w:pPr>
                  <w:r w:rsidRPr="008D7A4C">
                    <w:rPr>
                      <w:rFonts w:asciiTheme="minorHAnsi" w:hAnsiTheme="minorHAnsi" w:cs="Times New Roman"/>
                      <w:sz w:val="22"/>
                      <w:szCs w:val="22"/>
                    </w:rPr>
                    <w:t>United States</w:t>
                  </w:r>
                  <w:r w:rsidR="000560A6">
                    <w:rPr>
                      <w:rFonts w:asciiTheme="minorHAnsi" w:hAnsiTheme="minorHAnsi" w:cs="Times New Roman"/>
                      <w:sz w:val="22"/>
                      <w:szCs w:val="22"/>
                    </w:rPr>
                    <w:t xml:space="preserve"> Dollar</w:t>
                  </w:r>
                </w:p>
              </w:tc>
            </w:tr>
            <w:tr w:rsidR="000C3959" w14:paraId="18656C61" w14:textId="77777777" w:rsidTr="00DA01D5">
              <w:trPr>
                <w:trHeight w:val="441"/>
              </w:trPr>
              <w:tc>
                <w:tcPr>
                  <w:tcW w:w="5654" w:type="dxa"/>
                  <w:vAlign w:val="center"/>
                </w:tcPr>
                <w:p w14:paraId="44CA57C6" w14:textId="77777777" w:rsidR="00FD45DA" w:rsidRPr="008D7A4C" w:rsidRDefault="00B00100" w:rsidP="00FD45DA">
                  <w:pPr>
                    <w:ind w:left="-900" w:firstLine="900"/>
                    <w:jc w:val="right"/>
                    <w:rPr>
                      <w:rFonts w:asciiTheme="minorHAnsi" w:hAnsiTheme="minorHAnsi" w:cs="Times New Roman"/>
                      <w:sz w:val="22"/>
                      <w:szCs w:val="22"/>
                    </w:rPr>
                  </w:pPr>
                  <w:r w:rsidRPr="008D7A4C">
                    <w:rPr>
                      <w:rFonts w:asciiTheme="minorHAnsi" w:hAnsiTheme="minorHAnsi" w:cs="Times New Roman"/>
                      <w:sz w:val="22"/>
                      <w:szCs w:val="22"/>
                    </w:rPr>
                    <w:t xml:space="preserve">The Gambian Dalasi (GMD) 50.16 = </w:t>
                  </w:r>
                </w:p>
              </w:tc>
              <w:tc>
                <w:tcPr>
                  <w:tcW w:w="3417" w:type="dxa"/>
                  <w:vAlign w:val="center"/>
                </w:tcPr>
                <w:p w14:paraId="21962711" w14:textId="77777777" w:rsidR="00FD45DA" w:rsidRPr="008D7A4C" w:rsidRDefault="00B00100" w:rsidP="00FD45DA">
                  <w:pPr>
                    <w:rPr>
                      <w:rFonts w:asciiTheme="minorHAnsi" w:hAnsiTheme="minorHAnsi" w:cs="Times New Roman"/>
                      <w:sz w:val="22"/>
                      <w:szCs w:val="22"/>
                    </w:rPr>
                  </w:pPr>
                  <w:r w:rsidRPr="00677448">
                    <w:rPr>
                      <w:rFonts w:asciiTheme="minorHAnsi" w:hAnsiTheme="minorHAnsi" w:cs="Times New Roman"/>
                      <w:sz w:val="22"/>
                      <w:szCs w:val="22"/>
                    </w:rPr>
                    <w:t>US$1</w:t>
                  </w:r>
                </w:p>
              </w:tc>
            </w:tr>
            <w:tr w:rsidR="000C3959" w14:paraId="12FAFD87" w14:textId="77777777" w:rsidTr="00DA01D5">
              <w:trPr>
                <w:trHeight w:val="441"/>
              </w:trPr>
              <w:tc>
                <w:tcPr>
                  <w:tcW w:w="5654" w:type="dxa"/>
                  <w:vAlign w:val="center"/>
                </w:tcPr>
                <w:p w14:paraId="05FB775F" w14:textId="77777777" w:rsidR="00FD45DA" w:rsidRPr="008D7A4C" w:rsidRDefault="00B00100" w:rsidP="00FD45DA">
                  <w:pPr>
                    <w:ind w:left="-900" w:firstLine="900"/>
                    <w:jc w:val="right"/>
                    <w:rPr>
                      <w:rFonts w:asciiTheme="minorHAnsi" w:hAnsiTheme="minorHAnsi" w:cs="Times New Roman"/>
                      <w:sz w:val="22"/>
                      <w:szCs w:val="22"/>
                    </w:rPr>
                  </w:pPr>
                  <w:r w:rsidRPr="008D7A4C">
                    <w:rPr>
                      <w:rFonts w:asciiTheme="minorHAnsi" w:hAnsiTheme="minorHAnsi" w:cs="Times New Roman"/>
                      <w:sz w:val="22"/>
                      <w:szCs w:val="22"/>
                    </w:rPr>
                    <w:t xml:space="preserve">Nigerian </w:t>
                  </w:r>
                  <w:r>
                    <w:rPr>
                      <w:rFonts w:asciiTheme="minorHAnsi" w:hAnsiTheme="minorHAnsi" w:cs="Times New Roman"/>
                      <w:sz w:val="22"/>
                      <w:szCs w:val="22"/>
                    </w:rPr>
                    <w:t>N</w:t>
                  </w:r>
                  <w:r w:rsidRPr="008D7A4C">
                    <w:rPr>
                      <w:rFonts w:asciiTheme="minorHAnsi" w:hAnsiTheme="minorHAnsi" w:cs="Times New Roman"/>
                      <w:sz w:val="22"/>
                      <w:szCs w:val="22"/>
                    </w:rPr>
                    <w:t xml:space="preserve">aira (NGN) 361.5 = </w:t>
                  </w:r>
                </w:p>
              </w:tc>
              <w:tc>
                <w:tcPr>
                  <w:tcW w:w="3417" w:type="dxa"/>
                  <w:vAlign w:val="center"/>
                </w:tcPr>
                <w:p w14:paraId="1B1F187C" w14:textId="77777777" w:rsidR="00FD45DA" w:rsidRPr="008D7A4C" w:rsidRDefault="00B00100" w:rsidP="00FD45DA">
                  <w:pPr>
                    <w:rPr>
                      <w:rFonts w:asciiTheme="minorHAnsi" w:hAnsiTheme="minorHAnsi" w:cs="Times New Roman"/>
                      <w:sz w:val="22"/>
                      <w:szCs w:val="22"/>
                    </w:rPr>
                  </w:pPr>
                  <w:r w:rsidRPr="008D7A4C">
                    <w:rPr>
                      <w:rFonts w:asciiTheme="minorHAnsi" w:hAnsiTheme="minorHAnsi" w:cs="Times New Roman"/>
                      <w:sz w:val="22"/>
                      <w:szCs w:val="22"/>
                    </w:rPr>
                    <w:t>US$1</w:t>
                  </w:r>
                </w:p>
              </w:tc>
            </w:tr>
            <w:tr w:rsidR="000C3959" w14:paraId="0002661C" w14:textId="77777777" w:rsidTr="00DA01D5">
              <w:trPr>
                <w:trHeight w:val="441"/>
              </w:trPr>
              <w:tc>
                <w:tcPr>
                  <w:tcW w:w="5654" w:type="dxa"/>
                  <w:vAlign w:val="center"/>
                </w:tcPr>
                <w:p w14:paraId="41DCEB86" w14:textId="77777777" w:rsidR="006669B4" w:rsidRPr="008D7A4C" w:rsidRDefault="00B00100" w:rsidP="006669B4">
                  <w:pPr>
                    <w:jc w:val="right"/>
                    <w:rPr>
                      <w:rFonts w:asciiTheme="minorHAnsi" w:hAnsiTheme="minorHAnsi" w:cs="Times New Roman"/>
                      <w:sz w:val="22"/>
                      <w:szCs w:val="22"/>
                    </w:rPr>
                  </w:pPr>
                  <w:r w:rsidRPr="00677448">
                    <w:rPr>
                      <w:rFonts w:asciiTheme="minorHAnsi" w:hAnsiTheme="minorHAnsi" w:cs="Times New Roman"/>
                      <w:sz w:val="22"/>
                      <w:szCs w:val="22"/>
                    </w:rPr>
                    <w:t>West Africa CFA Franc (Benin, Niger, Togo) (XOF) 601.83</w:t>
                  </w:r>
                  <w:r>
                    <w:rPr>
                      <w:rFonts w:asciiTheme="minorHAnsi" w:hAnsiTheme="minorHAnsi" w:cs="Times New Roman"/>
                      <w:sz w:val="22"/>
                      <w:szCs w:val="22"/>
                    </w:rPr>
                    <w:t xml:space="preserve"> =</w:t>
                  </w:r>
                  <w:r w:rsidRPr="00677448">
                    <w:rPr>
                      <w:rFonts w:asciiTheme="minorHAnsi" w:hAnsiTheme="minorHAnsi" w:cs="Times New Roman"/>
                      <w:sz w:val="22"/>
                      <w:szCs w:val="22"/>
                    </w:rPr>
                    <w:t xml:space="preserve"> </w:t>
                  </w:r>
                </w:p>
              </w:tc>
              <w:tc>
                <w:tcPr>
                  <w:tcW w:w="3417" w:type="dxa"/>
                  <w:vAlign w:val="center"/>
                </w:tcPr>
                <w:p w14:paraId="53445875" w14:textId="77777777" w:rsidR="006669B4" w:rsidRPr="008D7A4C" w:rsidRDefault="00B00100" w:rsidP="006669B4">
                  <w:pPr>
                    <w:rPr>
                      <w:rFonts w:asciiTheme="minorHAnsi" w:hAnsiTheme="minorHAnsi" w:cs="Times New Roman"/>
                      <w:sz w:val="22"/>
                      <w:szCs w:val="22"/>
                    </w:rPr>
                  </w:pPr>
                  <w:r w:rsidRPr="008D7A4C">
                    <w:rPr>
                      <w:rFonts w:asciiTheme="minorHAnsi" w:hAnsiTheme="minorHAnsi" w:cs="Times New Roman"/>
                      <w:sz w:val="22"/>
                      <w:szCs w:val="22"/>
                    </w:rPr>
                    <w:t>US$1</w:t>
                  </w:r>
                </w:p>
              </w:tc>
            </w:tr>
            <w:tr w:rsidR="000C3959" w14:paraId="4922FD17" w14:textId="77777777" w:rsidTr="00DA01D5">
              <w:trPr>
                <w:trHeight w:val="441"/>
              </w:trPr>
              <w:tc>
                <w:tcPr>
                  <w:tcW w:w="5654" w:type="dxa"/>
                  <w:vAlign w:val="center"/>
                  <w:hideMark/>
                </w:tcPr>
                <w:p w14:paraId="7713FF55" w14:textId="77777777" w:rsidR="006669B4" w:rsidRPr="008D7A4C" w:rsidRDefault="00B00100" w:rsidP="006669B4">
                  <w:pPr>
                    <w:jc w:val="right"/>
                    <w:rPr>
                      <w:rFonts w:asciiTheme="minorHAnsi" w:hAnsiTheme="minorHAnsi" w:cs="Times New Roman"/>
                      <w:sz w:val="22"/>
                      <w:szCs w:val="22"/>
                    </w:rPr>
                  </w:pPr>
                  <w:r w:rsidRPr="008D7A4C">
                    <w:rPr>
                      <w:rFonts w:asciiTheme="minorHAnsi" w:hAnsiTheme="minorHAnsi" w:cs="Times New Roman"/>
                      <w:sz w:val="22"/>
                      <w:szCs w:val="22"/>
                    </w:rPr>
                    <w:t>SDR 0.733 =</w:t>
                  </w:r>
                </w:p>
              </w:tc>
              <w:tc>
                <w:tcPr>
                  <w:tcW w:w="3417" w:type="dxa"/>
                  <w:vAlign w:val="center"/>
                  <w:hideMark/>
                </w:tcPr>
                <w:p w14:paraId="553764CD" w14:textId="77777777" w:rsidR="006669B4" w:rsidRPr="008D7A4C" w:rsidRDefault="00B00100" w:rsidP="006669B4">
                  <w:pPr>
                    <w:rPr>
                      <w:rFonts w:asciiTheme="minorHAnsi" w:hAnsiTheme="minorHAnsi" w:cs="Times New Roman"/>
                      <w:sz w:val="22"/>
                      <w:szCs w:val="22"/>
                    </w:rPr>
                  </w:pPr>
                  <w:r w:rsidRPr="008D7A4C">
                    <w:rPr>
                      <w:rFonts w:asciiTheme="minorHAnsi" w:hAnsiTheme="minorHAnsi" w:cs="Times New Roman"/>
                      <w:sz w:val="22"/>
                      <w:szCs w:val="22"/>
                    </w:rPr>
                    <w:t>US$1</w:t>
                  </w:r>
                </w:p>
              </w:tc>
            </w:tr>
            <w:tr w:rsidR="000C3959" w14:paraId="065978CF" w14:textId="77777777" w:rsidTr="00DA01D5">
              <w:trPr>
                <w:trHeight w:val="441"/>
              </w:trPr>
              <w:tc>
                <w:tcPr>
                  <w:tcW w:w="5654" w:type="dxa"/>
                  <w:vAlign w:val="center"/>
                  <w:hideMark/>
                </w:tcPr>
                <w:p w14:paraId="5E54356B" w14:textId="77777777" w:rsidR="006669B4" w:rsidRPr="008D7A4C" w:rsidRDefault="00B00100" w:rsidP="006669B4">
                  <w:pPr>
                    <w:jc w:val="right"/>
                    <w:rPr>
                      <w:rFonts w:asciiTheme="minorHAnsi" w:hAnsiTheme="minorHAnsi" w:cs="Times New Roman"/>
                      <w:sz w:val="22"/>
                      <w:szCs w:val="22"/>
                    </w:rPr>
                  </w:pPr>
                  <w:r w:rsidRPr="008D7A4C">
                    <w:rPr>
                      <w:rFonts w:asciiTheme="minorHAnsi" w:hAnsiTheme="minorHAnsi" w:cs="Times New Roman"/>
                      <w:sz w:val="22"/>
                      <w:szCs w:val="22"/>
                    </w:rPr>
                    <w:t>EUR 0.916</w:t>
                  </w:r>
                  <w:r>
                    <w:rPr>
                      <w:rFonts w:asciiTheme="minorHAnsi" w:hAnsiTheme="minorHAnsi" w:cs="Times New Roman"/>
                      <w:sz w:val="22"/>
                      <w:szCs w:val="22"/>
                    </w:rPr>
                    <w:t xml:space="preserve"> </w:t>
                  </w:r>
                  <w:r w:rsidRPr="008D7A4C">
                    <w:rPr>
                      <w:rFonts w:asciiTheme="minorHAnsi" w:hAnsiTheme="minorHAnsi" w:cs="Times New Roman"/>
                      <w:sz w:val="22"/>
                      <w:szCs w:val="22"/>
                    </w:rPr>
                    <w:t>=</w:t>
                  </w:r>
                </w:p>
              </w:tc>
              <w:tc>
                <w:tcPr>
                  <w:tcW w:w="3417" w:type="dxa"/>
                  <w:vAlign w:val="center"/>
                  <w:hideMark/>
                </w:tcPr>
                <w:p w14:paraId="5F923072" w14:textId="77777777" w:rsidR="006669B4" w:rsidRPr="008D7A4C" w:rsidRDefault="00B00100" w:rsidP="006669B4">
                  <w:pPr>
                    <w:rPr>
                      <w:rFonts w:asciiTheme="minorHAnsi" w:hAnsiTheme="minorHAnsi" w:cs="Times New Roman"/>
                      <w:sz w:val="22"/>
                      <w:szCs w:val="22"/>
                    </w:rPr>
                  </w:pPr>
                  <w:r w:rsidRPr="008D7A4C">
                    <w:rPr>
                      <w:rFonts w:asciiTheme="minorHAnsi" w:hAnsiTheme="minorHAnsi" w:cs="Times New Roman"/>
                      <w:sz w:val="22"/>
                      <w:szCs w:val="22"/>
                    </w:rPr>
                    <w:t>US$1</w:t>
                  </w:r>
                </w:p>
              </w:tc>
            </w:tr>
          </w:tbl>
          <w:p w14:paraId="317C4630" w14:textId="77777777" w:rsidR="003615CB" w:rsidRPr="008D7A4C" w:rsidRDefault="003615CB" w:rsidP="00370635">
            <w:pPr>
              <w:jc w:val="center"/>
              <w:rPr>
                <w:rFonts w:asciiTheme="minorHAnsi" w:hAnsiTheme="minorHAnsi" w:cs="Times New Roman"/>
                <w:sz w:val="22"/>
                <w:szCs w:val="22"/>
              </w:rPr>
            </w:pPr>
          </w:p>
        </w:tc>
      </w:tr>
      <w:tr w:rsidR="000C3959" w14:paraId="0F71FF48" w14:textId="77777777" w:rsidTr="00005F5F">
        <w:trPr>
          <w:jc w:val="center"/>
        </w:trPr>
        <w:tc>
          <w:tcPr>
            <w:tcW w:w="9450" w:type="dxa"/>
            <w:vAlign w:val="center"/>
          </w:tcPr>
          <w:p w14:paraId="3B90B503" w14:textId="77777777" w:rsidR="003615CB" w:rsidRPr="008D7A4C" w:rsidRDefault="003615CB" w:rsidP="00370635">
            <w:pPr>
              <w:ind w:left="-900" w:firstLine="900"/>
              <w:jc w:val="center"/>
              <w:rPr>
                <w:rFonts w:asciiTheme="minorHAnsi" w:hAnsiTheme="minorHAnsi" w:cs="Times New Roman"/>
                <w:sz w:val="22"/>
                <w:szCs w:val="22"/>
              </w:rPr>
            </w:pPr>
          </w:p>
          <w:p w14:paraId="397D1A98" w14:textId="77777777" w:rsidR="003615CB" w:rsidRPr="008D7A4C" w:rsidRDefault="00B00100" w:rsidP="00227B5F">
            <w:pPr>
              <w:jc w:val="center"/>
              <w:rPr>
                <w:rFonts w:asciiTheme="minorHAnsi" w:hAnsiTheme="minorHAnsi" w:cs="Times New Roman"/>
                <w:sz w:val="22"/>
                <w:szCs w:val="22"/>
              </w:rPr>
            </w:pPr>
            <w:r w:rsidRPr="008D7A4C">
              <w:rPr>
                <w:rFonts w:asciiTheme="minorHAnsi" w:hAnsiTheme="minorHAnsi" w:cs="Times New Roman"/>
                <w:sz w:val="22"/>
                <w:szCs w:val="22"/>
              </w:rPr>
              <w:t>FISCAL YEAR</w:t>
            </w:r>
          </w:p>
        </w:tc>
      </w:tr>
      <w:tr w:rsidR="000C3959" w14:paraId="790B6383" w14:textId="77777777" w:rsidTr="00005F5F">
        <w:trPr>
          <w:trHeight w:val="297"/>
          <w:jc w:val="center"/>
        </w:trPr>
        <w:tc>
          <w:tcPr>
            <w:tcW w:w="9450" w:type="dxa"/>
            <w:vAlign w:val="center"/>
            <w:hideMark/>
          </w:tcPr>
          <w:p w14:paraId="235B1A44" w14:textId="77777777" w:rsidR="003615CB" w:rsidRPr="008D7A4C" w:rsidRDefault="00B00100" w:rsidP="00370635">
            <w:pPr>
              <w:ind w:left="-900" w:firstLine="900"/>
              <w:jc w:val="center"/>
              <w:rPr>
                <w:rFonts w:asciiTheme="minorHAnsi" w:hAnsiTheme="minorHAnsi" w:cs="Times New Roman"/>
                <w:sz w:val="22"/>
                <w:szCs w:val="22"/>
              </w:rPr>
            </w:pPr>
            <w:r w:rsidRPr="008D7A4C">
              <w:rPr>
                <w:rFonts w:asciiTheme="minorHAnsi" w:hAnsiTheme="minorHAnsi" w:cs="Times New Roman"/>
                <w:sz w:val="22"/>
                <w:szCs w:val="22"/>
              </w:rPr>
              <w:t>January 1 - December 31</w:t>
            </w:r>
          </w:p>
        </w:tc>
      </w:tr>
    </w:tbl>
    <w:p w14:paraId="44F59D5D" w14:textId="77777777" w:rsidR="003615CB" w:rsidRPr="00501672" w:rsidRDefault="003615CB" w:rsidP="00370635">
      <w:pPr>
        <w:ind w:left="-907"/>
        <w:rPr>
          <w:rFonts w:asciiTheme="minorHAnsi" w:hAnsiTheme="minorHAnsi"/>
          <w:sz w:val="20"/>
        </w:rPr>
      </w:pPr>
    </w:p>
    <w:p w14:paraId="1DA2CD88" w14:textId="77777777" w:rsidR="003615CB" w:rsidRPr="00501672" w:rsidRDefault="003615CB" w:rsidP="00370635">
      <w:pPr>
        <w:ind w:left="-907"/>
        <w:rPr>
          <w:rFonts w:asciiTheme="minorHAnsi" w:hAnsiTheme="minorHAnsi"/>
          <w:sz w:val="20"/>
        </w:rPr>
      </w:pPr>
    </w:p>
    <w:p w14:paraId="09B39E98" w14:textId="77777777" w:rsidR="003615CB" w:rsidRPr="00501672" w:rsidRDefault="003615CB" w:rsidP="00370635">
      <w:pPr>
        <w:ind w:left="-907"/>
        <w:rPr>
          <w:rFonts w:asciiTheme="minorHAnsi" w:hAnsiTheme="minorHAnsi"/>
          <w:sz w:val="20"/>
        </w:rPr>
      </w:pPr>
    </w:p>
    <w:p w14:paraId="4AD7EBEF" w14:textId="77777777" w:rsidR="003615CB" w:rsidRPr="00501672" w:rsidRDefault="003615CB" w:rsidP="00370635">
      <w:pPr>
        <w:ind w:left="-907"/>
        <w:rPr>
          <w:rFonts w:asciiTheme="minorHAnsi" w:hAnsiTheme="minorHAnsi"/>
          <w:sz w:val="20"/>
        </w:rPr>
      </w:pPr>
    </w:p>
    <w:p w14:paraId="58830AF0" w14:textId="77777777" w:rsidR="003615CB" w:rsidRPr="00501672" w:rsidRDefault="003615CB" w:rsidP="00370635">
      <w:pPr>
        <w:ind w:left="-907"/>
        <w:rPr>
          <w:rFonts w:asciiTheme="minorHAnsi" w:hAnsiTheme="minorHAnsi"/>
          <w:sz w:val="20"/>
        </w:rPr>
      </w:pPr>
    </w:p>
    <w:p w14:paraId="36476E3B" w14:textId="77777777" w:rsidR="003615CB" w:rsidRPr="00501672" w:rsidRDefault="003615CB" w:rsidP="00370635">
      <w:pPr>
        <w:ind w:left="-907"/>
        <w:rPr>
          <w:rFonts w:asciiTheme="minorHAnsi" w:hAnsiTheme="minorHAnsi"/>
          <w:sz w:val="20"/>
        </w:rPr>
      </w:pPr>
    </w:p>
    <w:p w14:paraId="6D5CAD7D" w14:textId="77777777" w:rsidR="003615CB" w:rsidRPr="00501672" w:rsidRDefault="003615CB" w:rsidP="00370635">
      <w:pPr>
        <w:ind w:left="-907"/>
        <w:rPr>
          <w:rFonts w:asciiTheme="minorHAnsi" w:hAnsiTheme="minorHAnsi"/>
          <w:sz w:val="20"/>
        </w:rPr>
      </w:pPr>
    </w:p>
    <w:p w14:paraId="17788F5F" w14:textId="77777777" w:rsidR="003615CB" w:rsidRPr="00501672" w:rsidRDefault="003615CB" w:rsidP="00370635">
      <w:pPr>
        <w:ind w:left="-907"/>
        <w:rPr>
          <w:rFonts w:asciiTheme="minorHAnsi" w:hAnsiTheme="minorHAnsi"/>
          <w:sz w:val="20"/>
        </w:rPr>
      </w:pPr>
    </w:p>
    <w:p w14:paraId="0720E5D7" w14:textId="77777777" w:rsidR="003615CB" w:rsidRPr="00501672" w:rsidRDefault="003615CB" w:rsidP="00370635">
      <w:pPr>
        <w:ind w:left="-907"/>
        <w:rPr>
          <w:rFonts w:asciiTheme="minorHAnsi" w:hAnsiTheme="minorHAnsi"/>
          <w:sz w:val="20"/>
        </w:rPr>
      </w:pPr>
    </w:p>
    <w:p w14:paraId="141E10AC" w14:textId="77777777" w:rsidR="003615CB" w:rsidRDefault="003615CB" w:rsidP="00370635">
      <w:pPr>
        <w:ind w:left="-907"/>
        <w:rPr>
          <w:rFonts w:asciiTheme="minorHAnsi" w:hAnsiTheme="minorHAnsi"/>
          <w:sz w:val="20"/>
        </w:rPr>
      </w:pPr>
    </w:p>
    <w:p w14:paraId="6072465D" w14:textId="77777777" w:rsidR="003615CB" w:rsidRDefault="003615CB" w:rsidP="00370635">
      <w:pPr>
        <w:ind w:left="-907"/>
        <w:rPr>
          <w:rFonts w:asciiTheme="minorHAnsi" w:hAnsiTheme="minorHAnsi"/>
          <w:sz w:val="20"/>
        </w:rPr>
      </w:pPr>
    </w:p>
    <w:p w14:paraId="1B023A40" w14:textId="77777777" w:rsidR="003615CB" w:rsidRPr="00501672" w:rsidRDefault="003615CB" w:rsidP="00370635">
      <w:pPr>
        <w:ind w:left="-907"/>
        <w:rPr>
          <w:rFonts w:asciiTheme="minorHAnsi" w:hAnsiTheme="minorHAnsi"/>
          <w:sz w:val="20"/>
        </w:rPr>
      </w:pPr>
    </w:p>
    <w:p w14:paraId="3F816245" w14:textId="77777777" w:rsidR="00E94D9A" w:rsidRDefault="00E94D9A" w:rsidP="00370635">
      <w:pPr>
        <w:ind w:left="-907"/>
        <w:rPr>
          <w:rFonts w:asciiTheme="minorHAnsi" w:hAnsiTheme="minorHAnsi"/>
          <w:sz w:val="20"/>
        </w:rPr>
      </w:pPr>
    </w:p>
    <w:p w14:paraId="61A3D3AC" w14:textId="77777777" w:rsidR="00D846D2" w:rsidRPr="00501672" w:rsidRDefault="00D846D2" w:rsidP="00370635">
      <w:pPr>
        <w:ind w:left="-907"/>
        <w:rPr>
          <w:rFonts w:asciiTheme="minorHAnsi" w:hAnsiTheme="minorHAnsi"/>
          <w:sz w:val="20"/>
        </w:rPr>
      </w:pPr>
    </w:p>
    <w:p w14:paraId="64FC48D2" w14:textId="77777777" w:rsidR="00E94D9A" w:rsidRDefault="00E94D9A" w:rsidP="00370635">
      <w:pPr>
        <w:ind w:left="-907"/>
        <w:rPr>
          <w:rFonts w:asciiTheme="minorHAnsi" w:hAnsiTheme="minorHAnsi"/>
          <w:sz w:val="20"/>
        </w:rPr>
      </w:pPr>
    </w:p>
    <w:p w14:paraId="3D828A3D" w14:textId="77777777" w:rsidR="00E94D9A" w:rsidRPr="00501672" w:rsidRDefault="00B00100" w:rsidP="00370635">
      <w:pPr>
        <w:ind w:left="-907"/>
        <w:rPr>
          <w:rFonts w:asciiTheme="minorHAnsi" w:hAnsiTheme="minorHAnsi"/>
          <w:sz w:val="20"/>
        </w:rPr>
      </w:pPr>
      <w:r>
        <w:rPr>
          <w:rFonts w:ascii="Times New Roman" w:eastAsiaTheme="minorHAnsi" w:hAnsi="Times New Roman" w:cs="Times New Roman"/>
          <w:noProof/>
          <w:color w:val="auto"/>
        </w:rPr>
        <mc:AlternateContent>
          <mc:Choice Requires="wps">
            <w:drawing>
              <wp:anchor distT="45720" distB="45720" distL="114300" distR="114300" simplePos="0" relativeHeight="251658242" behindDoc="0" locked="0" layoutInCell="1" allowOverlap="1" wp14:anchorId="424E9DF0" wp14:editId="5D0DE6EA">
                <wp:simplePos x="0" y="0"/>
                <wp:positionH relativeFrom="column">
                  <wp:posOffset>-140970</wp:posOffset>
                </wp:positionH>
                <wp:positionV relativeFrom="paragraph">
                  <wp:posOffset>238760</wp:posOffset>
                </wp:positionV>
                <wp:extent cx="6105525" cy="2110105"/>
                <wp:effectExtent l="0" t="0" r="28575"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110105"/>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0C3959" w14:paraId="583E7273" w14:textId="77777777" w:rsidTr="003F12D1">
                              <w:trPr>
                                <w:trHeight w:val="459"/>
                                <w:jc w:val="center"/>
                              </w:trPr>
                              <w:tc>
                                <w:tcPr>
                                  <w:tcW w:w="3713" w:type="dxa"/>
                                  <w:vAlign w:val="center"/>
                                  <w:hideMark/>
                                </w:tcPr>
                                <w:p w14:paraId="3F2BBD1B" w14:textId="77777777" w:rsidR="00D936A3" w:rsidRPr="00DA01D5" w:rsidRDefault="00B00100" w:rsidP="00005F5F">
                                  <w:pPr>
                                    <w:jc w:val="right"/>
                                    <w:rPr>
                                      <w:rFonts w:asciiTheme="minorHAnsi" w:hAnsiTheme="minorHAnsi"/>
                                      <w:color w:val="auto"/>
                                      <w:szCs w:val="22"/>
                                    </w:rPr>
                                  </w:pPr>
                                  <w:r w:rsidRPr="00DA01D5">
                                    <w:rPr>
                                      <w:rFonts w:asciiTheme="minorHAnsi" w:hAnsiTheme="minorHAnsi"/>
                                      <w:color w:val="auto"/>
                                      <w:szCs w:val="22"/>
                                    </w:rPr>
                                    <w:t>Regional Vice President:</w:t>
                                  </w:r>
                                </w:p>
                              </w:tc>
                              <w:tc>
                                <w:tcPr>
                                  <w:tcW w:w="5711" w:type="dxa"/>
                                  <w:vAlign w:val="center"/>
                                  <w:hideMark/>
                                </w:tcPr>
                                <w:p w14:paraId="0C028895" w14:textId="77777777" w:rsidR="00D936A3" w:rsidRPr="00DA01D5" w:rsidRDefault="00B00100" w:rsidP="00005F5F">
                                  <w:pPr>
                                    <w:rPr>
                                      <w:rFonts w:asciiTheme="minorHAnsi" w:hAnsiTheme="minorHAnsi"/>
                                      <w:color w:val="auto"/>
                                      <w:szCs w:val="22"/>
                                    </w:rPr>
                                  </w:pPr>
                                  <w:r w:rsidRPr="00DA01D5">
                                    <w:rPr>
                                      <w:rFonts w:asciiTheme="minorHAnsi" w:hAnsiTheme="minorHAnsi"/>
                                      <w:noProof/>
                                      <w:color w:val="auto"/>
                                      <w:szCs w:val="22"/>
                                    </w:rPr>
                                    <w:t>Hafez M. H. Ghanem</w:t>
                                  </w:r>
                                </w:p>
                              </w:tc>
                            </w:tr>
                            <w:tr w:rsidR="000C3959" w14:paraId="14AB6969" w14:textId="77777777" w:rsidTr="003F12D1">
                              <w:trPr>
                                <w:trHeight w:val="459"/>
                                <w:jc w:val="center"/>
                              </w:trPr>
                              <w:tc>
                                <w:tcPr>
                                  <w:tcW w:w="3713" w:type="dxa"/>
                                  <w:vAlign w:val="center"/>
                                  <w:hideMark/>
                                </w:tcPr>
                                <w:p w14:paraId="6EB99A10" w14:textId="77777777" w:rsidR="00D936A3" w:rsidRPr="00DA01D5" w:rsidRDefault="00B00100" w:rsidP="00005F5F">
                                  <w:pPr>
                                    <w:jc w:val="right"/>
                                    <w:rPr>
                                      <w:rFonts w:asciiTheme="minorHAnsi" w:hAnsiTheme="minorHAnsi"/>
                                      <w:color w:val="auto"/>
                                      <w:szCs w:val="22"/>
                                    </w:rPr>
                                  </w:pPr>
                                  <w:r w:rsidRPr="00DA01D5">
                                    <w:rPr>
                                      <w:rFonts w:asciiTheme="minorHAnsi" w:hAnsiTheme="minorHAnsi"/>
                                      <w:color w:val="auto"/>
                                      <w:szCs w:val="22"/>
                                    </w:rPr>
                                    <w:t xml:space="preserve">Regional </w:t>
                                  </w:r>
                                  <w:r>
                                    <w:rPr>
                                      <w:rFonts w:asciiTheme="minorHAnsi" w:hAnsiTheme="minorHAnsi"/>
                                      <w:color w:val="auto"/>
                                      <w:szCs w:val="22"/>
                                    </w:rPr>
                                    <w:t xml:space="preserve">Integration </w:t>
                                  </w:r>
                                  <w:r w:rsidRPr="00DA01D5">
                                    <w:rPr>
                                      <w:rFonts w:asciiTheme="minorHAnsi" w:hAnsiTheme="minorHAnsi"/>
                                      <w:color w:val="auto"/>
                                      <w:szCs w:val="22"/>
                                    </w:rPr>
                                    <w:t>Director:</w:t>
                                  </w:r>
                                </w:p>
                              </w:tc>
                              <w:tc>
                                <w:tcPr>
                                  <w:tcW w:w="5711" w:type="dxa"/>
                                  <w:vAlign w:val="center"/>
                                  <w:hideMark/>
                                </w:tcPr>
                                <w:p w14:paraId="6158546B" w14:textId="77777777" w:rsidR="00D936A3" w:rsidRPr="00DA01D5" w:rsidRDefault="00B00100" w:rsidP="00005F5F">
                                  <w:pPr>
                                    <w:rPr>
                                      <w:rFonts w:asciiTheme="minorHAnsi" w:hAnsiTheme="minorHAnsi"/>
                                      <w:noProof/>
                                      <w:color w:val="auto"/>
                                      <w:szCs w:val="22"/>
                                    </w:rPr>
                                  </w:pPr>
                                  <w:r w:rsidRPr="00DA01D5">
                                    <w:rPr>
                                      <w:rFonts w:asciiTheme="minorHAnsi" w:hAnsiTheme="minorHAnsi"/>
                                      <w:noProof/>
                                      <w:color w:val="auto"/>
                                      <w:szCs w:val="22"/>
                                    </w:rPr>
                                    <w:t>Deborah Wetzel</w:t>
                                  </w:r>
                                </w:p>
                              </w:tc>
                            </w:tr>
                            <w:tr w:rsidR="000C3959" w14:paraId="4C81B474" w14:textId="77777777" w:rsidTr="003F12D1">
                              <w:trPr>
                                <w:trHeight w:val="459"/>
                                <w:jc w:val="center"/>
                              </w:trPr>
                              <w:tc>
                                <w:tcPr>
                                  <w:tcW w:w="3713" w:type="dxa"/>
                                  <w:vAlign w:val="center"/>
                                  <w:hideMark/>
                                </w:tcPr>
                                <w:p w14:paraId="0EF7A123" w14:textId="77777777" w:rsidR="00D936A3" w:rsidRPr="00DA01D5" w:rsidRDefault="00B00100" w:rsidP="00005F5F">
                                  <w:pPr>
                                    <w:jc w:val="right"/>
                                    <w:rPr>
                                      <w:rFonts w:asciiTheme="minorHAnsi" w:hAnsiTheme="minorHAnsi"/>
                                      <w:color w:val="auto"/>
                                      <w:szCs w:val="22"/>
                                    </w:rPr>
                                  </w:pPr>
                                  <w:bookmarkStart w:id="0" w:name="_Hlk22653955"/>
                                  <w:r>
                                    <w:rPr>
                                      <w:rFonts w:asciiTheme="minorHAnsi" w:hAnsiTheme="minorHAnsi"/>
                                      <w:color w:val="auto"/>
                                      <w:szCs w:val="22"/>
                                    </w:rPr>
                                    <w:t xml:space="preserve">Education </w:t>
                                  </w:r>
                                  <w:r w:rsidRPr="00DA01D5">
                                    <w:rPr>
                                      <w:rFonts w:asciiTheme="minorHAnsi" w:hAnsiTheme="minorHAnsi"/>
                                      <w:color w:val="auto"/>
                                      <w:szCs w:val="22"/>
                                    </w:rPr>
                                    <w:t>Global Director:</w:t>
                                  </w:r>
                                </w:p>
                              </w:tc>
                              <w:tc>
                                <w:tcPr>
                                  <w:tcW w:w="5711" w:type="dxa"/>
                                  <w:vAlign w:val="center"/>
                                  <w:hideMark/>
                                </w:tcPr>
                                <w:p w14:paraId="4CED73D6" w14:textId="77777777" w:rsidR="00D936A3" w:rsidRPr="00DA01D5" w:rsidRDefault="00B00100" w:rsidP="00005F5F">
                                  <w:pPr>
                                    <w:rPr>
                                      <w:rFonts w:asciiTheme="minorHAnsi" w:hAnsiTheme="minorHAnsi"/>
                                      <w:noProof/>
                                      <w:color w:val="auto"/>
                                      <w:szCs w:val="22"/>
                                    </w:rPr>
                                  </w:pPr>
                                  <w:r w:rsidRPr="00DA01D5">
                                    <w:rPr>
                                      <w:rFonts w:asciiTheme="minorHAnsi" w:hAnsiTheme="minorHAnsi"/>
                                      <w:noProof/>
                                      <w:color w:val="auto"/>
                                      <w:szCs w:val="22"/>
                                    </w:rPr>
                                    <w:t>Jaime Saavedra Chanduvi</w:t>
                                  </w:r>
                                </w:p>
                              </w:tc>
                            </w:tr>
                            <w:bookmarkEnd w:id="0"/>
                            <w:tr w:rsidR="000C3959" w14:paraId="277CF595" w14:textId="77777777" w:rsidTr="003F12D1">
                              <w:trPr>
                                <w:trHeight w:val="459"/>
                                <w:jc w:val="center"/>
                              </w:trPr>
                              <w:tc>
                                <w:tcPr>
                                  <w:tcW w:w="3713" w:type="dxa"/>
                                  <w:vAlign w:val="center"/>
                                </w:tcPr>
                                <w:p w14:paraId="26F4AC92"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Regional Directors:</w:t>
                                  </w:r>
                                </w:p>
                              </w:tc>
                              <w:tc>
                                <w:tcPr>
                                  <w:tcW w:w="5711" w:type="dxa"/>
                                  <w:vAlign w:val="center"/>
                                </w:tcPr>
                                <w:p w14:paraId="138D1C22" w14:textId="77777777" w:rsidR="00D936A3" w:rsidRPr="00DA01D5" w:rsidRDefault="00B00100" w:rsidP="001A0547">
                                  <w:pPr>
                                    <w:rPr>
                                      <w:rFonts w:asciiTheme="minorHAnsi" w:hAnsiTheme="minorHAnsi"/>
                                      <w:noProof/>
                                      <w:color w:val="auto"/>
                                      <w:szCs w:val="22"/>
                                    </w:rPr>
                                  </w:pPr>
                                  <w:r w:rsidRPr="00DA01D5">
                                    <w:rPr>
                                      <w:rFonts w:asciiTheme="minorHAnsi" w:hAnsiTheme="minorHAnsi"/>
                                      <w:noProof/>
                                      <w:color w:val="auto"/>
                                      <w:szCs w:val="22"/>
                                    </w:rPr>
                                    <w:t>Dena Ringold and Amit Dar</w:t>
                                  </w:r>
                                </w:p>
                              </w:tc>
                            </w:tr>
                            <w:tr w:rsidR="000C3959" w14:paraId="0E064CBC" w14:textId="77777777" w:rsidTr="003F12D1">
                              <w:trPr>
                                <w:trHeight w:val="459"/>
                                <w:jc w:val="center"/>
                              </w:trPr>
                              <w:tc>
                                <w:tcPr>
                                  <w:tcW w:w="3713" w:type="dxa"/>
                                  <w:vAlign w:val="center"/>
                                  <w:hideMark/>
                                </w:tcPr>
                                <w:p w14:paraId="7FE61590"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Practice Manager:</w:t>
                                  </w:r>
                                </w:p>
                              </w:tc>
                              <w:tc>
                                <w:tcPr>
                                  <w:tcW w:w="5711" w:type="dxa"/>
                                  <w:vAlign w:val="center"/>
                                  <w:hideMark/>
                                </w:tcPr>
                                <w:p w14:paraId="38D63D9C" w14:textId="77777777" w:rsidR="00D936A3" w:rsidRPr="00DA01D5" w:rsidRDefault="00B00100" w:rsidP="001A0547">
                                  <w:pPr>
                                    <w:rPr>
                                      <w:rFonts w:asciiTheme="minorHAnsi" w:hAnsiTheme="minorHAnsi"/>
                                      <w:noProof/>
                                      <w:color w:val="auto"/>
                                      <w:szCs w:val="22"/>
                                    </w:rPr>
                                  </w:pPr>
                                  <w:r w:rsidRPr="00DA01D5">
                                    <w:rPr>
                                      <w:rFonts w:asciiTheme="minorHAnsi" w:hAnsiTheme="minorHAnsi"/>
                                      <w:noProof/>
                                      <w:color w:val="auto"/>
                                      <w:szCs w:val="22"/>
                                    </w:rPr>
                                    <w:t>Halil Dundar</w:t>
                                  </w:r>
                                </w:p>
                              </w:tc>
                            </w:tr>
                            <w:tr w:rsidR="000C3959" w14:paraId="58654784" w14:textId="77777777" w:rsidTr="003F12D1">
                              <w:trPr>
                                <w:trHeight w:val="459"/>
                                <w:jc w:val="center"/>
                              </w:trPr>
                              <w:tc>
                                <w:tcPr>
                                  <w:tcW w:w="3713" w:type="dxa"/>
                                  <w:vAlign w:val="center"/>
                                  <w:hideMark/>
                                </w:tcPr>
                                <w:p w14:paraId="22BA9194"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Task Team Leaders:</w:t>
                                  </w:r>
                                </w:p>
                              </w:tc>
                              <w:tc>
                                <w:tcPr>
                                  <w:tcW w:w="5711" w:type="dxa"/>
                                  <w:vAlign w:val="center"/>
                                  <w:hideMark/>
                                </w:tcPr>
                                <w:p w14:paraId="6A6FA6F7" w14:textId="77777777" w:rsidR="00D936A3" w:rsidRPr="00DA01D5" w:rsidRDefault="00B00100" w:rsidP="001A0547">
                                  <w:pPr>
                                    <w:rPr>
                                      <w:rFonts w:asciiTheme="minorHAnsi" w:hAnsiTheme="minorHAnsi"/>
                                      <w:noProof/>
                                      <w:color w:val="auto"/>
                                      <w:szCs w:val="22"/>
                                    </w:rPr>
                                  </w:pPr>
                                  <w:bookmarkStart w:id="1" w:name="_Hlk23505078"/>
                                  <w:r w:rsidRPr="00DA01D5">
                                    <w:rPr>
                                      <w:rFonts w:asciiTheme="minorHAnsi" w:hAnsiTheme="minorHAnsi"/>
                                      <w:noProof/>
                                      <w:color w:val="auto"/>
                                      <w:szCs w:val="22"/>
                                    </w:rPr>
                                    <w:t>Ekua Nuama Bentil, Himdat Bayusuf</w:t>
                                  </w:r>
                                  <w:bookmarkEnd w:id="1"/>
                                </w:p>
                              </w:tc>
                            </w:tr>
                          </w:tbl>
                          <w:p w14:paraId="40758179" w14:textId="77777777" w:rsidR="00D936A3" w:rsidRPr="00501672" w:rsidRDefault="00D936A3" w:rsidP="004F5A32">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424E9DF0" id="_x0000_t202" coordsize="21600,21600" o:spt="202" path="m,l,21600r21600,l21600,xe">
                <v:stroke joinstyle="miter"/>
                <v:path gradientshapeok="t" o:connecttype="rect"/>
              </v:shapetype>
              <v:shape id="Text Box 2" o:spid="_x0000_s1027" type="#_x0000_t202" style="position:absolute;left:0;text-align:left;margin-left:-11.1pt;margin-top:18.8pt;width:480.75pt;height:166.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" filled="f" strokecolor="#d8d8d8 [2732]">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0C3959" w14:paraId="583E7273" w14:textId="77777777" w:rsidTr="003F12D1">
                        <w:trPr>
                          <w:trHeight w:val="459"/>
                          <w:jc w:val="center"/>
                        </w:trPr>
                        <w:tc>
                          <w:tcPr>
                            <w:tcW w:w="3713" w:type="dxa"/>
                            <w:vAlign w:val="center"/>
                            <w:hideMark/>
                          </w:tcPr>
                          <w:p w14:paraId="3F2BBD1B" w14:textId="77777777" w:rsidR="00D936A3" w:rsidRPr="00DA01D5" w:rsidRDefault="00B00100" w:rsidP="00005F5F">
                            <w:pPr>
                              <w:jc w:val="right"/>
                              <w:rPr>
                                <w:rFonts w:asciiTheme="minorHAnsi" w:hAnsiTheme="minorHAnsi"/>
                                <w:color w:val="auto"/>
                                <w:szCs w:val="22"/>
                              </w:rPr>
                            </w:pPr>
                            <w:r w:rsidRPr="00DA01D5">
                              <w:rPr>
                                <w:rFonts w:asciiTheme="minorHAnsi" w:hAnsiTheme="minorHAnsi"/>
                                <w:color w:val="auto"/>
                                <w:szCs w:val="22"/>
                              </w:rPr>
                              <w:t>Regional Vice President:</w:t>
                            </w:r>
                          </w:p>
                        </w:tc>
                        <w:tc>
                          <w:tcPr>
                            <w:tcW w:w="5711" w:type="dxa"/>
                            <w:vAlign w:val="center"/>
                            <w:hideMark/>
                          </w:tcPr>
                          <w:p w14:paraId="0C028895" w14:textId="77777777" w:rsidR="00D936A3" w:rsidRPr="00DA01D5" w:rsidRDefault="00B00100" w:rsidP="00005F5F">
                            <w:pPr>
                              <w:rPr>
                                <w:rFonts w:asciiTheme="minorHAnsi" w:hAnsiTheme="minorHAnsi"/>
                                <w:color w:val="auto"/>
                                <w:szCs w:val="22"/>
                              </w:rPr>
                            </w:pPr>
                            <w:r w:rsidRPr="00DA01D5">
                              <w:rPr>
                                <w:rFonts w:asciiTheme="minorHAnsi" w:hAnsiTheme="minorHAnsi"/>
                                <w:noProof/>
                                <w:color w:val="auto"/>
                                <w:szCs w:val="22"/>
                              </w:rPr>
                              <w:t>Hafez M. H. Ghanem</w:t>
                            </w:r>
                          </w:p>
                        </w:tc>
                      </w:tr>
                      <w:tr w:rsidR="000C3959" w14:paraId="14AB6969" w14:textId="77777777" w:rsidTr="003F12D1">
                        <w:trPr>
                          <w:trHeight w:val="459"/>
                          <w:jc w:val="center"/>
                        </w:trPr>
                        <w:tc>
                          <w:tcPr>
                            <w:tcW w:w="3713" w:type="dxa"/>
                            <w:vAlign w:val="center"/>
                            <w:hideMark/>
                          </w:tcPr>
                          <w:p w14:paraId="6EB99A10" w14:textId="77777777" w:rsidR="00D936A3" w:rsidRPr="00DA01D5" w:rsidRDefault="00B00100" w:rsidP="00005F5F">
                            <w:pPr>
                              <w:jc w:val="right"/>
                              <w:rPr>
                                <w:rFonts w:asciiTheme="minorHAnsi" w:hAnsiTheme="minorHAnsi"/>
                                <w:color w:val="auto"/>
                                <w:szCs w:val="22"/>
                              </w:rPr>
                            </w:pPr>
                            <w:r w:rsidRPr="00DA01D5">
                              <w:rPr>
                                <w:rFonts w:asciiTheme="minorHAnsi" w:hAnsiTheme="minorHAnsi"/>
                                <w:color w:val="auto"/>
                                <w:szCs w:val="22"/>
                              </w:rPr>
                              <w:t xml:space="preserve">Regional </w:t>
                            </w:r>
                            <w:r>
                              <w:rPr>
                                <w:rFonts w:asciiTheme="minorHAnsi" w:hAnsiTheme="minorHAnsi"/>
                                <w:color w:val="auto"/>
                                <w:szCs w:val="22"/>
                              </w:rPr>
                              <w:t xml:space="preserve">Integration </w:t>
                            </w:r>
                            <w:r w:rsidRPr="00DA01D5">
                              <w:rPr>
                                <w:rFonts w:asciiTheme="minorHAnsi" w:hAnsiTheme="minorHAnsi"/>
                                <w:color w:val="auto"/>
                                <w:szCs w:val="22"/>
                              </w:rPr>
                              <w:t>Director:</w:t>
                            </w:r>
                          </w:p>
                        </w:tc>
                        <w:tc>
                          <w:tcPr>
                            <w:tcW w:w="5711" w:type="dxa"/>
                            <w:vAlign w:val="center"/>
                            <w:hideMark/>
                          </w:tcPr>
                          <w:p w14:paraId="6158546B" w14:textId="77777777" w:rsidR="00D936A3" w:rsidRPr="00DA01D5" w:rsidRDefault="00B00100" w:rsidP="00005F5F">
                            <w:pPr>
                              <w:rPr>
                                <w:rFonts w:asciiTheme="minorHAnsi" w:hAnsiTheme="minorHAnsi"/>
                                <w:noProof/>
                                <w:color w:val="auto"/>
                                <w:szCs w:val="22"/>
                              </w:rPr>
                            </w:pPr>
                            <w:r w:rsidRPr="00DA01D5">
                              <w:rPr>
                                <w:rFonts w:asciiTheme="minorHAnsi" w:hAnsiTheme="minorHAnsi"/>
                                <w:noProof/>
                                <w:color w:val="auto"/>
                                <w:szCs w:val="22"/>
                              </w:rPr>
                              <w:t>Deborah Wetzel</w:t>
                            </w:r>
                          </w:p>
                        </w:tc>
                      </w:tr>
                      <w:tr w:rsidR="000C3959" w14:paraId="4C81B474" w14:textId="77777777" w:rsidTr="003F12D1">
                        <w:trPr>
                          <w:trHeight w:val="459"/>
                          <w:jc w:val="center"/>
                        </w:trPr>
                        <w:tc>
                          <w:tcPr>
                            <w:tcW w:w="3713" w:type="dxa"/>
                            <w:vAlign w:val="center"/>
                            <w:hideMark/>
                          </w:tcPr>
                          <w:p w14:paraId="0EF7A123" w14:textId="77777777" w:rsidR="00D936A3" w:rsidRPr="00DA01D5" w:rsidRDefault="00B00100" w:rsidP="00005F5F">
                            <w:pPr>
                              <w:jc w:val="right"/>
                              <w:rPr>
                                <w:rFonts w:asciiTheme="minorHAnsi" w:hAnsiTheme="minorHAnsi"/>
                                <w:color w:val="auto"/>
                                <w:szCs w:val="22"/>
                              </w:rPr>
                            </w:pPr>
                            <w:bookmarkStart w:id="2" w:name="_Hlk22653955"/>
                            <w:r>
                              <w:rPr>
                                <w:rFonts w:asciiTheme="minorHAnsi" w:hAnsiTheme="minorHAnsi"/>
                                <w:color w:val="auto"/>
                                <w:szCs w:val="22"/>
                              </w:rPr>
                              <w:t xml:space="preserve">Education </w:t>
                            </w:r>
                            <w:r w:rsidRPr="00DA01D5">
                              <w:rPr>
                                <w:rFonts w:asciiTheme="minorHAnsi" w:hAnsiTheme="minorHAnsi"/>
                                <w:color w:val="auto"/>
                                <w:szCs w:val="22"/>
                              </w:rPr>
                              <w:t>Global Director:</w:t>
                            </w:r>
                          </w:p>
                        </w:tc>
                        <w:tc>
                          <w:tcPr>
                            <w:tcW w:w="5711" w:type="dxa"/>
                            <w:vAlign w:val="center"/>
                            <w:hideMark/>
                          </w:tcPr>
                          <w:p w14:paraId="4CED73D6" w14:textId="77777777" w:rsidR="00D936A3" w:rsidRPr="00DA01D5" w:rsidRDefault="00B00100" w:rsidP="00005F5F">
                            <w:pPr>
                              <w:rPr>
                                <w:rFonts w:asciiTheme="minorHAnsi" w:hAnsiTheme="minorHAnsi"/>
                                <w:noProof/>
                                <w:color w:val="auto"/>
                                <w:szCs w:val="22"/>
                              </w:rPr>
                            </w:pPr>
                            <w:r w:rsidRPr="00DA01D5">
                              <w:rPr>
                                <w:rFonts w:asciiTheme="minorHAnsi" w:hAnsiTheme="minorHAnsi"/>
                                <w:noProof/>
                                <w:color w:val="auto"/>
                                <w:szCs w:val="22"/>
                              </w:rPr>
                              <w:t>Jaime Saavedra Chanduvi</w:t>
                            </w:r>
                          </w:p>
                        </w:tc>
                      </w:tr>
                      <w:bookmarkEnd w:id="2"/>
                      <w:tr w:rsidR="000C3959" w14:paraId="277CF595" w14:textId="77777777" w:rsidTr="003F12D1">
                        <w:trPr>
                          <w:trHeight w:val="459"/>
                          <w:jc w:val="center"/>
                        </w:trPr>
                        <w:tc>
                          <w:tcPr>
                            <w:tcW w:w="3713" w:type="dxa"/>
                            <w:vAlign w:val="center"/>
                          </w:tcPr>
                          <w:p w14:paraId="26F4AC92"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Regional Directors:</w:t>
                            </w:r>
                          </w:p>
                        </w:tc>
                        <w:tc>
                          <w:tcPr>
                            <w:tcW w:w="5711" w:type="dxa"/>
                            <w:vAlign w:val="center"/>
                          </w:tcPr>
                          <w:p w14:paraId="138D1C22" w14:textId="77777777" w:rsidR="00D936A3" w:rsidRPr="00DA01D5" w:rsidRDefault="00B00100" w:rsidP="001A0547">
                            <w:pPr>
                              <w:rPr>
                                <w:rFonts w:asciiTheme="minorHAnsi" w:hAnsiTheme="minorHAnsi"/>
                                <w:noProof/>
                                <w:color w:val="auto"/>
                                <w:szCs w:val="22"/>
                              </w:rPr>
                            </w:pPr>
                            <w:r w:rsidRPr="00DA01D5">
                              <w:rPr>
                                <w:rFonts w:asciiTheme="minorHAnsi" w:hAnsiTheme="minorHAnsi"/>
                                <w:noProof/>
                                <w:color w:val="auto"/>
                                <w:szCs w:val="22"/>
                              </w:rPr>
                              <w:t>Dena Ringold and Amit Dar</w:t>
                            </w:r>
                          </w:p>
                        </w:tc>
                      </w:tr>
                      <w:tr w:rsidR="000C3959" w14:paraId="0E064CBC" w14:textId="77777777" w:rsidTr="003F12D1">
                        <w:trPr>
                          <w:trHeight w:val="459"/>
                          <w:jc w:val="center"/>
                        </w:trPr>
                        <w:tc>
                          <w:tcPr>
                            <w:tcW w:w="3713" w:type="dxa"/>
                            <w:vAlign w:val="center"/>
                            <w:hideMark/>
                          </w:tcPr>
                          <w:p w14:paraId="7FE61590"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Practice Manager:</w:t>
                            </w:r>
                          </w:p>
                        </w:tc>
                        <w:tc>
                          <w:tcPr>
                            <w:tcW w:w="5711" w:type="dxa"/>
                            <w:vAlign w:val="center"/>
                            <w:hideMark/>
                          </w:tcPr>
                          <w:p w14:paraId="38D63D9C" w14:textId="77777777" w:rsidR="00D936A3" w:rsidRPr="00DA01D5" w:rsidRDefault="00B00100" w:rsidP="001A0547">
                            <w:pPr>
                              <w:rPr>
                                <w:rFonts w:asciiTheme="minorHAnsi" w:hAnsiTheme="minorHAnsi"/>
                                <w:noProof/>
                                <w:color w:val="auto"/>
                                <w:szCs w:val="22"/>
                              </w:rPr>
                            </w:pPr>
                            <w:r w:rsidRPr="00DA01D5">
                              <w:rPr>
                                <w:rFonts w:asciiTheme="minorHAnsi" w:hAnsiTheme="minorHAnsi"/>
                                <w:noProof/>
                                <w:color w:val="auto"/>
                                <w:szCs w:val="22"/>
                              </w:rPr>
                              <w:t>Halil Dundar</w:t>
                            </w:r>
                          </w:p>
                        </w:tc>
                      </w:tr>
                      <w:tr w:rsidR="000C3959" w14:paraId="58654784" w14:textId="77777777" w:rsidTr="003F12D1">
                        <w:trPr>
                          <w:trHeight w:val="459"/>
                          <w:jc w:val="center"/>
                        </w:trPr>
                        <w:tc>
                          <w:tcPr>
                            <w:tcW w:w="3713" w:type="dxa"/>
                            <w:vAlign w:val="center"/>
                            <w:hideMark/>
                          </w:tcPr>
                          <w:p w14:paraId="22BA9194" w14:textId="77777777" w:rsidR="00D936A3" w:rsidRPr="00DA01D5" w:rsidRDefault="00B00100" w:rsidP="001A0547">
                            <w:pPr>
                              <w:jc w:val="right"/>
                              <w:rPr>
                                <w:rFonts w:asciiTheme="minorHAnsi" w:hAnsiTheme="minorHAnsi"/>
                                <w:color w:val="auto"/>
                                <w:szCs w:val="22"/>
                              </w:rPr>
                            </w:pPr>
                            <w:r w:rsidRPr="00DA01D5">
                              <w:rPr>
                                <w:rFonts w:asciiTheme="minorHAnsi" w:hAnsiTheme="minorHAnsi"/>
                                <w:color w:val="auto"/>
                                <w:szCs w:val="22"/>
                              </w:rPr>
                              <w:t>Task Team Leaders:</w:t>
                            </w:r>
                          </w:p>
                        </w:tc>
                        <w:tc>
                          <w:tcPr>
                            <w:tcW w:w="5711" w:type="dxa"/>
                            <w:vAlign w:val="center"/>
                            <w:hideMark/>
                          </w:tcPr>
                          <w:p w14:paraId="6A6FA6F7" w14:textId="77777777" w:rsidR="00D936A3" w:rsidRPr="00DA01D5" w:rsidRDefault="00B00100" w:rsidP="001A0547">
                            <w:pPr>
                              <w:rPr>
                                <w:rFonts w:asciiTheme="minorHAnsi" w:hAnsiTheme="minorHAnsi"/>
                                <w:noProof/>
                                <w:color w:val="auto"/>
                                <w:szCs w:val="22"/>
                              </w:rPr>
                            </w:pPr>
                            <w:bookmarkStart w:id="3" w:name="_Hlk23505078"/>
                            <w:r w:rsidRPr="00DA01D5">
                              <w:rPr>
                                <w:rFonts w:asciiTheme="minorHAnsi" w:hAnsiTheme="minorHAnsi"/>
                                <w:noProof/>
                                <w:color w:val="auto"/>
                                <w:szCs w:val="22"/>
                              </w:rPr>
                              <w:t>Ekua Nuama Bentil, Himdat Bayusuf</w:t>
                            </w:r>
                            <w:bookmarkEnd w:id="3"/>
                          </w:p>
                        </w:tc>
                      </w:tr>
                    </w:tbl>
                    <w:p w14:paraId="40758179" w14:textId="77777777" w:rsidR="00D936A3" w:rsidRPr="00501672" w:rsidRDefault="00D936A3" w:rsidP="004F5A32">
                      <w:pPr>
                        <w:spacing w:line="14" w:lineRule="exact"/>
                        <w:rPr>
                          <w:rFonts w:asciiTheme="minorHAnsi" w:hAnsiTheme="minorHAnsi"/>
                        </w:rPr>
                      </w:pPr>
                    </w:p>
                  </w:txbxContent>
                </v:textbox>
                <w10:wrap type="square"/>
              </v:shape>
            </w:pict>
          </mc:Fallback>
        </mc:AlternateContent>
      </w:r>
    </w:p>
    <w:p w14:paraId="53FE19DB" w14:textId="77777777" w:rsidR="003615CB" w:rsidRDefault="003615CB" w:rsidP="00370635">
      <w:pPr>
        <w:ind w:left="-907"/>
        <w:rPr>
          <w:rFonts w:asciiTheme="minorHAnsi" w:hAnsiTheme="minorHAnsi"/>
          <w:sz w:val="20"/>
        </w:rPr>
      </w:pPr>
    </w:p>
    <w:p w14:paraId="5632BC47" w14:textId="77777777" w:rsidR="001F0E76" w:rsidRDefault="00B00100" w:rsidP="001F0E76">
      <w:pPr>
        <w:spacing w:line="14" w:lineRule="exact"/>
        <w:ind w:left="-907"/>
        <w:rPr>
          <w:rFonts w:asciiTheme="minorHAnsi" w:hAnsiTheme="minorHAnsi"/>
          <w:sz w:val="20"/>
        </w:rPr>
      </w:pPr>
      <w:r>
        <w:rPr>
          <w:rFonts w:asciiTheme="minorHAnsi" w:hAnsiTheme="minorHAnsi"/>
          <w:sz w:val="20"/>
        </w:rPr>
        <w:br w:type="page"/>
      </w: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0C3959" w14:paraId="54B22AF9" w14:textId="77777777" w:rsidTr="003615CB">
        <w:trPr>
          <w:jc w:val="center"/>
        </w:trPr>
        <w:tc>
          <w:tcPr>
            <w:tcW w:w="9684" w:type="dxa"/>
            <w:vAlign w:val="center"/>
            <w:hideMark/>
          </w:tcPr>
          <w:p w14:paraId="736DC1D6" w14:textId="77777777" w:rsidR="003615CB" w:rsidRDefault="00B00100" w:rsidP="009F1AD7">
            <w:pPr>
              <w:widowControl/>
              <w:autoSpaceDE/>
              <w:autoSpaceDN/>
              <w:adjustRightInd/>
              <w:ind w:left="-900" w:firstLine="900"/>
              <w:jc w:val="center"/>
              <w:rPr>
                <w:rFonts w:asciiTheme="minorHAnsi" w:hAnsiTheme="minorHAnsi" w:cs="Times New Roman"/>
              </w:rPr>
            </w:pPr>
            <w:r w:rsidRPr="009F1AD7">
              <w:rPr>
                <w:rFonts w:asciiTheme="minorHAnsi" w:eastAsiaTheme="minorHAnsi" w:hAnsiTheme="minorHAnsi" w:cstheme="minorBidi"/>
                <w:b/>
                <w:bCs/>
                <w:color w:val="auto"/>
                <w:sz w:val="22"/>
                <w:szCs w:val="22"/>
              </w:rPr>
              <w:lastRenderedPageBreak/>
              <w:t>ABBREVIATIONS AND ACRONYMS</w:t>
            </w:r>
          </w:p>
        </w:tc>
      </w:tr>
      <w:tr w:rsidR="000C3959" w14:paraId="4E63E66B" w14:textId="77777777" w:rsidTr="003615CB">
        <w:trPr>
          <w:jc w:val="center"/>
        </w:trPr>
        <w:tc>
          <w:tcPr>
            <w:tcW w:w="9684" w:type="dxa"/>
          </w:tcPr>
          <w:p w14:paraId="52277297" w14:textId="77777777" w:rsidR="003615CB" w:rsidRDefault="003615CB" w:rsidP="00370635">
            <w:pPr>
              <w:rPr>
                <w:rFonts w:asciiTheme="minorHAnsi" w:hAnsiTheme="minorHAnsi" w:cs="Times New Roman"/>
                <w:b/>
                <w:sz w:val="22"/>
                <w:szCs w:val="22"/>
              </w:rPr>
            </w:pPr>
          </w:p>
        </w:tc>
      </w:tr>
    </w:tbl>
    <w:p w14:paraId="698B6F5C" w14:textId="77777777" w:rsidR="005F050B" w:rsidRDefault="005F050B" w:rsidP="00127655">
      <w:pPr>
        <w:spacing w:line="14" w:lineRule="exact"/>
        <w:ind w:left="-907"/>
        <w:rPr>
          <w:rFonts w:asciiTheme="minorHAnsi" w:hAnsiTheme="minorHAnsi"/>
        </w:rPr>
      </w:pPr>
    </w:p>
    <w:tbl>
      <w:tblPr>
        <w:tblStyle w:val="TableGrid10"/>
        <w:tblW w:w="12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8"/>
      </w:tblGrid>
      <w:tr w:rsidR="000C3959" w14:paraId="6636E098" w14:textId="77777777" w:rsidTr="00E003D0">
        <w:trPr>
          <w:jc w:val="center"/>
        </w:trPr>
        <w:tc>
          <w:tcPr>
            <w:tcW w:w="12078" w:type="dxa"/>
          </w:tcPr>
          <w:tbl>
            <w:tblPr>
              <w:tblStyle w:val="TableGrid4230"/>
              <w:tblW w:w="10621" w:type="dxa"/>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731"/>
            </w:tblGrid>
            <w:tr w:rsidR="000C3959" w14:paraId="0898FB82" w14:textId="77777777" w:rsidTr="000C46A6">
              <w:trPr>
                <w:trHeight w:val="257"/>
              </w:trPr>
              <w:tc>
                <w:tcPr>
                  <w:tcW w:w="1890" w:type="dxa"/>
                </w:tcPr>
                <w:p w14:paraId="253C0A1E"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bookmarkStart w:id="4" w:name="SECTION2"/>
                  <w:bookmarkEnd w:id="4"/>
                  <w:r w:rsidRPr="004D7B01">
                    <w:rPr>
                      <w:rFonts w:asciiTheme="minorHAnsi" w:eastAsiaTheme="minorHAnsi" w:hAnsiTheme="minorHAnsi" w:cstheme="minorBidi"/>
                      <w:color w:val="auto"/>
                      <w:sz w:val="22"/>
                      <w:szCs w:val="22"/>
                    </w:rPr>
                    <w:t>AAU</w:t>
                  </w:r>
                </w:p>
              </w:tc>
              <w:tc>
                <w:tcPr>
                  <w:tcW w:w="8731" w:type="dxa"/>
                </w:tcPr>
                <w:p w14:paraId="0B5CF7BE"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Association of African Universities</w:t>
                  </w:r>
                </w:p>
              </w:tc>
            </w:tr>
            <w:tr w:rsidR="000C3959" w14:paraId="351D673D" w14:textId="77777777" w:rsidTr="000C46A6">
              <w:trPr>
                <w:trHeight w:val="257"/>
              </w:trPr>
              <w:tc>
                <w:tcPr>
                  <w:tcW w:w="1890" w:type="dxa"/>
                </w:tcPr>
                <w:p w14:paraId="6FF568A4"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ABU</w:t>
                  </w:r>
                </w:p>
              </w:tc>
              <w:tc>
                <w:tcPr>
                  <w:tcW w:w="8731" w:type="dxa"/>
                </w:tcPr>
                <w:p w14:paraId="34BC412F"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Ahmadu Bello University</w:t>
                  </w:r>
                  <w:r w:rsidR="00797423">
                    <w:rPr>
                      <w:rFonts w:asciiTheme="minorHAnsi" w:eastAsiaTheme="minorHAnsi" w:hAnsiTheme="minorHAnsi" w:cstheme="minorBidi"/>
                      <w:color w:val="auto"/>
                      <w:sz w:val="22"/>
                      <w:szCs w:val="22"/>
                    </w:rPr>
                    <w:t>, Nigeria</w:t>
                  </w:r>
                </w:p>
              </w:tc>
            </w:tr>
            <w:tr w:rsidR="000C3959" w14:paraId="62FE0CFC" w14:textId="77777777" w:rsidTr="000C46A6">
              <w:trPr>
                <w:trHeight w:val="257"/>
              </w:trPr>
              <w:tc>
                <w:tcPr>
                  <w:tcW w:w="1890" w:type="dxa"/>
                </w:tcPr>
                <w:p w14:paraId="440E6DB8"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ACE</w:t>
                  </w:r>
                </w:p>
              </w:tc>
              <w:tc>
                <w:tcPr>
                  <w:tcW w:w="8731" w:type="dxa"/>
                </w:tcPr>
                <w:p w14:paraId="78940E85"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Africa Center of Excellence</w:t>
                  </w:r>
                </w:p>
              </w:tc>
            </w:tr>
            <w:tr w:rsidR="000C3959" w14:paraId="22F9A11D" w14:textId="77777777" w:rsidTr="000C46A6">
              <w:trPr>
                <w:trHeight w:val="257"/>
              </w:trPr>
              <w:tc>
                <w:tcPr>
                  <w:tcW w:w="1890" w:type="dxa"/>
                </w:tcPr>
                <w:p w14:paraId="47450560"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ACE I</w:t>
                  </w:r>
                </w:p>
              </w:tc>
              <w:tc>
                <w:tcPr>
                  <w:tcW w:w="8731" w:type="dxa"/>
                </w:tcPr>
                <w:p w14:paraId="3DEC07F2" w14:textId="77777777" w:rsidR="00EE63C7"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Africa Higher Education Centers of Excellence Project I</w:t>
                  </w:r>
                </w:p>
              </w:tc>
            </w:tr>
            <w:tr w:rsidR="000C3959" w14:paraId="638F5AB0" w14:textId="77777777" w:rsidTr="000C46A6">
              <w:trPr>
                <w:trHeight w:val="257"/>
              </w:trPr>
              <w:tc>
                <w:tcPr>
                  <w:tcW w:w="1890" w:type="dxa"/>
                </w:tcPr>
                <w:p w14:paraId="5DA692FA"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ACE II</w:t>
                  </w:r>
                </w:p>
              </w:tc>
              <w:tc>
                <w:tcPr>
                  <w:tcW w:w="8731" w:type="dxa"/>
                </w:tcPr>
                <w:p w14:paraId="5A61588F"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Africa Higher Education Centers of Excellence Project II </w:t>
                  </w:r>
                </w:p>
              </w:tc>
            </w:tr>
            <w:tr w:rsidR="000C3959" w:rsidRPr="006C70A5" w14:paraId="5D51C356" w14:textId="77777777" w:rsidTr="000C46A6">
              <w:trPr>
                <w:trHeight w:val="257"/>
              </w:trPr>
              <w:tc>
                <w:tcPr>
                  <w:tcW w:w="1890" w:type="dxa"/>
                </w:tcPr>
                <w:p w14:paraId="0D96EBA1"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AFD</w:t>
                  </w:r>
                </w:p>
              </w:tc>
              <w:tc>
                <w:tcPr>
                  <w:tcW w:w="8731" w:type="dxa"/>
                </w:tcPr>
                <w:p w14:paraId="71DA4339" w14:textId="77777777" w:rsidR="00EE63C7" w:rsidRPr="002D4430" w:rsidRDefault="00B00100" w:rsidP="00EE63C7">
                  <w:pPr>
                    <w:widowControl/>
                    <w:autoSpaceDE/>
                    <w:autoSpaceDN/>
                    <w:adjustRightInd/>
                    <w:ind w:left="-900" w:firstLine="900"/>
                    <w:rPr>
                      <w:rFonts w:asciiTheme="minorHAnsi" w:eastAsiaTheme="minorHAnsi" w:hAnsiTheme="minorHAnsi" w:cstheme="minorBidi"/>
                      <w:color w:val="auto"/>
                      <w:sz w:val="22"/>
                      <w:szCs w:val="22"/>
                      <w:lang w:val="fr-FR"/>
                    </w:rPr>
                  </w:pPr>
                  <w:r w:rsidRPr="002D4430">
                    <w:rPr>
                      <w:rFonts w:asciiTheme="minorHAnsi" w:eastAsiaTheme="minorHAnsi" w:hAnsiTheme="minorHAnsi" w:cstheme="minorBidi"/>
                      <w:color w:val="auto"/>
                      <w:sz w:val="22"/>
                      <w:szCs w:val="22"/>
                      <w:lang w:val="fr-FR"/>
                    </w:rPr>
                    <w:t>French Development Agency (</w:t>
                  </w:r>
                  <w:r w:rsidRPr="000C46A6">
                    <w:rPr>
                      <w:rFonts w:asciiTheme="minorHAnsi" w:eastAsiaTheme="minorHAnsi" w:hAnsiTheme="minorHAnsi" w:cstheme="minorBidi"/>
                      <w:i/>
                      <w:color w:val="auto"/>
                      <w:sz w:val="22"/>
                      <w:szCs w:val="22"/>
                      <w:lang w:val="fr-FR"/>
                    </w:rPr>
                    <w:t>Agence Française de Dévelo</w:t>
                  </w:r>
                  <w:r w:rsidR="002D4430" w:rsidRPr="000C46A6">
                    <w:rPr>
                      <w:rFonts w:asciiTheme="minorHAnsi" w:eastAsiaTheme="minorHAnsi" w:hAnsiTheme="minorHAnsi" w:cstheme="minorBidi"/>
                      <w:i/>
                      <w:color w:val="auto"/>
                      <w:sz w:val="22"/>
                      <w:szCs w:val="22"/>
                      <w:lang w:val="fr-FR"/>
                    </w:rPr>
                    <w:t>p</w:t>
                  </w:r>
                  <w:r w:rsidRPr="000C46A6">
                    <w:rPr>
                      <w:rFonts w:asciiTheme="minorHAnsi" w:eastAsiaTheme="minorHAnsi" w:hAnsiTheme="minorHAnsi" w:cstheme="minorBidi"/>
                      <w:i/>
                      <w:color w:val="auto"/>
                      <w:sz w:val="22"/>
                      <w:szCs w:val="22"/>
                      <w:lang w:val="fr-FR"/>
                    </w:rPr>
                    <w:t>p</w:t>
                  </w:r>
                  <w:r w:rsidR="002D4430" w:rsidRPr="000C46A6">
                    <w:rPr>
                      <w:rFonts w:asciiTheme="minorHAnsi" w:eastAsiaTheme="minorHAnsi" w:hAnsiTheme="minorHAnsi" w:cstheme="minorBidi"/>
                      <w:i/>
                      <w:color w:val="auto"/>
                      <w:sz w:val="22"/>
                      <w:szCs w:val="22"/>
                      <w:lang w:val="fr-FR"/>
                    </w:rPr>
                    <w:t>e</w:t>
                  </w:r>
                  <w:r w:rsidRPr="000C46A6">
                    <w:rPr>
                      <w:rFonts w:asciiTheme="minorHAnsi" w:eastAsiaTheme="minorHAnsi" w:hAnsiTheme="minorHAnsi" w:cstheme="minorBidi"/>
                      <w:i/>
                      <w:color w:val="auto"/>
                      <w:sz w:val="22"/>
                      <w:szCs w:val="22"/>
                      <w:lang w:val="fr-FR"/>
                    </w:rPr>
                    <w:t>ment</w:t>
                  </w:r>
                  <w:r w:rsidRPr="002D4430">
                    <w:rPr>
                      <w:rFonts w:asciiTheme="minorHAnsi" w:eastAsiaTheme="minorHAnsi" w:hAnsiTheme="minorHAnsi" w:cstheme="minorBidi"/>
                      <w:color w:val="auto"/>
                      <w:sz w:val="22"/>
                      <w:szCs w:val="22"/>
                      <w:lang w:val="fr-FR"/>
                    </w:rPr>
                    <w:t>)</w:t>
                  </w:r>
                </w:p>
              </w:tc>
            </w:tr>
            <w:tr w:rsidR="000C3959" w:rsidRPr="006C70A5" w14:paraId="6CF6444F" w14:textId="77777777" w:rsidTr="000C46A6">
              <w:trPr>
                <w:trHeight w:val="257"/>
              </w:trPr>
              <w:tc>
                <w:tcPr>
                  <w:tcW w:w="1890" w:type="dxa"/>
                </w:tcPr>
                <w:p w14:paraId="24BFAE29"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ANR</w:t>
                  </w:r>
                </w:p>
              </w:tc>
              <w:tc>
                <w:tcPr>
                  <w:tcW w:w="8731" w:type="dxa"/>
                </w:tcPr>
                <w:p w14:paraId="68890E4B" w14:textId="77777777" w:rsidR="00EE63C7" w:rsidRPr="003651BD" w:rsidRDefault="00B00100" w:rsidP="00EE63C7">
                  <w:pPr>
                    <w:widowControl/>
                    <w:autoSpaceDE/>
                    <w:autoSpaceDN/>
                    <w:adjustRightInd/>
                    <w:ind w:left="-900" w:firstLine="900"/>
                    <w:rPr>
                      <w:rFonts w:asciiTheme="minorHAnsi" w:eastAsiaTheme="minorHAnsi" w:hAnsiTheme="minorHAnsi" w:cstheme="minorBidi"/>
                      <w:color w:val="auto"/>
                      <w:sz w:val="22"/>
                      <w:szCs w:val="22"/>
                      <w:lang w:val="fr-FR"/>
                    </w:rPr>
                  </w:pPr>
                  <w:r w:rsidRPr="003651BD">
                    <w:rPr>
                      <w:rFonts w:asciiTheme="minorHAnsi" w:eastAsiaTheme="minorHAnsi" w:hAnsiTheme="minorHAnsi" w:cstheme="minorBidi"/>
                      <w:color w:val="auto"/>
                      <w:sz w:val="22"/>
                      <w:szCs w:val="22"/>
                      <w:lang w:val="fr-FR"/>
                    </w:rPr>
                    <w:t>National Research Agency (</w:t>
                  </w:r>
                  <w:r w:rsidRPr="00DA01D5">
                    <w:rPr>
                      <w:rFonts w:asciiTheme="minorHAnsi" w:eastAsiaTheme="minorHAnsi" w:hAnsiTheme="minorHAnsi" w:cstheme="minorBidi"/>
                      <w:i/>
                      <w:color w:val="auto"/>
                      <w:sz w:val="22"/>
                      <w:szCs w:val="22"/>
                      <w:lang w:val="fr-FR"/>
                    </w:rPr>
                    <w:t>Agence Nationale de la Recherche</w:t>
                  </w:r>
                  <w:r w:rsidRPr="003651BD">
                    <w:rPr>
                      <w:rFonts w:asciiTheme="minorHAnsi" w:eastAsiaTheme="minorHAnsi" w:hAnsiTheme="minorHAnsi" w:cstheme="minorBidi"/>
                      <w:color w:val="auto"/>
                      <w:sz w:val="22"/>
                      <w:szCs w:val="22"/>
                      <w:lang w:val="fr-FR"/>
                    </w:rPr>
                    <w:t>)</w:t>
                  </w:r>
                </w:p>
              </w:tc>
            </w:tr>
            <w:tr w:rsidR="000C3959" w14:paraId="79C06BE2" w14:textId="77777777" w:rsidTr="000C46A6">
              <w:trPr>
                <w:trHeight w:val="257"/>
              </w:trPr>
              <w:tc>
                <w:tcPr>
                  <w:tcW w:w="1890" w:type="dxa"/>
                </w:tcPr>
                <w:p w14:paraId="3EA78E93"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BMBF</w:t>
                  </w:r>
                </w:p>
              </w:tc>
              <w:tc>
                <w:tcPr>
                  <w:tcW w:w="8731" w:type="dxa"/>
                </w:tcPr>
                <w:p w14:paraId="3D156B41" w14:textId="77777777" w:rsidR="00EE63C7"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German Ministry of Education and Research (</w:t>
                  </w:r>
                  <w:proofErr w:type="spellStart"/>
                  <w:r w:rsidRPr="000C46A6">
                    <w:rPr>
                      <w:rFonts w:asciiTheme="minorHAnsi" w:eastAsiaTheme="minorHAnsi" w:hAnsiTheme="minorHAnsi" w:cstheme="minorBidi"/>
                      <w:i/>
                      <w:color w:val="auto"/>
                      <w:sz w:val="22"/>
                      <w:szCs w:val="22"/>
                    </w:rPr>
                    <w:t>Bundesministerium</w:t>
                  </w:r>
                  <w:proofErr w:type="spellEnd"/>
                  <w:r w:rsidRPr="000C46A6">
                    <w:rPr>
                      <w:rFonts w:asciiTheme="minorHAnsi" w:eastAsiaTheme="minorHAnsi" w:hAnsiTheme="minorHAnsi" w:cstheme="minorBidi"/>
                      <w:i/>
                      <w:color w:val="auto"/>
                      <w:sz w:val="22"/>
                      <w:szCs w:val="22"/>
                    </w:rPr>
                    <w:t xml:space="preserve"> </w:t>
                  </w:r>
                  <w:proofErr w:type="spellStart"/>
                  <w:r w:rsidRPr="000C46A6">
                    <w:rPr>
                      <w:rFonts w:asciiTheme="minorHAnsi" w:eastAsiaTheme="minorHAnsi" w:hAnsiTheme="minorHAnsi" w:cstheme="minorBidi"/>
                      <w:i/>
                      <w:color w:val="auto"/>
                      <w:sz w:val="22"/>
                      <w:szCs w:val="22"/>
                    </w:rPr>
                    <w:t>für</w:t>
                  </w:r>
                  <w:proofErr w:type="spellEnd"/>
                  <w:r w:rsidRPr="000C46A6">
                    <w:rPr>
                      <w:rFonts w:asciiTheme="minorHAnsi" w:eastAsiaTheme="minorHAnsi" w:hAnsiTheme="minorHAnsi" w:cstheme="minorBidi"/>
                      <w:i/>
                      <w:color w:val="auto"/>
                      <w:sz w:val="22"/>
                      <w:szCs w:val="22"/>
                    </w:rPr>
                    <w:t xml:space="preserve"> </w:t>
                  </w:r>
                  <w:proofErr w:type="spellStart"/>
                  <w:r w:rsidRPr="000C46A6">
                    <w:rPr>
                      <w:rFonts w:asciiTheme="minorHAnsi" w:eastAsiaTheme="minorHAnsi" w:hAnsiTheme="minorHAnsi" w:cstheme="minorBidi"/>
                      <w:i/>
                      <w:color w:val="auto"/>
                      <w:sz w:val="22"/>
                      <w:szCs w:val="22"/>
                    </w:rPr>
                    <w:t>Bildung</w:t>
                  </w:r>
                  <w:proofErr w:type="spellEnd"/>
                  <w:r w:rsidRPr="000C46A6">
                    <w:rPr>
                      <w:rFonts w:asciiTheme="minorHAnsi" w:eastAsiaTheme="minorHAnsi" w:hAnsiTheme="minorHAnsi" w:cstheme="minorBidi"/>
                      <w:i/>
                      <w:color w:val="auto"/>
                      <w:sz w:val="22"/>
                      <w:szCs w:val="22"/>
                    </w:rPr>
                    <w:t xml:space="preserve"> und </w:t>
                  </w:r>
                  <w:proofErr w:type="spellStart"/>
                  <w:r w:rsidRPr="000C46A6">
                    <w:rPr>
                      <w:rFonts w:asciiTheme="minorHAnsi" w:eastAsiaTheme="minorHAnsi" w:hAnsiTheme="minorHAnsi" w:cstheme="minorBidi"/>
                      <w:i/>
                      <w:color w:val="auto"/>
                      <w:sz w:val="22"/>
                      <w:szCs w:val="22"/>
                    </w:rPr>
                    <w:t>Forschung</w:t>
                  </w:r>
                  <w:proofErr w:type="spellEnd"/>
                  <w:r w:rsidRPr="004D7B01">
                    <w:rPr>
                      <w:rFonts w:asciiTheme="minorHAnsi" w:eastAsiaTheme="minorHAnsi" w:hAnsiTheme="minorHAnsi" w:cstheme="minorBidi"/>
                      <w:color w:val="auto"/>
                      <w:sz w:val="22"/>
                      <w:szCs w:val="22"/>
                    </w:rPr>
                    <w:t>)</w:t>
                  </w:r>
                </w:p>
              </w:tc>
            </w:tr>
            <w:tr w:rsidR="000C3959" w14:paraId="5410DF25" w14:textId="77777777" w:rsidTr="00CF23D7">
              <w:trPr>
                <w:trHeight w:val="257"/>
              </w:trPr>
              <w:tc>
                <w:tcPr>
                  <w:tcW w:w="1890" w:type="dxa"/>
                </w:tcPr>
                <w:p w14:paraId="65F7C40C" w14:textId="77777777" w:rsidR="000E08DA"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BPP</w:t>
                  </w:r>
                </w:p>
              </w:tc>
              <w:tc>
                <w:tcPr>
                  <w:tcW w:w="8731" w:type="dxa"/>
                </w:tcPr>
                <w:p w14:paraId="6D28DF71" w14:textId="77777777" w:rsidR="000E08DA"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7A6F32">
                    <w:rPr>
                      <w:rFonts w:ascii="Calibri" w:eastAsia="Calibri" w:hAnsi="Calibri" w:cs="Calibri"/>
                      <w:color w:val="auto"/>
                      <w:sz w:val="22"/>
                      <w:szCs w:val="22"/>
                    </w:rPr>
                    <w:t xml:space="preserve">Bureau of Public Procurement </w:t>
                  </w:r>
                </w:p>
              </w:tc>
            </w:tr>
            <w:tr w:rsidR="000C3959" w14:paraId="2653DB2B" w14:textId="77777777" w:rsidTr="000C46A6">
              <w:trPr>
                <w:trHeight w:val="257"/>
              </w:trPr>
              <w:tc>
                <w:tcPr>
                  <w:tcW w:w="1890" w:type="dxa"/>
                </w:tcPr>
                <w:p w14:paraId="264D7A44"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BSU</w:t>
                  </w:r>
                </w:p>
              </w:tc>
              <w:tc>
                <w:tcPr>
                  <w:tcW w:w="8731" w:type="dxa"/>
                </w:tcPr>
                <w:p w14:paraId="055844CB" w14:textId="77777777" w:rsidR="00EE63C7"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Benue State University</w:t>
                  </w:r>
                  <w:r w:rsidR="000E22C4">
                    <w:rPr>
                      <w:rFonts w:asciiTheme="minorHAnsi" w:eastAsiaTheme="minorHAnsi" w:hAnsiTheme="minorHAnsi" w:cstheme="minorBidi"/>
                      <w:color w:val="auto"/>
                      <w:sz w:val="22"/>
                      <w:szCs w:val="22"/>
                    </w:rPr>
                    <w:t>, Nigeria</w:t>
                  </w:r>
                </w:p>
              </w:tc>
            </w:tr>
            <w:tr w:rsidR="000C3959" w14:paraId="34691948" w14:textId="77777777" w:rsidTr="000C46A6">
              <w:trPr>
                <w:trHeight w:val="257"/>
              </w:trPr>
              <w:tc>
                <w:tcPr>
                  <w:tcW w:w="1890" w:type="dxa"/>
                </w:tcPr>
                <w:p w14:paraId="7A0BB5AB"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BUK</w:t>
                  </w:r>
                </w:p>
              </w:tc>
              <w:tc>
                <w:tcPr>
                  <w:tcW w:w="8731" w:type="dxa"/>
                </w:tcPr>
                <w:p w14:paraId="2E45520A" w14:textId="77777777" w:rsidR="00EE63C7"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Bayero University</w:t>
                  </w:r>
                  <w:r w:rsidR="006C06A9">
                    <w:rPr>
                      <w:rFonts w:asciiTheme="minorHAnsi" w:eastAsiaTheme="minorHAnsi" w:hAnsiTheme="minorHAnsi" w:cstheme="minorBidi"/>
                      <w:color w:val="auto"/>
                      <w:sz w:val="22"/>
                      <w:szCs w:val="22"/>
                    </w:rPr>
                    <w:t>,</w:t>
                  </w:r>
                  <w:r w:rsidRPr="004D7B01">
                    <w:rPr>
                      <w:rFonts w:asciiTheme="minorHAnsi" w:eastAsiaTheme="minorHAnsi" w:hAnsiTheme="minorHAnsi" w:cstheme="minorBidi"/>
                      <w:color w:val="auto"/>
                      <w:sz w:val="22"/>
                      <w:szCs w:val="22"/>
                    </w:rPr>
                    <w:t xml:space="preserve"> Kano</w:t>
                  </w:r>
                  <w:r w:rsidR="000E22C4">
                    <w:rPr>
                      <w:rFonts w:asciiTheme="minorHAnsi" w:eastAsiaTheme="minorHAnsi" w:hAnsiTheme="minorHAnsi" w:cstheme="minorBidi"/>
                      <w:color w:val="auto"/>
                      <w:sz w:val="22"/>
                      <w:szCs w:val="22"/>
                    </w:rPr>
                    <w:t>, Nigeria</w:t>
                  </w:r>
                </w:p>
              </w:tc>
            </w:tr>
            <w:tr w:rsidR="000C3959" w14:paraId="359D894D" w14:textId="77777777" w:rsidTr="000C46A6">
              <w:trPr>
                <w:trHeight w:val="257"/>
              </w:trPr>
              <w:tc>
                <w:tcPr>
                  <w:tcW w:w="1890" w:type="dxa"/>
                </w:tcPr>
                <w:p w14:paraId="3EFBBC38" w14:textId="77777777" w:rsidR="0083514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68480E">
                    <w:rPr>
                      <w:rFonts w:asciiTheme="minorHAnsi" w:eastAsiaTheme="minorHAnsi" w:hAnsiTheme="minorHAnsi" w:cstheme="minorBidi"/>
                      <w:color w:val="auto"/>
                      <w:sz w:val="22"/>
                      <w:szCs w:val="22"/>
                      <w:lang w:val="fr-FR"/>
                    </w:rPr>
                    <w:t>C2EA</w:t>
                  </w:r>
                </w:p>
              </w:tc>
              <w:tc>
                <w:tcPr>
                  <w:tcW w:w="8731" w:type="dxa"/>
                </w:tcPr>
                <w:p w14:paraId="5A707ABF" w14:textId="77777777" w:rsidR="00583B7F" w:rsidRPr="00DA01D5" w:rsidRDefault="00B00100" w:rsidP="004D7B01">
                  <w:pPr>
                    <w:widowControl/>
                    <w:autoSpaceDE/>
                    <w:autoSpaceDN/>
                    <w:adjustRightInd/>
                    <w:ind w:left="-900" w:firstLine="900"/>
                    <w:rPr>
                      <w:rFonts w:asciiTheme="minorHAnsi" w:eastAsiaTheme="minorHAnsi" w:hAnsiTheme="minorHAnsi" w:cstheme="minorBidi"/>
                      <w:i/>
                      <w:color w:val="auto"/>
                      <w:sz w:val="22"/>
                      <w:szCs w:val="22"/>
                      <w:lang w:val="fr-FR"/>
                    </w:rPr>
                  </w:pPr>
                  <w:r w:rsidRPr="004D7B01">
                    <w:rPr>
                      <w:rFonts w:asciiTheme="minorHAnsi" w:eastAsiaTheme="minorHAnsi" w:hAnsiTheme="minorHAnsi" w:cstheme="minorBidi"/>
                      <w:color w:val="auto"/>
                      <w:sz w:val="22"/>
                      <w:szCs w:val="22"/>
                    </w:rPr>
                    <w:t>Africa Center of Excellence</w:t>
                  </w:r>
                  <w:r>
                    <w:rPr>
                      <w:rFonts w:asciiTheme="minorHAnsi" w:eastAsiaTheme="minorHAnsi" w:hAnsiTheme="minorHAnsi" w:cstheme="minorBidi"/>
                      <w:color w:val="auto"/>
                      <w:sz w:val="22"/>
                      <w:szCs w:val="22"/>
                      <w:lang w:val="fr-FR"/>
                    </w:rPr>
                    <w:t xml:space="preserve"> for</w:t>
                  </w:r>
                  <w:r w:rsidR="00835147" w:rsidRPr="00DA01D5">
                    <w:rPr>
                      <w:rFonts w:asciiTheme="minorHAnsi" w:eastAsiaTheme="minorHAnsi" w:hAnsiTheme="minorHAnsi" w:cstheme="minorBidi"/>
                      <w:color w:val="auto"/>
                      <w:sz w:val="22"/>
                      <w:szCs w:val="22"/>
                      <w:lang w:val="fr-FR"/>
                    </w:rPr>
                    <w:t xml:space="preserve"> Water and </w:t>
                  </w:r>
                  <w:r w:rsidR="00835147" w:rsidRPr="00BA5BAB">
                    <w:rPr>
                      <w:rFonts w:asciiTheme="minorHAnsi" w:eastAsiaTheme="minorHAnsi" w:hAnsiTheme="minorHAnsi" w:cstheme="minorBidi"/>
                      <w:color w:val="auto"/>
                      <w:sz w:val="22"/>
                      <w:szCs w:val="22"/>
                    </w:rPr>
                    <w:t>Sanitation</w:t>
                  </w:r>
                  <w:r>
                    <w:rPr>
                      <w:rFonts w:asciiTheme="minorHAnsi" w:eastAsiaTheme="minorHAnsi" w:hAnsiTheme="minorHAnsi" w:cstheme="minorBidi"/>
                      <w:color w:val="auto"/>
                      <w:sz w:val="22"/>
                      <w:szCs w:val="22"/>
                      <w:lang w:val="fr-FR"/>
                    </w:rPr>
                    <w:t xml:space="preserve"> (</w:t>
                  </w:r>
                  <w:r w:rsidR="00835147" w:rsidRPr="00DA01D5">
                    <w:rPr>
                      <w:rFonts w:asciiTheme="minorHAnsi" w:eastAsiaTheme="minorHAnsi" w:hAnsiTheme="minorHAnsi" w:cstheme="minorBidi"/>
                      <w:i/>
                      <w:color w:val="auto"/>
                      <w:sz w:val="22"/>
                      <w:szCs w:val="22"/>
                      <w:lang w:val="fr-FR"/>
                    </w:rPr>
                    <w:t xml:space="preserve">Centre d’Excellence Africain pour l’Eau et </w:t>
                  </w:r>
                </w:p>
                <w:p w14:paraId="2821D964" w14:textId="77777777" w:rsidR="00835147" w:rsidRPr="00DA01D5" w:rsidRDefault="00B00100" w:rsidP="004D7B01">
                  <w:pPr>
                    <w:widowControl/>
                    <w:autoSpaceDE/>
                    <w:autoSpaceDN/>
                    <w:adjustRightInd/>
                    <w:ind w:left="-900" w:firstLine="900"/>
                    <w:rPr>
                      <w:rFonts w:asciiTheme="minorHAnsi" w:eastAsiaTheme="minorHAnsi" w:hAnsiTheme="minorHAnsi" w:cstheme="minorBidi"/>
                      <w:color w:val="auto"/>
                      <w:sz w:val="22"/>
                      <w:szCs w:val="22"/>
                      <w:lang w:val="fr-FR"/>
                    </w:rPr>
                  </w:pPr>
                  <w:r w:rsidRPr="00DA01D5">
                    <w:rPr>
                      <w:rFonts w:asciiTheme="minorHAnsi" w:eastAsiaTheme="minorHAnsi" w:hAnsiTheme="minorHAnsi" w:cstheme="minorBidi"/>
                      <w:i/>
                      <w:color w:val="auto"/>
                      <w:sz w:val="22"/>
                      <w:szCs w:val="22"/>
                      <w:lang w:val="fr-FR"/>
                    </w:rPr>
                    <w:t>l’Assainissement</w:t>
                  </w:r>
                  <w:r w:rsidR="00583B7F">
                    <w:rPr>
                      <w:rFonts w:asciiTheme="minorHAnsi" w:eastAsiaTheme="minorHAnsi" w:hAnsiTheme="minorHAnsi" w:cstheme="minorBidi"/>
                      <w:color w:val="auto"/>
                      <w:sz w:val="22"/>
                      <w:szCs w:val="22"/>
                      <w:lang w:val="fr-FR"/>
                    </w:rPr>
                    <w:t>)</w:t>
                  </w:r>
                </w:p>
              </w:tc>
            </w:tr>
            <w:tr w:rsidR="000C3959" w14:paraId="55AE8FDD" w14:textId="77777777" w:rsidTr="000C46A6">
              <w:trPr>
                <w:trHeight w:val="257"/>
              </w:trPr>
              <w:tc>
                <w:tcPr>
                  <w:tcW w:w="1890" w:type="dxa"/>
                </w:tcPr>
                <w:p w14:paraId="77A91CBF" w14:textId="77777777" w:rsidR="00EE63C7"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CBA</w:t>
                  </w:r>
                </w:p>
              </w:tc>
              <w:tc>
                <w:tcPr>
                  <w:tcW w:w="8731" w:type="dxa"/>
                </w:tcPr>
                <w:p w14:paraId="2DC0BA0F" w14:textId="77777777" w:rsidR="00EE63C7"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Cost-benefit Analysis</w:t>
                  </w:r>
                </w:p>
              </w:tc>
            </w:tr>
            <w:tr w:rsidR="000C3959" w:rsidRPr="006C70A5" w14:paraId="5F25030F" w14:textId="77777777" w:rsidTr="000C46A6">
              <w:trPr>
                <w:trHeight w:val="257"/>
              </w:trPr>
              <w:tc>
                <w:tcPr>
                  <w:tcW w:w="1890" w:type="dxa"/>
                </w:tcPr>
                <w:p w14:paraId="24D1F6E4" w14:textId="77777777" w:rsidR="00F54D99" w:rsidRPr="004D7B01" w:rsidRDefault="00B00100" w:rsidP="00EE63C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CCBAD</w:t>
                  </w:r>
                </w:p>
              </w:tc>
              <w:tc>
                <w:tcPr>
                  <w:tcW w:w="8731" w:type="dxa"/>
                </w:tcPr>
                <w:p w14:paraId="25F947FF" w14:textId="77777777" w:rsidR="00583B7F" w:rsidRPr="00DA01D5" w:rsidRDefault="00B00100" w:rsidP="004D7B01">
                  <w:pPr>
                    <w:widowControl/>
                    <w:autoSpaceDE/>
                    <w:autoSpaceDN/>
                    <w:adjustRightInd/>
                    <w:ind w:left="-900" w:firstLine="900"/>
                    <w:rPr>
                      <w:rFonts w:asciiTheme="minorHAnsi" w:eastAsiaTheme="minorHAnsi" w:hAnsiTheme="minorHAnsi" w:cstheme="minorBidi"/>
                      <w:i/>
                      <w:color w:val="auto"/>
                      <w:sz w:val="22"/>
                      <w:szCs w:val="22"/>
                    </w:rPr>
                  </w:pPr>
                  <w:r w:rsidRPr="004D7B01">
                    <w:rPr>
                      <w:rFonts w:asciiTheme="minorHAnsi" w:eastAsiaTheme="minorHAnsi" w:hAnsiTheme="minorHAnsi" w:cstheme="minorBidi"/>
                      <w:color w:val="auto"/>
                      <w:sz w:val="22"/>
                      <w:szCs w:val="22"/>
                    </w:rPr>
                    <w:t>Africa Center of Excellence</w:t>
                  </w:r>
                  <w:r w:rsidRPr="00DA01D5">
                    <w:rPr>
                      <w:rFonts w:asciiTheme="minorHAnsi" w:eastAsiaTheme="minorHAnsi" w:hAnsiTheme="minorHAnsi" w:cstheme="minorBidi"/>
                      <w:color w:val="auto"/>
                      <w:sz w:val="22"/>
                      <w:szCs w:val="22"/>
                    </w:rPr>
                    <w:t xml:space="preserve"> for </w:t>
                  </w:r>
                  <w:r w:rsidR="00F54D99" w:rsidRPr="00DA01D5">
                    <w:rPr>
                      <w:rFonts w:asciiTheme="minorHAnsi" w:eastAsiaTheme="minorHAnsi" w:hAnsiTheme="minorHAnsi" w:cstheme="minorBidi"/>
                      <w:color w:val="auto"/>
                      <w:sz w:val="22"/>
                      <w:szCs w:val="22"/>
                    </w:rPr>
                    <w:t>Biodiversity and Sustainable Agriculture</w:t>
                  </w:r>
                  <w:r w:rsidR="00282AE7" w:rsidRPr="00583B7F">
                    <w:rPr>
                      <w:rFonts w:asciiTheme="minorHAnsi" w:eastAsiaTheme="minorHAnsi" w:hAnsiTheme="minorHAnsi" w:cstheme="minorBidi"/>
                      <w:color w:val="auto"/>
                      <w:sz w:val="22"/>
                      <w:szCs w:val="22"/>
                    </w:rPr>
                    <w:t xml:space="preserve"> (</w:t>
                  </w:r>
                  <w:r w:rsidR="00282AE7" w:rsidRPr="00DA01D5">
                    <w:rPr>
                      <w:rFonts w:asciiTheme="minorHAnsi" w:eastAsiaTheme="minorHAnsi" w:hAnsiTheme="minorHAnsi" w:cstheme="minorBidi"/>
                      <w:i/>
                      <w:color w:val="auto"/>
                      <w:sz w:val="22"/>
                      <w:szCs w:val="22"/>
                    </w:rPr>
                    <w:t xml:space="preserve">Centre </w:t>
                  </w:r>
                  <w:proofErr w:type="spellStart"/>
                  <w:r w:rsidR="00282AE7" w:rsidRPr="00DA01D5">
                    <w:rPr>
                      <w:rFonts w:asciiTheme="minorHAnsi" w:eastAsiaTheme="minorHAnsi" w:hAnsiTheme="minorHAnsi" w:cstheme="minorBidi"/>
                      <w:i/>
                      <w:color w:val="auto"/>
                      <w:sz w:val="22"/>
                      <w:szCs w:val="22"/>
                    </w:rPr>
                    <w:t>d’Excellence</w:t>
                  </w:r>
                  <w:proofErr w:type="spellEnd"/>
                  <w:r w:rsidR="00282AE7" w:rsidRPr="00DA01D5">
                    <w:rPr>
                      <w:rFonts w:asciiTheme="minorHAnsi" w:eastAsiaTheme="minorHAnsi" w:hAnsiTheme="minorHAnsi" w:cstheme="minorBidi"/>
                      <w:i/>
                      <w:color w:val="auto"/>
                      <w:sz w:val="22"/>
                      <w:szCs w:val="22"/>
                    </w:rPr>
                    <w:t xml:space="preserve"> </w:t>
                  </w:r>
                </w:p>
                <w:p w14:paraId="674BB9D5" w14:textId="77777777" w:rsidR="00F54D99" w:rsidRPr="00DA01D5" w:rsidRDefault="00B00100" w:rsidP="008C6FBF">
                  <w:pPr>
                    <w:widowControl/>
                    <w:autoSpaceDE/>
                    <w:autoSpaceDN/>
                    <w:adjustRightInd/>
                    <w:ind w:left="-900" w:firstLine="900"/>
                    <w:rPr>
                      <w:rFonts w:asciiTheme="minorHAnsi" w:eastAsiaTheme="minorHAnsi" w:hAnsiTheme="minorHAnsi" w:cstheme="minorBidi"/>
                      <w:i/>
                      <w:color w:val="auto"/>
                      <w:sz w:val="22"/>
                      <w:szCs w:val="22"/>
                      <w:lang w:val="fr-FR"/>
                    </w:rPr>
                  </w:pPr>
                  <w:r w:rsidRPr="00DA01D5">
                    <w:rPr>
                      <w:rFonts w:asciiTheme="minorHAnsi" w:eastAsiaTheme="minorHAnsi" w:hAnsiTheme="minorHAnsi" w:cstheme="minorBidi"/>
                      <w:i/>
                      <w:color w:val="auto"/>
                      <w:sz w:val="22"/>
                      <w:szCs w:val="22"/>
                      <w:lang w:val="fr-FR"/>
                    </w:rPr>
                    <w:t>Africain sur les Changements</w:t>
                  </w:r>
                  <w:r w:rsidR="008C6FBF">
                    <w:rPr>
                      <w:rFonts w:asciiTheme="minorHAnsi" w:eastAsiaTheme="minorHAnsi" w:hAnsiTheme="minorHAnsi" w:cstheme="minorBidi"/>
                      <w:i/>
                      <w:color w:val="auto"/>
                      <w:sz w:val="22"/>
                      <w:szCs w:val="22"/>
                      <w:lang w:val="fr-FR"/>
                    </w:rPr>
                    <w:t xml:space="preserve"> </w:t>
                  </w:r>
                  <w:r w:rsidRPr="00DA01D5">
                    <w:rPr>
                      <w:rFonts w:asciiTheme="minorHAnsi" w:eastAsiaTheme="minorHAnsi" w:hAnsiTheme="minorHAnsi" w:cstheme="minorBidi"/>
                      <w:i/>
                      <w:color w:val="auto"/>
                      <w:sz w:val="22"/>
                      <w:szCs w:val="22"/>
                      <w:lang w:val="fr-FR"/>
                    </w:rPr>
                    <w:t xml:space="preserve">Climatiques, </w:t>
                  </w:r>
                  <w:r w:rsidR="00CC6C80" w:rsidRPr="00DA01D5">
                    <w:rPr>
                      <w:rFonts w:asciiTheme="minorHAnsi" w:eastAsiaTheme="minorHAnsi" w:hAnsiTheme="minorHAnsi" w:cstheme="minorBidi"/>
                      <w:i/>
                      <w:color w:val="auto"/>
                      <w:sz w:val="22"/>
                      <w:szCs w:val="22"/>
                      <w:lang w:val="fr-FR"/>
                    </w:rPr>
                    <w:t>l</w:t>
                  </w:r>
                  <w:r w:rsidRPr="00DA01D5">
                    <w:rPr>
                      <w:rFonts w:asciiTheme="minorHAnsi" w:eastAsiaTheme="minorHAnsi" w:hAnsiTheme="minorHAnsi" w:cstheme="minorBidi"/>
                      <w:i/>
                      <w:color w:val="auto"/>
                      <w:sz w:val="22"/>
                      <w:szCs w:val="22"/>
                      <w:lang w:val="fr-FR"/>
                    </w:rPr>
                    <w:t xml:space="preserve">a </w:t>
                  </w:r>
                  <w:r w:rsidR="00CC6C80" w:rsidRPr="00DA01D5">
                    <w:rPr>
                      <w:rFonts w:asciiTheme="minorHAnsi" w:eastAsiaTheme="minorHAnsi" w:hAnsiTheme="minorHAnsi" w:cstheme="minorBidi"/>
                      <w:i/>
                      <w:color w:val="auto"/>
                      <w:sz w:val="22"/>
                      <w:szCs w:val="22"/>
                      <w:lang w:val="fr-FR"/>
                    </w:rPr>
                    <w:t>Biodiversité</w:t>
                  </w:r>
                  <w:r w:rsidRPr="00DA01D5">
                    <w:rPr>
                      <w:rFonts w:asciiTheme="minorHAnsi" w:eastAsiaTheme="minorHAnsi" w:hAnsiTheme="minorHAnsi" w:cstheme="minorBidi"/>
                      <w:i/>
                      <w:color w:val="auto"/>
                      <w:sz w:val="22"/>
                      <w:szCs w:val="22"/>
                      <w:lang w:val="fr-FR"/>
                    </w:rPr>
                    <w:t xml:space="preserve"> </w:t>
                  </w:r>
                  <w:r w:rsidR="00CC6C80" w:rsidRPr="00DA01D5">
                    <w:rPr>
                      <w:rFonts w:asciiTheme="minorHAnsi" w:eastAsiaTheme="minorHAnsi" w:hAnsiTheme="minorHAnsi" w:cstheme="minorBidi"/>
                      <w:i/>
                      <w:color w:val="auto"/>
                      <w:sz w:val="22"/>
                      <w:szCs w:val="22"/>
                      <w:lang w:val="fr-FR"/>
                    </w:rPr>
                    <w:t>e</w:t>
                  </w:r>
                  <w:r w:rsidRPr="00DA01D5">
                    <w:rPr>
                      <w:rFonts w:asciiTheme="minorHAnsi" w:eastAsiaTheme="minorHAnsi" w:hAnsiTheme="minorHAnsi" w:cstheme="minorBidi"/>
                      <w:i/>
                      <w:color w:val="auto"/>
                      <w:sz w:val="22"/>
                      <w:szCs w:val="22"/>
                      <w:lang w:val="fr-FR"/>
                    </w:rPr>
                    <w:t xml:space="preserve">t </w:t>
                  </w:r>
                  <w:r w:rsidR="00CC6C80" w:rsidRPr="00DA01D5">
                    <w:rPr>
                      <w:rFonts w:asciiTheme="minorHAnsi" w:eastAsiaTheme="minorHAnsi" w:hAnsiTheme="minorHAnsi" w:cstheme="minorBidi"/>
                      <w:i/>
                      <w:color w:val="auto"/>
                      <w:sz w:val="22"/>
                      <w:szCs w:val="22"/>
                      <w:lang w:val="fr-FR"/>
                    </w:rPr>
                    <w:t>l</w:t>
                  </w:r>
                  <w:r w:rsidRPr="00DA01D5">
                    <w:rPr>
                      <w:rFonts w:asciiTheme="minorHAnsi" w:eastAsiaTheme="minorHAnsi" w:hAnsiTheme="minorHAnsi" w:cstheme="minorBidi"/>
                      <w:i/>
                      <w:color w:val="auto"/>
                      <w:sz w:val="22"/>
                      <w:szCs w:val="22"/>
                      <w:lang w:val="fr-FR"/>
                    </w:rPr>
                    <w:t>’</w:t>
                  </w:r>
                  <w:r w:rsidR="00CC6C80" w:rsidRPr="00DA01D5">
                    <w:rPr>
                      <w:rFonts w:asciiTheme="minorHAnsi" w:eastAsiaTheme="minorHAnsi" w:hAnsiTheme="minorHAnsi" w:cstheme="minorBidi"/>
                      <w:i/>
                      <w:color w:val="auto"/>
                      <w:sz w:val="22"/>
                      <w:szCs w:val="22"/>
                      <w:lang w:val="fr-FR"/>
                    </w:rPr>
                    <w:t>A</w:t>
                  </w:r>
                  <w:r w:rsidRPr="00DA01D5">
                    <w:rPr>
                      <w:rFonts w:asciiTheme="minorHAnsi" w:eastAsiaTheme="minorHAnsi" w:hAnsiTheme="minorHAnsi" w:cstheme="minorBidi"/>
                      <w:i/>
                      <w:color w:val="auto"/>
                      <w:sz w:val="22"/>
                      <w:szCs w:val="22"/>
                      <w:lang w:val="fr-FR"/>
                    </w:rPr>
                    <w:t>griculture Durable</w:t>
                  </w:r>
                  <w:r w:rsidRPr="00DA01D5">
                    <w:rPr>
                      <w:rFonts w:asciiTheme="minorHAnsi" w:eastAsiaTheme="minorHAnsi" w:hAnsiTheme="minorHAnsi" w:cstheme="minorBidi"/>
                      <w:color w:val="auto"/>
                      <w:sz w:val="22"/>
                      <w:szCs w:val="22"/>
                      <w:lang w:val="fr-FR"/>
                    </w:rPr>
                    <w:t>)</w:t>
                  </w:r>
                </w:p>
              </w:tc>
            </w:tr>
            <w:tr w:rsidR="000C3959" w:rsidRPr="006C70A5" w14:paraId="5F54641B" w14:textId="77777777" w:rsidTr="000C46A6">
              <w:trPr>
                <w:trHeight w:val="257"/>
              </w:trPr>
              <w:tc>
                <w:tcPr>
                  <w:tcW w:w="1890" w:type="dxa"/>
                </w:tcPr>
                <w:p w14:paraId="29F338C2"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043000">
                    <w:rPr>
                      <w:rFonts w:asciiTheme="minorHAnsi" w:eastAsiaTheme="minorHAnsi" w:hAnsiTheme="minorHAnsi" w:cstheme="minorBidi"/>
                      <w:color w:val="auto"/>
                      <w:sz w:val="22"/>
                      <w:szCs w:val="22"/>
                    </w:rPr>
                    <w:t>CEA-CERPP</w:t>
                  </w:r>
                </w:p>
              </w:tc>
              <w:tc>
                <w:tcPr>
                  <w:tcW w:w="8731" w:type="dxa"/>
                </w:tcPr>
                <w:p w14:paraId="72D529F0" w14:textId="77777777" w:rsidR="00314897" w:rsidRPr="001C33E7" w:rsidRDefault="00B00100" w:rsidP="00314897">
                  <w:pPr>
                    <w:widowControl/>
                    <w:autoSpaceDE/>
                    <w:autoSpaceDN/>
                    <w:adjustRightInd/>
                    <w:ind w:left="-900" w:firstLine="900"/>
                    <w:rPr>
                      <w:rFonts w:asciiTheme="minorHAnsi" w:eastAsiaTheme="minorHAnsi" w:hAnsiTheme="minorHAnsi" w:cstheme="minorBidi"/>
                      <w:i/>
                      <w:color w:val="auto"/>
                      <w:sz w:val="22"/>
                      <w:szCs w:val="22"/>
                    </w:rPr>
                  </w:pPr>
                  <w:r w:rsidRPr="001C33E7">
                    <w:rPr>
                      <w:rFonts w:asciiTheme="minorHAnsi" w:eastAsiaTheme="minorHAnsi" w:hAnsiTheme="minorHAnsi" w:cstheme="minorBidi"/>
                      <w:color w:val="auto"/>
                      <w:sz w:val="22"/>
                      <w:szCs w:val="22"/>
                    </w:rPr>
                    <w:t xml:space="preserve">Africa Center of Excellence for </w:t>
                  </w:r>
                  <w:r w:rsidRPr="00981E40">
                    <w:rPr>
                      <w:rFonts w:asciiTheme="minorHAnsi" w:eastAsiaTheme="minorHAnsi" w:hAnsiTheme="minorHAnsi" w:cstheme="minorBidi"/>
                      <w:color w:val="auto"/>
                      <w:sz w:val="22"/>
                      <w:szCs w:val="22"/>
                    </w:rPr>
                    <w:t>Pastoral Productions: Meat, Milk, Leather and Skins</w:t>
                  </w:r>
                  <w:r w:rsidRPr="003A7A7E">
                    <w:rPr>
                      <w:rFonts w:asciiTheme="minorHAnsi" w:eastAsiaTheme="minorHAnsi" w:hAnsiTheme="minorHAnsi" w:cstheme="minorBidi"/>
                      <w:color w:val="auto"/>
                      <w:sz w:val="22"/>
                      <w:szCs w:val="22"/>
                    </w:rPr>
                    <w:t xml:space="preserve"> (</w:t>
                  </w:r>
                  <w:r w:rsidRPr="001C33E7">
                    <w:rPr>
                      <w:rFonts w:asciiTheme="minorHAnsi" w:eastAsiaTheme="minorHAnsi" w:hAnsiTheme="minorHAnsi" w:cstheme="minorBidi"/>
                      <w:i/>
                      <w:color w:val="auto"/>
                      <w:sz w:val="22"/>
                      <w:szCs w:val="22"/>
                    </w:rPr>
                    <w:t>Centre</w:t>
                  </w:r>
                </w:p>
                <w:p w14:paraId="76B6D69E"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1C33E7">
                    <w:rPr>
                      <w:rFonts w:asciiTheme="minorHAnsi" w:eastAsiaTheme="minorHAnsi" w:hAnsiTheme="minorHAnsi" w:cstheme="minorBidi"/>
                      <w:i/>
                      <w:color w:val="auto"/>
                      <w:sz w:val="22"/>
                      <w:szCs w:val="22"/>
                      <w:lang w:val="fr-FR"/>
                    </w:rPr>
                    <w:t>d’Excellence Régional sur les</w:t>
                  </w:r>
                  <w:r>
                    <w:rPr>
                      <w:rFonts w:asciiTheme="minorHAnsi" w:eastAsiaTheme="minorHAnsi" w:hAnsiTheme="minorHAnsi" w:cstheme="minorBidi"/>
                      <w:i/>
                      <w:color w:val="auto"/>
                      <w:sz w:val="22"/>
                      <w:szCs w:val="22"/>
                      <w:lang w:val="fr-FR"/>
                    </w:rPr>
                    <w:t xml:space="preserve"> </w:t>
                  </w:r>
                  <w:r w:rsidRPr="001C33E7">
                    <w:rPr>
                      <w:rFonts w:asciiTheme="minorHAnsi" w:eastAsiaTheme="minorHAnsi" w:hAnsiTheme="minorHAnsi" w:cstheme="minorBidi"/>
                      <w:i/>
                      <w:color w:val="auto"/>
                      <w:sz w:val="22"/>
                      <w:szCs w:val="22"/>
                      <w:lang w:val="fr-FR"/>
                    </w:rPr>
                    <w:t>Productions Pastorales : Viande, Lait, Cuirs Et Peaux</w:t>
                  </w:r>
                  <w:r>
                    <w:rPr>
                      <w:rFonts w:asciiTheme="minorHAnsi" w:eastAsiaTheme="minorHAnsi" w:hAnsiTheme="minorHAnsi" w:cstheme="minorBidi"/>
                      <w:color w:val="auto"/>
                      <w:sz w:val="22"/>
                      <w:szCs w:val="22"/>
                      <w:lang w:val="fr-FR"/>
                    </w:rPr>
                    <w:t>)</w:t>
                  </w:r>
                </w:p>
              </w:tc>
            </w:tr>
            <w:tr w:rsidR="000C3959" w:rsidRPr="006C70A5" w14:paraId="18E35F4D" w14:textId="77777777" w:rsidTr="000C46A6">
              <w:trPr>
                <w:trHeight w:val="257"/>
              </w:trPr>
              <w:tc>
                <w:tcPr>
                  <w:tcW w:w="1890" w:type="dxa"/>
                </w:tcPr>
                <w:p w14:paraId="439151A0"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043000">
                    <w:rPr>
                      <w:rFonts w:asciiTheme="minorHAnsi" w:eastAsiaTheme="minorHAnsi" w:hAnsiTheme="minorHAnsi" w:cstheme="minorBidi"/>
                      <w:color w:val="auto"/>
                      <w:sz w:val="22"/>
                      <w:szCs w:val="22"/>
                    </w:rPr>
                    <w:t>CEA-IEA-MS4SSA</w:t>
                  </w:r>
                </w:p>
              </w:tc>
              <w:tc>
                <w:tcPr>
                  <w:tcW w:w="8731" w:type="dxa"/>
                </w:tcPr>
                <w:p w14:paraId="38F53D98"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1C33E7">
                    <w:rPr>
                      <w:rFonts w:asciiTheme="minorHAnsi" w:eastAsiaTheme="minorHAnsi" w:hAnsiTheme="minorHAnsi" w:cstheme="minorBidi"/>
                      <w:color w:val="auto"/>
                      <w:sz w:val="22"/>
                      <w:szCs w:val="22"/>
                    </w:rPr>
                    <w:t xml:space="preserve">Africa Center of Excellence for </w:t>
                  </w:r>
                  <w:r w:rsidRPr="00043000">
                    <w:rPr>
                      <w:rFonts w:asciiTheme="minorHAnsi" w:eastAsiaTheme="minorHAnsi" w:hAnsiTheme="minorHAnsi" w:cstheme="minorBidi"/>
                      <w:color w:val="auto"/>
                      <w:sz w:val="22"/>
                      <w:szCs w:val="22"/>
                    </w:rPr>
                    <w:t>Innovative Teaching/Learning of Mathematics and the Sciences</w:t>
                  </w:r>
                </w:p>
                <w:p w14:paraId="3348BB39"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1C33E7">
                    <w:rPr>
                      <w:rFonts w:asciiTheme="minorHAnsi" w:eastAsiaTheme="minorHAnsi" w:hAnsiTheme="minorHAnsi" w:cstheme="minorBidi"/>
                      <w:color w:val="auto"/>
                      <w:sz w:val="22"/>
                      <w:szCs w:val="22"/>
                      <w:lang w:val="fr-FR"/>
                    </w:rPr>
                    <w:t xml:space="preserve">for </w:t>
                  </w:r>
                  <w:proofErr w:type="spellStart"/>
                  <w:r w:rsidRPr="001C33E7">
                    <w:rPr>
                      <w:rFonts w:asciiTheme="minorHAnsi" w:eastAsiaTheme="minorHAnsi" w:hAnsiTheme="minorHAnsi" w:cstheme="minorBidi"/>
                      <w:color w:val="auto"/>
                      <w:sz w:val="22"/>
                      <w:szCs w:val="22"/>
                      <w:lang w:val="fr-FR"/>
                    </w:rPr>
                    <w:t>Sub-Saharan</w:t>
                  </w:r>
                  <w:proofErr w:type="spellEnd"/>
                  <w:r w:rsidRPr="001C33E7">
                    <w:rPr>
                      <w:rFonts w:asciiTheme="minorHAnsi" w:eastAsiaTheme="minorHAnsi" w:hAnsiTheme="minorHAnsi" w:cstheme="minorBidi"/>
                      <w:color w:val="auto"/>
                      <w:sz w:val="22"/>
                      <w:szCs w:val="22"/>
                      <w:lang w:val="fr-FR"/>
                    </w:rPr>
                    <w:t xml:space="preserve"> </w:t>
                  </w:r>
                  <w:proofErr w:type="spellStart"/>
                  <w:r w:rsidRPr="001C33E7">
                    <w:rPr>
                      <w:rFonts w:asciiTheme="minorHAnsi" w:eastAsiaTheme="minorHAnsi" w:hAnsiTheme="minorHAnsi" w:cstheme="minorBidi"/>
                      <w:color w:val="auto"/>
                      <w:sz w:val="22"/>
                      <w:szCs w:val="22"/>
                      <w:lang w:val="fr-FR"/>
                    </w:rPr>
                    <w:t>Africa</w:t>
                  </w:r>
                  <w:proofErr w:type="spellEnd"/>
                  <w:r w:rsidRPr="001C33E7">
                    <w:rPr>
                      <w:rFonts w:asciiTheme="minorHAnsi" w:eastAsiaTheme="minorHAnsi" w:hAnsiTheme="minorHAnsi" w:cstheme="minorBidi"/>
                      <w:color w:val="auto"/>
                      <w:sz w:val="22"/>
                      <w:szCs w:val="22"/>
                      <w:lang w:val="fr-FR"/>
                    </w:rPr>
                    <w:t xml:space="preserve"> (Centre Innovant d’Enseignement/Apprentissage des Mathématiques </w:t>
                  </w:r>
                </w:p>
                <w:p w14:paraId="08434CBB"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1C33E7">
                    <w:rPr>
                      <w:rFonts w:asciiTheme="minorHAnsi" w:eastAsiaTheme="minorHAnsi" w:hAnsiTheme="minorHAnsi" w:cstheme="minorBidi"/>
                      <w:color w:val="auto"/>
                      <w:sz w:val="22"/>
                      <w:szCs w:val="22"/>
                      <w:lang w:val="fr-FR"/>
                    </w:rPr>
                    <w:t xml:space="preserve">et </w:t>
                  </w:r>
                  <w:r>
                    <w:rPr>
                      <w:rFonts w:asciiTheme="minorHAnsi" w:eastAsiaTheme="minorHAnsi" w:hAnsiTheme="minorHAnsi" w:cstheme="minorBidi"/>
                      <w:color w:val="auto"/>
                      <w:sz w:val="22"/>
                      <w:szCs w:val="22"/>
                      <w:lang w:val="fr-FR"/>
                    </w:rPr>
                    <w:t>S</w:t>
                  </w:r>
                  <w:r w:rsidRPr="001C33E7">
                    <w:rPr>
                      <w:rFonts w:asciiTheme="minorHAnsi" w:eastAsiaTheme="minorHAnsi" w:hAnsiTheme="minorHAnsi" w:cstheme="minorBidi"/>
                      <w:color w:val="auto"/>
                      <w:sz w:val="22"/>
                      <w:szCs w:val="22"/>
                      <w:lang w:val="fr-FR"/>
                    </w:rPr>
                    <w:t>ciences</w:t>
                  </w:r>
                  <w:r>
                    <w:rPr>
                      <w:rFonts w:asciiTheme="minorHAnsi" w:eastAsiaTheme="minorHAnsi" w:hAnsiTheme="minorHAnsi" w:cstheme="minorBidi"/>
                      <w:color w:val="auto"/>
                      <w:sz w:val="22"/>
                      <w:szCs w:val="22"/>
                      <w:lang w:val="fr-FR"/>
                    </w:rPr>
                    <w:t xml:space="preserve"> </w:t>
                  </w:r>
                  <w:r w:rsidRPr="001C33E7">
                    <w:rPr>
                      <w:rFonts w:asciiTheme="minorHAnsi" w:eastAsiaTheme="minorHAnsi" w:hAnsiTheme="minorHAnsi" w:cstheme="minorBidi"/>
                      <w:color w:val="auto"/>
                      <w:sz w:val="22"/>
                      <w:szCs w:val="22"/>
                      <w:lang w:val="fr-FR"/>
                    </w:rPr>
                    <w:t>pour l’Afrique sub-saharienne</w:t>
                  </w:r>
                  <w:r w:rsidRPr="001C33E7">
                    <w:rPr>
                      <w:rFonts w:asciiTheme="minorHAnsi" w:eastAsiaTheme="minorHAnsi" w:hAnsiTheme="minorHAnsi" w:cstheme="minorBidi"/>
                      <w:color w:val="auto"/>
                      <w:sz w:val="22"/>
                      <w:szCs w:val="22"/>
                      <w:lang w:val="fr-FR"/>
                    </w:rPr>
                    <w:cr/>
                    <w:t>)</w:t>
                  </w:r>
                </w:p>
              </w:tc>
            </w:tr>
            <w:tr w:rsidR="000C3959" w:rsidRPr="006C70A5" w14:paraId="0DD95522" w14:textId="77777777" w:rsidTr="000C46A6">
              <w:trPr>
                <w:trHeight w:val="257"/>
              </w:trPr>
              <w:tc>
                <w:tcPr>
                  <w:tcW w:w="1890" w:type="dxa"/>
                </w:tcPr>
                <w:p w14:paraId="65CBDDBE"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CEA-SMIA</w:t>
                  </w:r>
                </w:p>
              </w:tc>
              <w:tc>
                <w:tcPr>
                  <w:tcW w:w="8731" w:type="dxa"/>
                </w:tcPr>
                <w:p w14:paraId="5906BAE2" w14:textId="77777777" w:rsidR="00314897" w:rsidRPr="001C33E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Africa Center of Excellence</w:t>
                  </w:r>
                  <w:r w:rsidRPr="001C33E7">
                    <w:rPr>
                      <w:rFonts w:asciiTheme="minorHAnsi" w:eastAsiaTheme="minorHAnsi" w:hAnsiTheme="minorHAnsi" w:cstheme="minorBidi"/>
                      <w:color w:val="auto"/>
                      <w:sz w:val="22"/>
                      <w:szCs w:val="22"/>
                    </w:rPr>
                    <w:t xml:space="preserve"> for </w:t>
                  </w:r>
                  <w:r w:rsidRPr="0007124C">
                    <w:rPr>
                      <w:rFonts w:asciiTheme="minorHAnsi" w:eastAsiaTheme="minorHAnsi" w:hAnsiTheme="minorHAnsi" w:cstheme="minorBidi"/>
                      <w:color w:val="auto"/>
                      <w:sz w:val="22"/>
                      <w:szCs w:val="22"/>
                    </w:rPr>
                    <w:t>Mathematical Sciences, Computer Science and Applications</w:t>
                  </w:r>
                </w:p>
                <w:p w14:paraId="723C496A"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1C33E7">
                    <w:rPr>
                      <w:rFonts w:asciiTheme="minorHAnsi" w:eastAsiaTheme="minorHAnsi" w:hAnsiTheme="minorHAnsi" w:cstheme="minorBidi"/>
                      <w:color w:val="auto"/>
                      <w:sz w:val="22"/>
                      <w:szCs w:val="22"/>
                      <w:lang w:val="fr-FR"/>
                    </w:rPr>
                    <w:t>(</w:t>
                  </w:r>
                  <w:r w:rsidRPr="001C33E7">
                    <w:rPr>
                      <w:rFonts w:asciiTheme="minorHAnsi" w:eastAsiaTheme="minorHAnsi" w:hAnsiTheme="minorHAnsi" w:cstheme="minorBidi"/>
                      <w:i/>
                      <w:color w:val="auto"/>
                      <w:sz w:val="22"/>
                      <w:szCs w:val="22"/>
                      <w:lang w:val="fr-FR"/>
                    </w:rPr>
                    <w:t>Centre d’Excellence Africain en Sciences Mathématiques, Informatique et Applications</w:t>
                  </w:r>
                  <w:r>
                    <w:rPr>
                      <w:rFonts w:asciiTheme="minorHAnsi" w:eastAsiaTheme="minorHAnsi" w:hAnsiTheme="minorHAnsi" w:cstheme="minorBidi"/>
                      <w:color w:val="auto"/>
                      <w:sz w:val="22"/>
                      <w:szCs w:val="22"/>
                      <w:lang w:val="fr-FR"/>
                    </w:rPr>
                    <w:t>)</w:t>
                  </w:r>
                </w:p>
              </w:tc>
            </w:tr>
            <w:tr w:rsidR="000C3959" w14:paraId="33CD29C3" w14:textId="77777777" w:rsidTr="000C46A6">
              <w:trPr>
                <w:trHeight w:val="257"/>
              </w:trPr>
              <w:tc>
                <w:tcPr>
                  <w:tcW w:w="1890" w:type="dxa"/>
                </w:tcPr>
                <w:p w14:paraId="65A3A2E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CEFOR</w:t>
                  </w:r>
                </w:p>
              </w:tc>
              <w:tc>
                <w:tcPr>
                  <w:tcW w:w="8731" w:type="dxa"/>
                </w:tcPr>
                <w:p w14:paraId="51AEA3C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Center of Excellence in Oil Fields Chemical Research</w:t>
                  </w:r>
                </w:p>
              </w:tc>
            </w:tr>
            <w:tr w:rsidR="000C3959" w:rsidRPr="006C70A5" w14:paraId="58AC14B6" w14:textId="77777777" w:rsidTr="000C46A6">
              <w:trPr>
                <w:trHeight w:val="257"/>
              </w:trPr>
              <w:tc>
                <w:tcPr>
                  <w:tcW w:w="1890" w:type="dxa"/>
                </w:tcPr>
                <w:p w14:paraId="60C7E0F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062130">
                    <w:rPr>
                      <w:rFonts w:asciiTheme="minorHAnsi" w:eastAsiaTheme="minorHAnsi" w:hAnsiTheme="minorHAnsi" w:cstheme="minorBidi"/>
                      <w:color w:val="auto"/>
                      <w:sz w:val="22"/>
                      <w:szCs w:val="22"/>
                      <w:lang w:val="fr-FR"/>
                    </w:rPr>
                    <w:t>CERM</w:t>
                  </w:r>
                  <w:r>
                    <w:rPr>
                      <w:rFonts w:asciiTheme="minorHAnsi" w:eastAsiaTheme="minorHAnsi" w:hAnsiTheme="minorHAnsi" w:cstheme="minorBidi"/>
                      <w:color w:val="auto"/>
                      <w:sz w:val="22"/>
                      <w:szCs w:val="22"/>
                      <w:lang w:val="fr-FR"/>
                    </w:rPr>
                    <w:t>E</w:t>
                  </w:r>
                </w:p>
              </w:tc>
              <w:tc>
                <w:tcPr>
                  <w:tcW w:w="8731" w:type="dxa"/>
                </w:tcPr>
                <w:p w14:paraId="6F0EA711" w14:textId="77777777" w:rsidR="00314897" w:rsidRPr="00DA01D5" w:rsidRDefault="00B00100" w:rsidP="00314897">
                  <w:pPr>
                    <w:widowControl/>
                    <w:autoSpaceDE/>
                    <w:autoSpaceDN/>
                    <w:adjustRightInd/>
                    <w:ind w:left="-900" w:firstLine="900"/>
                    <w:rPr>
                      <w:rFonts w:asciiTheme="minorHAnsi" w:eastAsiaTheme="minorHAnsi" w:hAnsiTheme="minorHAnsi" w:cstheme="minorBidi"/>
                      <w:i/>
                      <w:color w:val="auto"/>
                      <w:sz w:val="22"/>
                      <w:szCs w:val="22"/>
                      <w:lang w:val="fr-FR"/>
                    </w:rPr>
                  </w:pPr>
                  <w:proofErr w:type="spellStart"/>
                  <w:r w:rsidRPr="00DA01D5">
                    <w:rPr>
                      <w:rFonts w:asciiTheme="minorHAnsi" w:eastAsiaTheme="minorHAnsi" w:hAnsiTheme="minorHAnsi" w:cstheme="minorBidi"/>
                      <w:color w:val="auto"/>
                      <w:sz w:val="22"/>
                      <w:szCs w:val="22"/>
                      <w:lang w:val="fr-FR"/>
                    </w:rPr>
                    <w:t>Africa</w:t>
                  </w:r>
                  <w:proofErr w:type="spellEnd"/>
                  <w:r w:rsidRPr="00DA01D5">
                    <w:rPr>
                      <w:rFonts w:asciiTheme="minorHAnsi" w:eastAsiaTheme="minorHAnsi" w:hAnsiTheme="minorHAnsi" w:cstheme="minorBidi"/>
                      <w:color w:val="auto"/>
                      <w:sz w:val="22"/>
                      <w:szCs w:val="22"/>
                      <w:lang w:val="fr-FR"/>
                    </w:rPr>
                    <w:t xml:space="preserve"> Center of Excellence f</w:t>
                  </w:r>
                  <w:r>
                    <w:rPr>
                      <w:rFonts w:asciiTheme="minorHAnsi" w:eastAsiaTheme="minorHAnsi" w:hAnsiTheme="minorHAnsi" w:cstheme="minorBidi"/>
                      <w:color w:val="auto"/>
                      <w:sz w:val="22"/>
                      <w:szCs w:val="22"/>
                      <w:lang w:val="fr-FR"/>
                    </w:rPr>
                    <w:t xml:space="preserve">or </w:t>
                  </w:r>
                  <w:r w:rsidRPr="00DA01D5">
                    <w:rPr>
                      <w:rFonts w:asciiTheme="minorHAnsi" w:eastAsiaTheme="minorHAnsi" w:hAnsiTheme="minorHAnsi" w:cstheme="minorBidi"/>
                      <w:color w:val="auto"/>
                      <w:sz w:val="22"/>
                      <w:szCs w:val="22"/>
                      <w:lang w:val="fr-FR"/>
                    </w:rPr>
                    <w:t xml:space="preserve">Power Management </w:t>
                  </w:r>
                  <w:r>
                    <w:rPr>
                      <w:rFonts w:asciiTheme="minorHAnsi" w:eastAsiaTheme="minorHAnsi" w:hAnsiTheme="minorHAnsi" w:cstheme="minorBidi"/>
                      <w:color w:val="auto"/>
                      <w:sz w:val="22"/>
                      <w:szCs w:val="22"/>
                      <w:lang w:val="fr-FR"/>
                    </w:rPr>
                    <w:t>(</w:t>
                  </w:r>
                  <w:r w:rsidRPr="00DA01D5">
                    <w:rPr>
                      <w:rFonts w:asciiTheme="minorHAnsi" w:eastAsiaTheme="minorHAnsi" w:hAnsiTheme="minorHAnsi" w:cstheme="minorBidi"/>
                      <w:i/>
                      <w:color w:val="auto"/>
                      <w:sz w:val="22"/>
                      <w:szCs w:val="22"/>
                      <w:lang w:val="fr-FR"/>
                    </w:rPr>
                    <w:t>Centre d’Excellence Régional pour la</w:t>
                  </w:r>
                </w:p>
                <w:p w14:paraId="202C259F"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DA01D5">
                    <w:rPr>
                      <w:rFonts w:asciiTheme="minorHAnsi" w:eastAsiaTheme="minorHAnsi" w:hAnsiTheme="minorHAnsi" w:cstheme="minorBidi"/>
                      <w:i/>
                      <w:color w:val="auto"/>
                      <w:sz w:val="22"/>
                      <w:szCs w:val="22"/>
                      <w:lang w:val="fr-FR"/>
                    </w:rPr>
                    <w:t>Maîtrise de l’Electricité</w:t>
                  </w:r>
                  <w:r>
                    <w:rPr>
                      <w:rFonts w:asciiTheme="minorHAnsi" w:eastAsiaTheme="minorHAnsi" w:hAnsiTheme="minorHAnsi" w:cstheme="minorBidi"/>
                      <w:color w:val="auto"/>
                      <w:sz w:val="22"/>
                      <w:szCs w:val="22"/>
                      <w:lang w:val="fr-FR"/>
                    </w:rPr>
                    <w:t>)</w:t>
                  </w:r>
                </w:p>
              </w:tc>
            </w:tr>
            <w:tr w:rsidR="000C3959" w14:paraId="6A7A33B8" w14:textId="77777777" w:rsidTr="000C46A6">
              <w:trPr>
                <w:trHeight w:val="257"/>
              </w:trPr>
              <w:tc>
                <w:tcPr>
                  <w:tcW w:w="1890" w:type="dxa"/>
                </w:tcPr>
                <w:p w14:paraId="5CA35CB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A13494">
                    <w:rPr>
                      <w:rFonts w:asciiTheme="minorHAnsi" w:eastAsiaTheme="minorHAnsi" w:hAnsiTheme="minorHAnsi" w:cstheme="minorBidi"/>
                      <w:color w:val="auto"/>
                      <w:sz w:val="22"/>
                      <w:szCs w:val="22"/>
                    </w:rPr>
                    <w:t>CERSA</w:t>
                  </w:r>
                </w:p>
              </w:tc>
              <w:tc>
                <w:tcPr>
                  <w:tcW w:w="8731" w:type="dxa"/>
                </w:tcPr>
                <w:p w14:paraId="0227AC39" w14:textId="77777777" w:rsidR="00314897" w:rsidRDefault="00B00100" w:rsidP="00314897">
                  <w:pPr>
                    <w:widowControl/>
                    <w:autoSpaceDE/>
                    <w:autoSpaceDN/>
                    <w:adjustRightInd/>
                    <w:ind w:left="-900" w:firstLine="900"/>
                    <w:rPr>
                      <w:rFonts w:asciiTheme="minorHAnsi" w:eastAsiaTheme="minorHAnsi" w:hAnsiTheme="minorHAnsi" w:cstheme="minorBidi"/>
                      <w:i/>
                      <w:color w:val="auto"/>
                      <w:sz w:val="22"/>
                      <w:szCs w:val="22"/>
                      <w:lang w:val="fr-FR"/>
                    </w:rPr>
                  </w:pPr>
                  <w:r w:rsidRPr="004D7B01">
                    <w:rPr>
                      <w:rFonts w:asciiTheme="minorHAnsi" w:eastAsiaTheme="minorHAnsi" w:hAnsiTheme="minorHAnsi" w:cstheme="minorBidi"/>
                      <w:color w:val="auto"/>
                      <w:sz w:val="22"/>
                      <w:szCs w:val="22"/>
                    </w:rPr>
                    <w:t>Africa Center of Excellence</w:t>
                  </w:r>
                  <w:r>
                    <w:rPr>
                      <w:rFonts w:asciiTheme="minorHAnsi" w:eastAsiaTheme="minorHAnsi" w:hAnsiTheme="minorHAnsi" w:cstheme="minorBidi"/>
                      <w:color w:val="auto"/>
                      <w:sz w:val="22"/>
                      <w:szCs w:val="22"/>
                      <w:lang w:val="fr-FR"/>
                    </w:rPr>
                    <w:t xml:space="preserve"> for</w:t>
                  </w:r>
                  <w:r w:rsidRPr="00060B6F">
                    <w:rPr>
                      <w:rFonts w:asciiTheme="minorHAnsi" w:eastAsiaTheme="minorHAnsi" w:hAnsiTheme="minorHAnsi" w:cstheme="minorBidi"/>
                      <w:color w:val="auto"/>
                      <w:sz w:val="22"/>
                      <w:szCs w:val="22"/>
                    </w:rPr>
                    <w:t xml:space="preserve"> for </w:t>
                  </w:r>
                  <w:r w:rsidRPr="00B50177">
                    <w:rPr>
                      <w:rFonts w:asciiTheme="minorHAnsi" w:eastAsiaTheme="minorHAnsi" w:hAnsiTheme="minorHAnsi" w:cstheme="minorBidi"/>
                      <w:color w:val="auto"/>
                      <w:sz w:val="22"/>
                      <w:szCs w:val="22"/>
                    </w:rPr>
                    <w:t>Poultry Science</w:t>
                  </w:r>
                  <w:r w:rsidRPr="00DA01D5">
                    <w:rPr>
                      <w:rFonts w:asciiTheme="minorHAnsi" w:eastAsiaTheme="minorHAnsi" w:hAnsiTheme="minorHAnsi" w:cstheme="minorBidi"/>
                      <w:color w:val="auto"/>
                      <w:sz w:val="22"/>
                      <w:szCs w:val="22"/>
                      <w:lang w:val="fr-FR"/>
                    </w:rPr>
                    <w:t xml:space="preserve"> (</w:t>
                  </w:r>
                  <w:r w:rsidRPr="0068480E">
                    <w:rPr>
                      <w:rFonts w:asciiTheme="minorHAnsi" w:eastAsiaTheme="minorHAnsi" w:hAnsiTheme="minorHAnsi" w:cstheme="minorBidi"/>
                      <w:i/>
                      <w:color w:val="auto"/>
                      <w:sz w:val="22"/>
                      <w:szCs w:val="22"/>
                      <w:lang w:val="fr-FR"/>
                    </w:rPr>
                    <w:t>Centre d’Excellence Africain sur les</w:t>
                  </w:r>
                  <w:r>
                    <w:rPr>
                      <w:rFonts w:asciiTheme="minorHAnsi" w:eastAsiaTheme="minorHAnsi" w:hAnsiTheme="minorHAnsi" w:cstheme="minorBidi"/>
                      <w:i/>
                      <w:color w:val="auto"/>
                      <w:sz w:val="22"/>
                      <w:szCs w:val="22"/>
                      <w:lang w:val="fr-FR"/>
                    </w:rPr>
                    <w:t xml:space="preserve"> Sciences</w:t>
                  </w:r>
                </w:p>
                <w:p w14:paraId="4706C9D8"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Pr>
                      <w:rFonts w:asciiTheme="minorHAnsi" w:eastAsiaTheme="minorHAnsi" w:hAnsiTheme="minorHAnsi" w:cstheme="minorBidi"/>
                      <w:i/>
                      <w:color w:val="auto"/>
                      <w:sz w:val="22"/>
                      <w:szCs w:val="22"/>
                      <w:lang w:val="fr-FR"/>
                    </w:rPr>
                    <w:t>Aviaires</w:t>
                  </w:r>
                  <w:r w:rsidRPr="00DA01D5">
                    <w:rPr>
                      <w:rFonts w:asciiTheme="minorHAnsi" w:eastAsiaTheme="minorHAnsi" w:hAnsiTheme="minorHAnsi" w:cstheme="minorBidi"/>
                      <w:color w:val="auto"/>
                      <w:sz w:val="22"/>
                      <w:szCs w:val="22"/>
                      <w:lang w:val="fr-FR"/>
                    </w:rPr>
                    <w:t>)</w:t>
                  </w:r>
                </w:p>
              </w:tc>
            </w:tr>
            <w:tr w:rsidR="000C3959" w14:paraId="3EDC089F" w14:textId="77777777" w:rsidTr="000C46A6">
              <w:trPr>
                <w:trHeight w:val="257"/>
              </w:trPr>
              <w:tc>
                <w:tcPr>
                  <w:tcW w:w="1890" w:type="dxa"/>
                </w:tcPr>
                <w:p w14:paraId="6D1EF8E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CMO</w:t>
                  </w:r>
                </w:p>
              </w:tc>
              <w:tc>
                <w:tcPr>
                  <w:tcW w:w="8731" w:type="dxa"/>
                </w:tcPr>
                <w:p w14:paraId="5840893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Center’s Management Office</w:t>
                  </w:r>
                </w:p>
              </w:tc>
            </w:tr>
            <w:tr w:rsidR="000C3959" w14:paraId="79E05D77" w14:textId="77777777" w:rsidTr="000C46A6">
              <w:trPr>
                <w:trHeight w:val="257"/>
              </w:trPr>
              <w:tc>
                <w:tcPr>
                  <w:tcW w:w="1890" w:type="dxa"/>
                </w:tcPr>
                <w:p w14:paraId="1A43A43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CMU</w:t>
                  </w:r>
                </w:p>
              </w:tc>
              <w:tc>
                <w:tcPr>
                  <w:tcW w:w="8731" w:type="dxa"/>
                </w:tcPr>
                <w:p w14:paraId="2FFF8D6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Country Management Unit</w:t>
                  </w:r>
                </w:p>
              </w:tc>
            </w:tr>
            <w:tr w:rsidR="000C3959" w:rsidRPr="006C70A5" w14:paraId="3E5E6334" w14:textId="77777777" w:rsidTr="000C46A6">
              <w:trPr>
                <w:trHeight w:val="257"/>
              </w:trPr>
              <w:tc>
                <w:tcPr>
                  <w:tcW w:w="1890" w:type="dxa"/>
                </w:tcPr>
                <w:p w14:paraId="2F6E8F2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CNRS</w:t>
                  </w:r>
                </w:p>
              </w:tc>
              <w:tc>
                <w:tcPr>
                  <w:tcW w:w="8731" w:type="dxa"/>
                </w:tcPr>
                <w:p w14:paraId="3F767474" w14:textId="77777777" w:rsidR="00314897" w:rsidRPr="003651BD"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3651BD">
                    <w:rPr>
                      <w:rFonts w:asciiTheme="minorHAnsi" w:eastAsiaTheme="minorHAnsi" w:hAnsiTheme="minorHAnsi" w:cstheme="minorBidi"/>
                      <w:color w:val="auto"/>
                      <w:sz w:val="22"/>
                      <w:szCs w:val="22"/>
                      <w:lang w:val="fr-FR"/>
                    </w:rPr>
                    <w:t>National Center for Scientific Research (</w:t>
                  </w:r>
                  <w:r w:rsidRPr="000C46A6">
                    <w:rPr>
                      <w:rFonts w:asciiTheme="minorHAnsi" w:eastAsiaTheme="minorHAnsi" w:hAnsiTheme="minorHAnsi" w:cstheme="minorBidi"/>
                      <w:i/>
                      <w:color w:val="auto"/>
                      <w:sz w:val="22"/>
                      <w:szCs w:val="22"/>
                      <w:lang w:val="fr-FR"/>
                    </w:rPr>
                    <w:t>Centre National de la Recherche Scientifique</w:t>
                  </w:r>
                  <w:r w:rsidRPr="003651BD">
                    <w:rPr>
                      <w:rFonts w:asciiTheme="minorHAnsi" w:eastAsiaTheme="minorHAnsi" w:hAnsiTheme="minorHAnsi" w:cstheme="minorBidi"/>
                      <w:color w:val="auto"/>
                      <w:sz w:val="22"/>
                      <w:szCs w:val="22"/>
                      <w:lang w:val="fr-FR"/>
                    </w:rPr>
                    <w:t xml:space="preserve">) </w:t>
                  </w:r>
                </w:p>
              </w:tc>
            </w:tr>
            <w:tr w:rsidR="000C3959" w:rsidRPr="006C70A5" w14:paraId="25E2D47C" w14:textId="77777777" w:rsidTr="000C46A6">
              <w:trPr>
                <w:trHeight w:val="257"/>
              </w:trPr>
              <w:tc>
                <w:tcPr>
                  <w:tcW w:w="1890" w:type="dxa"/>
                </w:tcPr>
                <w:p w14:paraId="46108C4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proofErr w:type="spellStart"/>
                  <w:r w:rsidRPr="00D617F6">
                    <w:rPr>
                      <w:rFonts w:asciiTheme="minorHAnsi" w:eastAsiaTheme="minorHAnsi" w:hAnsiTheme="minorHAnsi" w:cstheme="minorBidi"/>
                      <w:color w:val="auto"/>
                      <w:sz w:val="22"/>
                      <w:szCs w:val="22"/>
                    </w:rPr>
                    <w:t>CoE</w:t>
                  </w:r>
                  <w:proofErr w:type="spellEnd"/>
                  <w:r w:rsidRPr="00D617F6">
                    <w:rPr>
                      <w:rFonts w:asciiTheme="minorHAnsi" w:eastAsiaTheme="minorHAnsi" w:hAnsiTheme="minorHAnsi" w:cstheme="minorBidi"/>
                      <w:color w:val="auto"/>
                      <w:sz w:val="22"/>
                      <w:szCs w:val="22"/>
                    </w:rPr>
                    <w:t>-EIE</w:t>
                  </w:r>
                </w:p>
              </w:tc>
              <w:tc>
                <w:tcPr>
                  <w:tcW w:w="8731" w:type="dxa"/>
                </w:tcPr>
                <w:p w14:paraId="03E30140" w14:textId="77777777" w:rsidR="00314897" w:rsidRPr="00DA01D5" w:rsidRDefault="00B00100" w:rsidP="00314897">
                  <w:pPr>
                    <w:widowControl/>
                    <w:autoSpaceDE/>
                    <w:autoSpaceDN/>
                    <w:adjustRightInd/>
                    <w:ind w:left="-900" w:firstLine="900"/>
                    <w:rPr>
                      <w:rFonts w:asciiTheme="minorHAnsi" w:eastAsiaTheme="minorHAnsi" w:hAnsiTheme="minorHAnsi" w:cstheme="minorBidi"/>
                      <w:i/>
                      <w:color w:val="auto"/>
                      <w:sz w:val="22"/>
                      <w:szCs w:val="22"/>
                    </w:rPr>
                  </w:pPr>
                  <w:r w:rsidRPr="00DA01D5">
                    <w:rPr>
                      <w:rFonts w:asciiTheme="minorHAnsi" w:eastAsiaTheme="minorHAnsi" w:hAnsiTheme="minorHAnsi" w:cstheme="minorBidi"/>
                      <w:color w:val="auto"/>
                      <w:sz w:val="22"/>
                      <w:szCs w:val="22"/>
                    </w:rPr>
                    <w:t>Coll</w:t>
                  </w:r>
                  <w:r>
                    <w:rPr>
                      <w:rFonts w:asciiTheme="minorHAnsi" w:eastAsiaTheme="minorHAnsi" w:hAnsiTheme="minorHAnsi" w:cstheme="minorBidi"/>
                      <w:color w:val="auto"/>
                      <w:sz w:val="22"/>
                      <w:szCs w:val="22"/>
                    </w:rPr>
                    <w:t>e</w:t>
                  </w:r>
                  <w:r w:rsidRPr="00DA01D5">
                    <w:rPr>
                      <w:rFonts w:asciiTheme="minorHAnsi" w:eastAsiaTheme="minorHAnsi" w:hAnsiTheme="minorHAnsi" w:cstheme="minorBidi"/>
                      <w:color w:val="auto"/>
                      <w:sz w:val="22"/>
                      <w:szCs w:val="22"/>
                    </w:rPr>
                    <w:t xml:space="preserve">ge of Engineering: Energy, Transport Infrastructures and Environment </w:t>
                  </w:r>
                  <w:r>
                    <w:rPr>
                      <w:rFonts w:asciiTheme="minorHAnsi" w:eastAsiaTheme="minorHAnsi" w:hAnsiTheme="minorHAnsi" w:cstheme="minorBidi"/>
                      <w:color w:val="auto"/>
                      <w:sz w:val="22"/>
                      <w:szCs w:val="22"/>
                    </w:rPr>
                    <w:t>(</w:t>
                  </w:r>
                  <w:r w:rsidRPr="00DA01D5">
                    <w:rPr>
                      <w:rFonts w:asciiTheme="minorHAnsi" w:eastAsiaTheme="minorHAnsi" w:hAnsiTheme="minorHAnsi" w:cstheme="minorBidi"/>
                      <w:i/>
                      <w:color w:val="auto"/>
                      <w:sz w:val="22"/>
                      <w:szCs w:val="22"/>
                    </w:rPr>
                    <w:t xml:space="preserve">Collège </w:t>
                  </w:r>
                </w:p>
                <w:p w14:paraId="36B3AC39" w14:textId="77777777" w:rsidR="00314897" w:rsidRPr="00EE61E6"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DA01D5">
                    <w:rPr>
                      <w:rFonts w:asciiTheme="minorHAnsi" w:eastAsiaTheme="minorHAnsi" w:hAnsiTheme="minorHAnsi" w:cstheme="minorBidi"/>
                      <w:i/>
                      <w:color w:val="auto"/>
                      <w:sz w:val="22"/>
                      <w:szCs w:val="22"/>
                      <w:lang w:val="fr-FR"/>
                    </w:rPr>
                    <w:t>d'Ingénierie en Énergie, Infrastructure, Environnement</w:t>
                  </w:r>
                  <w:r w:rsidRPr="00DA01D5">
                    <w:rPr>
                      <w:rFonts w:asciiTheme="minorHAnsi" w:eastAsiaTheme="minorHAnsi" w:hAnsiTheme="minorHAnsi" w:cstheme="minorBidi"/>
                      <w:color w:val="auto"/>
                      <w:sz w:val="22"/>
                      <w:szCs w:val="22"/>
                      <w:lang w:val="fr-FR"/>
                    </w:rPr>
                    <w:t>)</w:t>
                  </w:r>
                </w:p>
              </w:tc>
            </w:tr>
            <w:tr w:rsidR="000C3959" w14:paraId="3027728D" w14:textId="77777777" w:rsidTr="000C46A6">
              <w:trPr>
                <w:trHeight w:val="257"/>
              </w:trPr>
              <w:tc>
                <w:tcPr>
                  <w:tcW w:w="1890" w:type="dxa"/>
                </w:tcPr>
                <w:p w14:paraId="09FE615B"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CRB</w:t>
                  </w:r>
                </w:p>
                <w:p w14:paraId="7EE99E6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CU</w:t>
                  </w:r>
                </w:p>
              </w:tc>
              <w:tc>
                <w:tcPr>
                  <w:tcW w:w="8731" w:type="dxa"/>
                </w:tcPr>
                <w:p w14:paraId="636E8DB0"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Complaints Review Board</w:t>
                  </w:r>
                </w:p>
                <w:p w14:paraId="233E82A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Covenant University </w:t>
                  </w:r>
                </w:p>
              </w:tc>
            </w:tr>
            <w:tr w:rsidR="000C3959" w14:paraId="68106E63" w14:textId="77777777" w:rsidTr="000C46A6">
              <w:trPr>
                <w:trHeight w:val="247"/>
              </w:trPr>
              <w:tc>
                <w:tcPr>
                  <w:tcW w:w="1890" w:type="dxa"/>
                </w:tcPr>
                <w:p w14:paraId="746246F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DA</w:t>
                  </w:r>
                </w:p>
              </w:tc>
              <w:tc>
                <w:tcPr>
                  <w:tcW w:w="8731" w:type="dxa"/>
                </w:tcPr>
                <w:p w14:paraId="79485C7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Designated Account</w:t>
                  </w:r>
                </w:p>
              </w:tc>
            </w:tr>
            <w:tr w:rsidR="000C3959" w14:paraId="5D3C9E51" w14:textId="77777777" w:rsidTr="000C46A6">
              <w:trPr>
                <w:trHeight w:val="257"/>
              </w:trPr>
              <w:tc>
                <w:tcPr>
                  <w:tcW w:w="1890" w:type="dxa"/>
                </w:tcPr>
                <w:p w14:paraId="5967C37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DAAD</w:t>
                  </w:r>
                </w:p>
              </w:tc>
              <w:tc>
                <w:tcPr>
                  <w:tcW w:w="8731" w:type="dxa"/>
                </w:tcPr>
                <w:p w14:paraId="7CC2EE4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German Academic Exchange Service (</w:t>
                  </w:r>
                  <w:r w:rsidRPr="000C46A6">
                    <w:rPr>
                      <w:rFonts w:asciiTheme="minorHAnsi" w:eastAsiaTheme="minorHAnsi" w:hAnsiTheme="minorHAnsi" w:cstheme="minorBidi"/>
                      <w:i/>
                      <w:color w:val="auto"/>
                      <w:sz w:val="22"/>
                      <w:szCs w:val="22"/>
                    </w:rPr>
                    <w:t>Deutscher Akademischer Austauschdienst</w:t>
                  </w:r>
                  <w:r w:rsidRPr="004D7B01">
                    <w:rPr>
                      <w:rFonts w:asciiTheme="minorHAnsi" w:eastAsiaTheme="minorHAnsi" w:hAnsiTheme="minorHAnsi" w:cstheme="minorBidi"/>
                      <w:color w:val="auto"/>
                      <w:sz w:val="22"/>
                      <w:szCs w:val="22"/>
                    </w:rPr>
                    <w:t>)</w:t>
                  </w:r>
                </w:p>
              </w:tc>
            </w:tr>
            <w:tr w:rsidR="000C3959" w14:paraId="2C8DA58F" w14:textId="77777777" w:rsidTr="000C46A6">
              <w:trPr>
                <w:trHeight w:val="247"/>
              </w:trPr>
              <w:tc>
                <w:tcPr>
                  <w:tcW w:w="1890" w:type="dxa"/>
                </w:tcPr>
                <w:p w14:paraId="799278F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DFG</w:t>
                  </w:r>
                </w:p>
              </w:tc>
              <w:tc>
                <w:tcPr>
                  <w:tcW w:w="8731" w:type="dxa"/>
                </w:tcPr>
                <w:p w14:paraId="033893E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German Research Foundation (</w:t>
                  </w:r>
                  <w:r w:rsidRPr="000C46A6">
                    <w:rPr>
                      <w:rFonts w:asciiTheme="minorHAnsi" w:eastAsiaTheme="minorHAnsi" w:hAnsiTheme="minorHAnsi" w:cstheme="minorBidi"/>
                      <w:i/>
                      <w:color w:val="auto"/>
                      <w:sz w:val="22"/>
                      <w:szCs w:val="22"/>
                    </w:rPr>
                    <w:t>Deutsche Forschungsgemeinschaft</w:t>
                  </w:r>
                  <w:r w:rsidRPr="004D7B01">
                    <w:rPr>
                      <w:rFonts w:asciiTheme="minorHAnsi" w:eastAsiaTheme="minorHAnsi" w:hAnsiTheme="minorHAnsi" w:cstheme="minorBidi"/>
                      <w:color w:val="auto"/>
                      <w:sz w:val="22"/>
                      <w:szCs w:val="22"/>
                    </w:rPr>
                    <w:t>)</w:t>
                  </w:r>
                </w:p>
              </w:tc>
            </w:tr>
            <w:tr w:rsidR="000C3959" w14:paraId="2E4A0E20" w14:textId="77777777" w:rsidTr="000C46A6">
              <w:trPr>
                <w:trHeight w:val="257"/>
              </w:trPr>
              <w:tc>
                <w:tcPr>
                  <w:tcW w:w="1890" w:type="dxa"/>
                </w:tcPr>
                <w:p w14:paraId="511526B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DFIL</w:t>
                  </w:r>
                </w:p>
              </w:tc>
              <w:tc>
                <w:tcPr>
                  <w:tcW w:w="8731" w:type="dxa"/>
                </w:tcPr>
                <w:p w14:paraId="337BC53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Disbursement and Financial Information Letter</w:t>
                  </w:r>
                </w:p>
              </w:tc>
            </w:tr>
            <w:tr w:rsidR="000C3959" w14:paraId="319F29D8" w14:textId="77777777" w:rsidTr="000C46A6">
              <w:trPr>
                <w:trHeight w:val="198"/>
              </w:trPr>
              <w:tc>
                <w:tcPr>
                  <w:tcW w:w="1890" w:type="dxa"/>
                </w:tcPr>
                <w:p w14:paraId="6A0CA31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DLI</w:t>
                  </w:r>
                </w:p>
              </w:tc>
              <w:tc>
                <w:tcPr>
                  <w:tcW w:w="8731" w:type="dxa"/>
                </w:tcPr>
                <w:p w14:paraId="01DA5FF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Disbursement-linked Indicator</w:t>
                  </w:r>
                </w:p>
              </w:tc>
            </w:tr>
            <w:tr w:rsidR="000C3959" w14:paraId="20526DE1" w14:textId="77777777" w:rsidTr="000C46A6">
              <w:trPr>
                <w:trHeight w:val="257"/>
              </w:trPr>
              <w:tc>
                <w:tcPr>
                  <w:tcW w:w="1890" w:type="dxa"/>
                </w:tcPr>
                <w:p w14:paraId="42150B0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DLR</w:t>
                  </w:r>
                </w:p>
              </w:tc>
              <w:tc>
                <w:tcPr>
                  <w:tcW w:w="8731" w:type="dxa"/>
                </w:tcPr>
                <w:p w14:paraId="3C54E7E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Disbursement-linked Result</w:t>
                  </w:r>
                </w:p>
              </w:tc>
            </w:tr>
            <w:tr w:rsidR="000C3959" w14:paraId="788A9C40" w14:textId="77777777" w:rsidTr="000C46A6">
              <w:trPr>
                <w:trHeight w:val="257"/>
              </w:trPr>
              <w:tc>
                <w:tcPr>
                  <w:tcW w:w="1890" w:type="dxa"/>
                </w:tcPr>
                <w:p w14:paraId="154E111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68480E">
                    <w:rPr>
                      <w:rFonts w:asciiTheme="minorHAnsi" w:eastAsiaTheme="minorHAnsi" w:hAnsiTheme="minorHAnsi" w:cstheme="minorBidi"/>
                      <w:color w:val="auto"/>
                      <w:sz w:val="22"/>
                      <w:szCs w:val="22"/>
                      <w:lang w:val="fr-FR"/>
                    </w:rPr>
                    <w:t>DOUNEDON</w:t>
                  </w:r>
                </w:p>
              </w:tc>
              <w:tc>
                <w:tcPr>
                  <w:tcW w:w="8731" w:type="dxa"/>
                </w:tcPr>
                <w:p w14:paraId="6EF2ED6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Africa Center of Excellence</w:t>
                  </w:r>
                  <w:r w:rsidRPr="0068480E">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 xml:space="preserve">for </w:t>
                  </w:r>
                  <w:r w:rsidRPr="0068480E">
                    <w:rPr>
                      <w:rFonts w:asciiTheme="minorHAnsi" w:eastAsiaTheme="minorHAnsi" w:hAnsiTheme="minorHAnsi" w:cstheme="minorBidi"/>
                      <w:color w:val="auto"/>
                      <w:sz w:val="22"/>
                      <w:szCs w:val="22"/>
                      <w:lang w:val="fr-FR"/>
                    </w:rPr>
                    <w:t>Sustainable Cities in Africa (</w:t>
                  </w:r>
                  <w:r w:rsidRPr="00DA01D5">
                    <w:rPr>
                      <w:rFonts w:asciiTheme="minorHAnsi" w:eastAsiaTheme="minorHAnsi" w:hAnsiTheme="minorHAnsi" w:cstheme="minorBidi"/>
                      <w:i/>
                      <w:color w:val="auto"/>
                      <w:sz w:val="22"/>
                      <w:szCs w:val="22"/>
                      <w:lang w:val="fr-FR"/>
                    </w:rPr>
                    <w:t>Centre d’Excellence Régional Villes Durables en Afrique</w:t>
                  </w:r>
                  <w:r>
                    <w:rPr>
                      <w:rFonts w:asciiTheme="minorHAnsi" w:eastAsiaTheme="minorHAnsi" w:hAnsiTheme="minorHAnsi" w:cstheme="minorBidi"/>
                      <w:color w:val="auto"/>
                      <w:sz w:val="22"/>
                      <w:szCs w:val="22"/>
                      <w:lang w:val="fr-FR"/>
                    </w:rPr>
                    <w:t>)</w:t>
                  </w:r>
                </w:p>
              </w:tc>
            </w:tr>
            <w:tr w:rsidR="000C3959" w14:paraId="490E7DAB" w14:textId="77777777" w:rsidTr="000C46A6">
              <w:trPr>
                <w:trHeight w:val="198"/>
              </w:trPr>
              <w:tc>
                <w:tcPr>
                  <w:tcW w:w="1890" w:type="dxa"/>
                </w:tcPr>
                <w:p w14:paraId="78992B9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DP</w:t>
                  </w:r>
                </w:p>
              </w:tc>
              <w:tc>
                <w:tcPr>
                  <w:tcW w:w="8731" w:type="dxa"/>
                </w:tcPr>
                <w:p w14:paraId="272B740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Development Partner</w:t>
                  </w:r>
                </w:p>
              </w:tc>
            </w:tr>
            <w:tr w:rsidR="000C3959" w14:paraId="7886A2B7" w14:textId="77777777" w:rsidTr="000C46A6">
              <w:trPr>
                <w:trHeight w:val="257"/>
              </w:trPr>
              <w:tc>
                <w:tcPr>
                  <w:tcW w:w="1890" w:type="dxa"/>
                </w:tcPr>
                <w:p w14:paraId="4BF7D62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ECOWAS</w:t>
                  </w:r>
                </w:p>
              </w:tc>
              <w:tc>
                <w:tcPr>
                  <w:tcW w:w="8731" w:type="dxa"/>
                </w:tcPr>
                <w:p w14:paraId="7DDF3F2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Economic Community of West African States</w:t>
                  </w:r>
                </w:p>
              </w:tc>
            </w:tr>
            <w:tr w:rsidR="000C3959" w14:paraId="75FABD65" w14:textId="77777777" w:rsidTr="000C46A6">
              <w:trPr>
                <w:trHeight w:val="257"/>
              </w:trPr>
              <w:tc>
                <w:tcPr>
                  <w:tcW w:w="1890" w:type="dxa"/>
                </w:tcPr>
                <w:p w14:paraId="601D47E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EEP</w:t>
                  </w:r>
                </w:p>
              </w:tc>
              <w:tc>
                <w:tcPr>
                  <w:tcW w:w="8731" w:type="dxa"/>
                </w:tcPr>
                <w:p w14:paraId="5E5B774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Eligible Expenditure Program</w:t>
                  </w:r>
                </w:p>
              </w:tc>
            </w:tr>
            <w:tr w:rsidR="000C3959" w14:paraId="5F58CEC2" w14:textId="77777777" w:rsidTr="000C46A6">
              <w:trPr>
                <w:trHeight w:val="257"/>
              </w:trPr>
              <w:tc>
                <w:tcPr>
                  <w:tcW w:w="1890" w:type="dxa"/>
                </w:tcPr>
                <w:p w14:paraId="2F40C22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lastRenderedPageBreak/>
                    <w:t>EMIG</w:t>
                  </w:r>
                </w:p>
              </w:tc>
              <w:tc>
                <w:tcPr>
                  <w:tcW w:w="8731" w:type="dxa"/>
                </w:tcPr>
                <w:p w14:paraId="626532C0" w14:textId="77777777" w:rsidR="00314897" w:rsidRPr="00274C12"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97732C">
                    <w:rPr>
                      <w:rFonts w:asciiTheme="minorHAnsi" w:eastAsiaTheme="minorHAnsi" w:hAnsiTheme="minorHAnsi" w:cstheme="minorBidi"/>
                      <w:color w:val="auto"/>
                      <w:sz w:val="22"/>
                      <w:szCs w:val="22"/>
                      <w:lang w:val="fr-FR"/>
                    </w:rPr>
                    <w:t>School of Mines, Industry and Geology</w:t>
                  </w:r>
                  <w:r>
                    <w:rPr>
                      <w:rFonts w:asciiTheme="minorHAnsi" w:eastAsiaTheme="minorHAnsi" w:hAnsiTheme="minorHAnsi" w:cstheme="minorBidi"/>
                      <w:color w:val="auto"/>
                      <w:sz w:val="22"/>
                      <w:szCs w:val="22"/>
                      <w:lang w:val="fr-FR"/>
                    </w:rPr>
                    <w:t>,</w:t>
                  </w:r>
                  <w:r w:rsidRPr="00274C12">
                    <w:rPr>
                      <w:rFonts w:asciiTheme="minorHAnsi" w:eastAsiaTheme="minorHAnsi" w:hAnsiTheme="minorHAnsi" w:cstheme="minorBidi"/>
                      <w:color w:val="auto"/>
                      <w:sz w:val="22"/>
                      <w:szCs w:val="22"/>
                      <w:lang w:val="fr-FR"/>
                    </w:rPr>
                    <w:t xml:space="preserve"> </w:t>
                  </w:r>
                  <w:r>
                    <w:rPr>
                      <w:rFonts w:asciiTheme="minorHAnsi" w:eastAsiaTheme="minorHAnsi" w:hAnsiTheme="minorHAnsi" w:cstheme="minorBidi"/>
                      <w:color w:val="auto"/>
                      <w:sz w:val="22"/>
                      <w:szCs w:val="22"/>
                      <w:lang w:val="fr-FR"/>
                    </w:rPr>
                    <w:t>Niger</w:t>
                  </w:r>
                  <w:r w:rsidRPr="00274C12">
                    <w:rPr>
                      <w:rFonts w:asciiTheme="minorHAnsi" w:eastAsiaTheme="minorHAnsi" w:hAnsiTheme="minorHAnsi" w:cstheme="minorBidi"/>
                      <w:color w:val="auto"/>
                      <w:sz w:val="22"/>
                      <w:szCs w:val="22"/>
                      <w:lang w:val="fr-FR"/>
                    </w:rPr>
                    <w:t xml:space="preserve"> (</w:t>
                  </w:r>
                  <w:r w:rsidRPr="000C46A6">
                    <w:rPr>
                      <w:rFonts w:asciiTheme="minorHAnsi" w:eastAsiaTheme="minorHAnsi" w:hAnsiTheme="minorHAnsi" w:cstheme="minorBidi"/>
                      <w:i/>
                      <w:color w:val="auto"/>
                      <w:sz w:val="22"/>
                      <w:szCs w:val="22"/>
                      <w:lang w:val="fr-FR"/>
                    </w:rPr>
                    <w:t>Ecole des Mines, de l’Industrie et de la Géologie</w:t>
                  </w:r>
                  <w:r w:rsidRPr="00274C12">
                    <w:rPr>
                      <w:rFonts w:asciiTheme="minorHAnsi" w:eastAsiaTheme="minorHAnsi" w:hAnsiTheme="minorHAnsi" w:cstheme="minorBidi"/>
                      <w:color w:val="auto"/>
                      <w:sz w:val="22"/>
                      <w:szCs w:val="22"/>
                      <w:lang w:val="fr-FR"/>
                    </w:rPr>
                    <w:t>)</w:t>
                  </w:r>
                  <w:r>
                    <w:rPr>
                      <w:rFonts w:asciiTheme="minorHAnsi" w:eastAsiaTheme="minorHAnsi" w:hAnsiTheme="minorHAnsi" w:cstheme="minorBidi"/>
                      <w:color w:val="auto"/>
                      <w:sz w:val="22"/>
                      <w:szCs w:val="22"/>
                      <w:lang w:val="fr-FR"/>
                    </w:rPr>
                    <w:t xml:space="preserve"> </w:t>
                  </w:r>
                </w:p>
              </w:tc>
            </w:tr>
            <w:tr w:rsidR="000C3959" w:rsidRPr="006C70A5" w14:paraId="20AC702E" w14:textId="77777777" w:rsidTr="000C46A6">
              <w:trPr>
                <w:trHeight w:val="257"/>
              </w:trPr>
              <w:tc>
                <w:tcPr>
                  <w:tcW w:w="1890" w:type="dxa"/>
                </w:tcPr>
                <w:p w14:paraId="6D00CE9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ENSEA</w:t>
                  </w:r>
                </w:p>
              </w:tc>
              <w:tc>
                <w:tcPr>
                  <w:tcW w:w="8731" w:type="dxa"/>
                </w:tcPr>
                <w:p w14:paraId="5302D9E3" w14:textId="77777777" w:rsidR="00314897" w:rsidRPr="00DA01D5" w:rsidRDefault="00B00100" w:rsidP="00314897">
                  <w:pPr>
                    <w:widowControl/>
                    <w:autoSpaceDE/>
                    <w:autoSpaceDN/>
                    <w:adjustRightInd/>
                    <w:ind w:left="-900" w:firstLine="900"/>
                    <w:rPr>
                      <w:rFonts w:asciiTheme="minorHAnsi" w:eastAsiaTheme="minorHAnsi" w:hAnsiTheme="minorHAnsi" w:cstheme="minorBidi"/>
                      <w:i/>
                      <w:color w:val="auto"/>
                      <w:sz w:val="22"/>
                      <w:szCs w:val="22"/>
                      <w:lang w:val="fr-FR"/>
                    </w:rPr>
                  </w:pPr>
                  <w:r w:rsidRPr="00DA01D5">
                    <w:rPr>
                      <w:rFonts w:asciiTheme="minorHAnsi" w:eastAsiaTheme="minorHAnsi" w:hAnsiTheme="minorHAnsi" w:cstheme="minorBidi"/>
                      <w:color w:val="auto"/>
                      <w:sz w:val="22"/>
                      <w:szCs w:val="22"/>
                      <w:lang w:val="fr-FR"/>
                    </w:rPr>
                    <w:t>National School of Statistics and Applied Economics, Côte d’Ivoire (</w:t>
                  </w:r>
                  <w:r w:rsidRPr="00DA01D5">
                    <w:rPr>
                      <w:rFonts w:asciiTheme="minorHAnsi" w:eastAsiaTheme="minorHAnsi" w:hAnsiTheme="minorHAnsi" w:cstheme="minorBidi"/>
                      <w:i/>
                      <w:color w:val="auto"/>
                      <w:sz w:val="22"/>
                      <w:szCs w:val="22"/>
                      <w:lang w:val="fr-FR"/>
                    </w:rPr>
                    <w:t>École nationale supérieure</w:t>
                  </w:r>
                </w:p>
                <w:p w14:paraId="2F6DC1B1"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DA01D5">
                    <w:rPr>
                      <w:rFonts w:asciiTheme="minorHAnsi" w:eastAsiaTheme="minorHAnsi" w:hAnsiTheme="minorHAnsi" w:cstheme="minorBidi"/>
                      <w:i/>
                      <w:color w:val="auto"/>
                      <w:sz w:val="22"/>
                      <w:szCs w:val="22"/>
                      <w:lang w:val="fr-FR"/>
                    </w:rPr>
                    <w:t>de Statistique et d'Économie appliquée</w:t>
                  </w:r>
                  <w:r w:rsidRPr="00DA01D5">
                    <w:rPr>
                      <w:rFonts w:asciiTheme="minorHAnsi" w:eastAsiaTheme="minorHAnsi" w:hAnsiTheme="minorHAnsi" w:cstheme="minorBidi"/>
                      <w:color w:val="auto"/>
                      <w:sz w:val="22"/>
                      <w:szCs w:val="22"/>
                      <w:lang w:val="fr-FR"/>
                    </w:rPr>
                    <w:t>)</w:t>
                  </w:r>
                </w:p>
              </w:tc>
            </w:tr>
            <w:tr w:rsidR="000C3959" w14:paraId="55699A39" w14:textId="77777777" w:rsidTr="000C46A6">
              <w:trPr>
                <w:trHeight w:val="257"/>
              </w:trPr>
              <w:tc>
                <w:tcPr>
                  <w:tcW w:w="1890" w:type="dxa"/>
                </w:tcPr>
                <w:p w14:paraId="1258562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ESIA</w:t>
                  </w:r>
                </w:p>
              </w:tc>
              <w:tc>
                <w:tcPr>
                  <w:tcW w:w="8731" w:type="dxa"/>
                </w:tcPr>
                <w:p w14:paraId="61ECD30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Environmental and Social Impact Assessment</w:t>
                  </w:r>
                </w:p>
              </w:tc>
            </w:tr>
            <w:tr w:rsidR="000C3959" w14:paraId="0906A60B" w14:textId="77777777" w:rsidTr="000C46A6">
              <w:trPr>
                <w:trHeight w:val="257"/>
              </w:trPr>
              <w:tc>
                <w:tcPr>
                  <w:tcW w:w="1890" w:type="dxa"/>
                </w:tcPr>
                <w:p w14:paraId="4F4E6A4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ESMF</w:t>
                  </w:r>
                </w:p>
              </w:tc>
              <w:tc>
                <w:tcPr>
                  <w:tcW w:w="8731" w:type="dxa"/>
                </w:tcPr>
                <w:p w14:paraId="0E4F088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Environmental and Social Management Framework</w:t>
                  </w:r>
                </w:p>
              </w:tc>
            </w:tr>
            <w:tr w:rsidR="000C3959" w14:paraId="10A7A103" w14:textId="77777777" w:rsidTr="000C46A6">
              <w:trPr>
                <w:trHeight w:val="257"/>
              </w:trPr>
              <w:tc>
                <w:tcPr>
                  <w:tcW w:w="1890" w:type="dxa"/>
                </w:tcPr>
                <w:p w14:paraId="5F1CB1A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ESMP</w:t>
                  </w:r>
                </w:p>
              </w:tc>
              <w:tc>
                <w:tcPr>
                  <w:tcW w:w="8731" w:type="dxa"/>
                </w:tcPr>
                <w:p w14:paraId="6AD88D0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Environmental and Social Management Plan</w:t>
                  </w:r>
                </w:p>
              </w:tc>
            </w:tr>
            <w:tr w:rsidR="000C3959" w14:paraId="67B7D130" w14:textId="77777777" w:rsidTr="000C46A6">
              <w:trPr>
                <w:trHeight w:val="257"/>
              </w:trPr>
              <w:tc>
                <w:tcPr>
                  <w:tcW w:w="1890" w:type="dxa"/>
                </w:tcPr>
                <w:p w14:paraId="09D8A49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FA</w:t>
                  </w:r>
                </w:p>
              </w:tc>
              <w:tc>
                <w:tcPr>
                  <w:tcW w:w="8731" w:type="dxa"/>
                </w:tcPr>
                <w:p w14:paraId="5730018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Financing Agreement</w:t>
                  </w:r>
                </w:p>
              </w:tc>
            </w:tr>
            <w:tr w:rsidR="000C3959" w14:paraId="062F86F0" w14:textId="77777777" w:rsidTr="000C46A6">
              <w:trPr>
                <w:trHeight w:val="247"/>
              </w:trPr>
              <w:tc>
                <w:tcPr>
                  <w:tcW w:w="1890" w:type="dxa"/>
                </w:tcPr>
                <w:p w14:paraId="11E1184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FM</w:t>
                  </w:r>
                </w:p>
              </w:tc>
              <w:tc>
                <w:tcPr>
                  <w:tcW w:w="8731" w:type="dxa"/>
                </w:tcPr>
                <w:p w14:paraId="036CF63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Financial Management</w:t>
                  </w:r>
                </w:p>
              </w:tc>
            </w:tr>
            <w:tr w:rsidR="000C3959" w14:paraId="2AC98BC9" w14:textId="77777777" w:rsidTr="000C46A6">
              <w:trPr>
                <w:trHeight w:val="257"/>
              </w:trPr>
              <w:tc>
                <w:tcPr>
                  <w:tcW w:w="1890" w:type="dxa"/>
                </w:tcPr>
                <w:p w14:paraId="6858539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FMS</w:t>
                  </w:r>
                </w:p>
              </w:tc>
              <w:tc>
                <w:tcPr>
                  <w:tcW w:w="8731" w:type="dxa"/>
                </w:tcPr>
                <w:p w14:paraId="1F8ACC3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Financial Management Specialist</w:t>
                  </w:r>
                </w:p>
              </w:tc>
            </w:tr>
            <w:tr w:rsidR="000C3959" w14:paraId="0AA51CC1" w14:textId="77777777" w:rsidTr="000C46A6">
              <w:trPr>
                <w:trHeight w:val="257"/>
              </w:trPr>
              <w:tc>
                <w:tcPr>
                  <w:tcW w:w="1890" w:type="dxa"/>
                </w:tcPr>
                <w:p w14:paraId="1104792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FUTM</w:t>
                  </w:r>
                  <w:r>
                    <w:rPr>
                      <w:rFonts w:asciiTheme="minorHAnsi" w:eastAsiaTheme="minorHAnsi" w:hAnsiTheme="minorHAnsi" w:cstheme="minorBidi"/>
                      <w:color w:val="auto"/>
                      <w:sz w:val="22"/>
                      <w:szCs w:val="22"/>
                    </w:rPr>
                    <w:t>IN</w:t>
                  </w:r>
                </w:p>
              </w:tc>
              <w:tc>
                <w:tcPr>
                  <w:tcW w:w="8731" w:type="dxa"/>
                </w:tcPr>
                <w:p w14:paraId="73A7E26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Federal University of Technology</w:t>
                  </w:r>
                  <w:r>
                    <w:rPr>
                      <w:rFonts w:asciiTheme="minorHAnsi" w:eastAsiaTheme="minorHAnsi" w:hAnsiTheme="minorHAnsi" w:cstheme="minorBidi"/>
                      <w:color w:val="auto"/>
                      <w:sz w:val="22"/>
                      <w:szCs w:val="22"/>
                    </w:rPr>
                    <w:t>,</w:t>
                  </w:r>
                  <w:r w:rsidRPr="004D7B01">
                    <w:rPr>
                      <w:rFonts w:asciiTheme="minorHAnsi" w:eastAsiaTheme="minorHAnsi" w:hAnsiTheme="minorHAnsi" w:cstheme="minorBidi"/>
                      <w:color w:val="auto"/>
                      <w:sz w:val="22"/>
                      <w:szCs w:val="22"/>
                    </w:rPr>
                    <w:t xml:space="preserve"> Minna</w:t>
                  </w:r>
                  <w:r>
                    <w:rPr>
                      <w:rFonts w:asciiTheme="minorHAnsi" w:eastAsiaTheme="minorHAnsi" w:hAnsiTheme="minorHAnsi" w:cstheme="minorBidi"/>
                      <w:color w:val="auto"/>
                      <w:sz w:val="22"/>
                      <w:szCs w:val="22"/>
                    </w:rPr>
                    <w:t>, Nigeria</w:t>
                  </w:r>
                  <w:r w:rsidRPr="004D7B01">
                    <w:rPr>
                      <w:rFonts w:asciiTheme="minorHAnsi" w:eastAsiaTheme="minorHAnsi" w:hAnsiTheme="minorHAnsi" w:cstheme="minorBidi"/>
                      <w:color w:val="auto"/>
                      <w:sz w:val="22"/>
                      <w:szCs w:val="22"/>
                    </w:rPr>
                    <w:t xml:space="preserve"> </w:t>
                  </w:r>
                </w:p>
              </w:tc>
            </w:tr>
            <w:tr w:rsidR="000C3959" w14:paraId="6563C104" w14:textId="77777777" w:rsidTr="000C46A6">
              <w:trPr>
                <w:trHeight w:val="257"/>
              </w:trPr>
              <w:tc>
                <w:tcPr>
                  <w:tcW w:w="1890" w:type="dxa"/>
                </w:tcPr>
                <w:p w14:paraId="7B4CC67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FUTO</w:t>
                  </w:r>
                </w:p>
              </w:tc>
              <w:tc>
                <w:tcPr>
                  <w:tcW w:w="8731" w:type="dxa"/>
                </w:tcPr>
                <w:p w14:paraId="4B67BA5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Federal University of Technology</w:t>
                  </w:r>
                  <w:r>
                    <w:rPr>
                      <w:rFonts w:asciiTheme="minorHAnsi" w:eastAsiaTheme="minorHAnsi" w:hAnsiTheme="minorHAnsi" w:cstheme="minorBidi"/>
                      <w:color w:val="auto"/>
                      <w:sz w:val="22"/>
                      <w:szCs w:val="22"/>
                    </w:rPr>
                    <w:t>,</w:t>
                  </w:r>
                  <w:r w:rsidRPr="004D7B01">
                    <w:rPr>
                      <w:rFonts w:asciiTheme="minorHAnsi" w:eastAsiaTheme="minorHAnsi" w:hAnsiTheme="minorHAnsi" w:cstheme="minorBidi"/>
                      <w:color w:val="auto"/>
                      <w:sz w:val="22"/>
                      <w:szCs w:val="22"/>
                    </w:rPr>
                    <w:t xml:space="preserve"> Owerri</w:t>
                  </w:r>
                  <w:r>
                    <w:rPr>
                      <w:rFonts w:asciiTheme="minorHAnsi" w:eastAsiaTheme="minorHAnsi" w:hAnsiTheme="minorHAnsi" w:cstheme="minorBidi"/>
                      <w:color w:val="auto"/>
                      <w:sz w:val="22"/>
                      <w:szCs w:val="22"/>
                    </w:rPr>
                    <w:t>, Nigeria</w:t>
                  </w:r>
                  <w:r w:rsidRPr="004D7B01">
                    <w:rPr>
                      <w:rFonts w:asciiTheme="minorHAnsi" w:eastAsiaTheme="minorHAnsi" w:hAnsiTheme="minorHAnsi" w:cstheme="minorBidi"/>
                      <w:color w:val="auto"/>
                      <w:sz w:val="22"/>
                      <w:szCs w:val="22"/>
                    </w:rPr>
                    <w:t xml:space="preserve"> </w:t>
                  </w:r>
                </w:p>
              </w:tc>
            </w:tr>
            <w:tr w:rsidR="000C3959" w14:paraId="6C082E90" w14:textId="77777777" w:rsidTr="000C46A6">
              <w:trPr>
                <w:trHeight w:val="257"/>
              </w:trPr>
              <w:tc>
                <w:tcPr>
                  <w:tcW w:w="1890" w:type="dxa"/>
                </w:tcPr>
                <w:p w14:paraId="3EF09F8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GDP</w:t>
                  </w:r>
                </w:p>
              </w:tc>
              <w:tc>
                <w:tcPr>
                  <w:tcW w:w="8731" w:type="dxa"/>
                </w:tcPr>
                <w:p w14:paraId="3023E4A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Gross Domestic Product</w:t>
                  </w:r>
                </w:p>
              </w:tc>
            </w:tr>
            <w:tr w:rsidR="000C3959" w14:paraId="531C8C51" w14:textId="77777777" w:rsidTr="00CF23D7">
              <w:trPr>
                <w:trHeight w:val="257"/>
              </w:trPr>
              <w:tc>
                <w:tcPr>
                  <w:tcW w:w="1890" w:type="dxa"/>
                </w:tcPr>
                <w:p w14:paraId="10EF3E3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A6F32">
                    <w:rPr>
                      <w:rFonts w:ascii="Calibri" w:eastAsia="Calibri" w:hAnsi="Calibri" w:cs="Calibri"/>
                      <w:color w:val="auto"/>
                      <w:sz w:val="22"/>
                      <w:szCs w:val="22"/>
                    </w:rPr>
                    <w:t>GLF</w:t>
                  </w:r>
                </w:p>
              </w:tc>
              <w:tc>
                <w:tcPr>
                  <w:tcW w:w="8731" w:type="dxa"/>
                </w:tcPr>
                <w:p w14:paraId="453310E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25898">
                    <w:rPr>
                      <w:rFonts w:asciiTheme="minorHAnsi" w:hAnsiTheme="minorHAnsi" w:cstheme="minorBidi"/>
                      <w:color w:val="auto"/>
                      <w:sz w:val="22"/>
                      <w:szCs w:val="22"/>
                    </w:rPr>
                    <w:t>Gambia Local Fund</w:t>
                  </w:r>
                </w:p>
              </w:tc>
            </w:tr>
            <w:tr w:rsidR="000C3959" w14:paraId="1472DBEC" w14:textId="77777777" w:rsidTr="000C46A6">
              <w:trPr>
                <w:trHeight w:val="257"/>
              </w:trPr>
              <w:tc>
                <w:tcPr>
                  <w:tcW w:w="1890" w:type="dxa"/>
                </w:tcPr>
                <w:p w14:paraId="093FD8D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GP</w:t>
                  </w:r>
                </w:p>
              </w:tc>
              <w:tc>
                <w:tcPr>
                  <w:tcW w:w="8731" w:type="dxa"/>
                </w:tcPr>
                <w:p w14:paraId="716D982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Global Practice</w:t>
                  </w:r>
                </w:p>
              </w:tc>
            </w:tr>
            <w:tr w:rsidR="000C3959" w14:paraId="7D1EE168" w14:textId="77777777" w:rsidTr="000C46A6">
              <w:trPr>
                <w:trHeight w:val="247"/>
              </w:trPr>
              <w:tc>
                <w:tcPr>
                  <w:tcW w:w="1890" w:type="dxa"/>
                </w:tcPr>
                <w:p w14:paraId="156BB8C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GTTI</w:t>
                  </w:r>
                </w:p>
              </w:tc>
              <w:tc>
                <w:tcPr>
                  <w:tcW w:w="8731" w:type="dxa"/>
                </w:tcPr>
                <w:p w14:paraId="609CDED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Gambia Technical Training Institute</w:t>
                  </w:r>
                  <w:r>
                    <w:rPr>
                      <w:rFonts w:asciiTheme="minorHAnsi" w:eastAsiaTheme="minorHAnsi" w:hAnsiTheme="minorHAnsi" w:cstheme="minorBidi"/>
                      <w:color w:val="auto"/>
                      <w:sz w:val="22"/>
                      <w:szCs w:val="22"/>
                    </w:rPr>
                    <w:t>, The Gambia</w:t>
                  </w:r>
                  <w:r w:rsidRPr="004D7B01">
                    <w:rPr>
                      <w:rFonts w:asciiTheme="minorHAnsi" w:eastAsiaTheme="minorHAnsi" w:hAnsiTheme="minorHAnsi" w:cstheme="minorBidi"/>
                      <w:color w:val="auto"/>
                      <w:sz w:val="22"/>
                      <w:szCs w:val="22"/>
                    </w:rPr>
                    <w:t xml:space="preserve"> </w:t>
                  </w:r>
                </w:p>
              </w:tc>
            </w:tr>
            <w:tr w:rsidR="000C3959" w14:paraId="1960A850" w14:textId="77777777" w:rsidTr="000C46A6">
              <w:trPr>
                <w:trHeight w:val="247"/>
              </w:trPr>
              <w:tc>
                <w:tcPr>
                  <w:tcW w:w="1890" w:type="dxa"/>
                </w:tcPr>
                <w:p w14:paraId="24BA4F2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IAAB</w:t>
                  </w:r>
                </w:p>
              </w:tc>
              <w:tc>
                <w:tcPr>
                  <w:tcW w:w="8731" w:type="dxa"/>
                </w:tcPr>
                <w:p w14:paraId="1A7BC5D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Academic Advisory Board</w:t>
                  </w:r>
                </w:p>
              </w:tc>
            </w:tr>
            <w:tr w:rsidR="000C3959" w14:paraId="29B48413" w14:textId="77777777" w:rsidTr="000C46A6">
              <w:trPr>
                <w:trHeight w:val="247"/>
              </w:trPr>
              <w:tc>
                <w:tcPr>
                  <w:tcW w:w="1890" w:type="dxa"/>
                </w:tcPr>
                <w:p w14:paraId="2C25C02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IBRD</w:t>
                  </w:r>
                </w:p>
              </w:tc>
              <w:tc>
                <w:tcPr>
                  <w:tcW w:w="8731" w:type="dxa"/>
                </w:tcPr>
                <w:p w14:paraId="3F4A8A9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Bank for Reconstruction and Development</w:t>
                  </w:r>
                </w:p>
              </w:tc>
            </w:tr>
            <w:tr w:rsidR="000C3959" w14:paraId="4057CD38" w14:textId="77777777" w:rsidTr="000C46A6">
              <w:trPr>
                <w:trHeight w:val="247"/>
              </w:trPr>
              <w:tc>
                <w:tcPr>
                  <w:tcW w:w="1890" w:type="dxa"/>
                </w:tcPr>
                <w:p w14:paraId="0D3B9AF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icipe</w:t>
                  </w:r>
                </w:p>
              </w:tc>
              <w:tc>
                <w:tcPr>
                  <w:tcW w:w="8731" w:type="dxa"/>
                </w:tcPr>
                <w:p w14:paraId="42B54D0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Center of Insect Physiology and Ecology</w:t>
                  </w:r>
                </w:p>
              </w:tc>
            </w:tr>
            <w:tr w:rsidR="000C3959" w14:paraId="1875D298" w14:textId="77777777" w:rsidTr="000C46A6">
              <w:trPr>
                <w:trHeight w:val="247"/>
              </w:trPr>
              <w:tc>
                <w:tcPr>
                  <w:tcW w:w="1890" w:type="dxa"/>
                </w:tcPr>
                <w:p w14:paraId="0368BD7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ICS</w:t>
                  </w:r>
                </w:p>
              </w:tc>
              <w:tc>
                <w:tcPr>
                  <w:tcW w:w="8731" w:type="dxa"/>
                </w:tcPr>
                <w:p w14:paraId="6439CCE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Individual Consultant Selection</w:t>
                  </w:r>
                </w:p>
              </w:tc>
            </w:tr>
            <w:tr w:rsidR="000C3959" w14:paraId="1E5403BC" w14:textId="77777777" w:rsidTr="000C46A6">
              <w:trPr>
                <w:trHeight w:val="247"/>
              </w:trPr>
              <w:tc>
                <w:tcPr>
                  <w:tcW w:w="1890" w:type="dxa"/>
                </w:tcPr>
                <w:p w14:paraId="7B1CD88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ICT</w:t>
                  </w:r>
                </w:p>
              </w:tc>
              <w:tc>
                <w:tcPr>
                  <w:tcW w:w="8731" w:type="dxa"/>
                </w:tcPr>
                <w:p w14:paraId="1CAC701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Information and Communications Technology</w:t>
                  </w:r>
                </w:p>
              </w:tc>
            </w:tr>
            <w:tr w:rsidR="000C3959" w14:paraId="4F945834" w14:textId="77777777" w:rsidTr="000C46A6">
              <w:trPr>
                <w:trHeight w:val="247"/>
              </w:trPr>
              <w:tc>
                <w:tcPr>
                  <w:tcW w:w="1890" w:type="dxa"/>
                </w:tcPr>
                <w:p w14:paraId="182008A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IDA</w:t>
                  </w:r>
                </w:p>
              </w:tc>
              <w:tc>
                <w:tcPr>
                  <w:tcW w:w="8731" w:type="dxa"/>
                </w:tcPr>
                <w:p w14:paraId="1FF9DCB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Development Association</w:t>
                  </w:r>
                </w:p>
              </w:tc>
            </w:tr>
            <w:tr w:rsidR="000C3959" w14:paraId="443948F3" w14:textId="77777777" w:rsidTr="000C46A6">
              <w:trPr>
                <w:trHeight w:val="247"/>
              </w:trPr>
              <w:tc>
                <w:tcPr>
                  <w:tcW w:w="1890" w:type="dxa"/>
                </w:tcPr>
                <w:p w14:paraId="09089DE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IDRC</w:t>
                  </w:r>
                </w:p>
              </w:tc>
              <w:tc>
                <w:tcPr>
                  <w:tcW w:w="8731" w:type="dxa"/>
                </w:tcPr>
                <w:p w14:paraId="2A9F818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Development Research Center</w:t>
                  </w:r>
                  <w:r>
                    <w:rPr>
                      <w:rFonts w:asciiTheme="minorHAnsi" w:eastAsiaTheme="minorHAnsi" w:hAnsiTheme="minorHAnsi" w:cstheme="minorBidi"/>
                      <w:color w:val="auto"/>
                      <w:sz w:val="22"/>
                      <w:szCs w:val="22"/>
                    </w:rPr>
                    <w:t xml:space="preserve">, </w:t>
                  </w:r>
                  <w:r w:rsidRPr="004D7B01">
                    <w:rPr>
                      <w:rFonts w:asciiTheme="minorHAnsi" w:eastAsiaTheme="minorHAnsi" w:hAnsiTheme="minorHAnsi" w:cstheme="minorBidi"/>
                      <w:color w:val="auto"/>
                      <w:sz w:val="22"/>
                      <w:szCs w:val="22"/>
                    </w:rPr>
                    <w:t>Canad</w:t>
                  </w:r>
                  <w:r>
                    <w:rPr>
                      <w:rFonts w:asciiTheme="minorHAnsi" w:eastAsiaTheme="minorHAnsi" w:hAnsiTheme="minorHAnsi" w:cstheme="minorBidi"/>
                      <w:color w:val="auto"/>
                      <w:sz w:val="22"/>
                      <w:szCs w:val="22"/>
                    </w:rPr>
                    <w:t>a</w:t>
                  </w:r>
                </w:p>
              </w:tc>
            </w:tr>
            <w:tr w:rsidR="000C3959" w14:paraId="15EC90A2" w14:textId="77777777" w:rsidTr="000C46A6">
              <w:trPr>
                <w:trHeight w:val="247"/>
              </w:trPr>
              <w:tc>
                <w:tcPr>
                  <w:tcW w:w="1890" w:type="dxa"/>
                </w:tcPr>
                <w:p w14:paraId="64B0667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IFR</w:t>
                  </w:r>
                </w:p>
              </w:tc>
              <w:tc>
                <w:tcPr>
                  <w:tcW w:w="8731" w:type="dxa"/>
                </w:tcPr>
                <w:p w14:paraId="5E58F64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Unaudited </w:t>
                  </w:r>
                  <w:r w:rsidRPr="004D7B01">
                    <w:rPr>
                      <w:rFonts w:asciiTheme="minorHAnsi" w:eastAsiaTheme="minorHAnsi" w:hAnsiTheme="minorHAnsi" w:cstheme="minorBidi"/>
                      <w:color w:val="auto"/>
                      <w:sz w:val="22"/>
                      <w:szCs w:val="22"/>
                    </w:rPr>
                    <w:t>Interim Financial Report</w:t>
                  </w:r>
                </w:p>
              </w:tc>
            </w:tr>
            <w:tr w:rsidR="000C3959" w14:paraId="08847ACC" w14:textId="77777777" w:rsidTr="000C46A6">
              <w:trPr>
                <w:trHeight w:val="257"/>
              </w:trPr>
              <w:tc>
                <w:tcPr>
                  <w:tcW w:w="1890" w:type="dxa"/>
                </w:tcPr>
                <w:p w14:paraId="2F7548F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IFRS</w:t>
                  </w:r>
                </w:p>
              </w:tc>
              <w:tc>
                <w:tcPr>
                  <w:tcW w:w="8731" w:type="dxa"/>
                </w:tcPr>
                <w:p w14:paraId="417D8C8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Financial Reporting Standards</w:t>
                  </w:r>
                </w:p>
              </w:tc>
            </w:tr>
            <w:tr w:rsidR="000C3959" w14:paraId="00DA07AC" w14:textId="77777777" w:rsidTr="000C46A6">
              <w:trPr>
                <w:trHeight w:val="257"/>
              </w:trPr>
              <w:tc>
                <w:tcPr>
                  <w:tcW w:w="1890" w:type="dxa"/>
                </w:tcPr>
                <w:p w14:paraId="5D67AB9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INP-HB</w:t>
                  </w:r>
                </w:p>
              </w:tc>
              <w:tc>
                <w:tcPr>
                  <w:tcW w:w="8731" w:type="dxa"/>
                </w:tcPr>
                <w:p w14:paraId="6D2EA4A2" w14:textId="77777777" w:rsidR="00314897" w:rsidRDefault="00B00100" w:rsidP="00314897">
                  <w:pPr>
                    <w:widowControl/>
                    <w:autoSpaceDE/>
                    <w:autoSpaceDN/>
                    <w:adjustRightInd/>
                    <w:ind w:left="-900" w:firstLine="900"/>
                    <w:rPr>
                      <w:rFonts w:asciiTheme="minorHAnsi" w:eastAsiaTheme="minorHAnsi" w:hAnsiTheme="minorHAnsi" w:cstheme="minorBidi"/>
                      <w:i/>
                      <w:color w:val="auto"/>
                      <w:sz w:val="22"/>
                      <w:szCs w:val="22"/>
                      <w:lang w:val="fr-FR"/>
                    </w:rPr>
                  </w:pPr>
                  <w:r w:rsidRPr="009D5271">
                    <w:rPr>
                      <w:rFonts w:asciiTheme="minorHAnsi" w:eastAsiaTheme="minorHAnsi" w:hAnsiTheme="minorHAnsi" w:cstheme="minorBidi"/>
                      <w:color w:val="auto"/>
                      <w:sz w:val="22"/>
                      <w:szCs w:val="22"/>
                      <w:lang w:val="fr-FR"/>
                    </w:rPr>
                    <w:t xml:space="preserve">National Polytechnic Institute - Houphouët-Boigny, Côte d’Ivoire </w:t>
                  </w:r>
                  <w:r>
                    <w:rPr>
                      <w:rFonts w:asciiTheme="minorHAnsi" w:eastAsiaTheme="minorHAnsi" w:hAnsiTheme="minorHAnsi" w:cstheme="minorBidi"/>
                      <w:color w:val="auto"/>
                      <w:sz w:val="22"/>
                      <w:szCs w:val="22"/>
                      <w:lang w:val="fr-FR"/>
                    </w:rPr>
                    <w:t>(</w:t>
                  </w:r>
                  <w:r w:rsidRPr="00DA01D5">
                    <w:rPr>
                      <w:rFonts w:asciiTheme="minorHAnsi" w:eastAsiaTheme="minorHAnsi" w:hAnsiTheme="minorHAnsi" w:cstheme="minorBidi"/>
                      <w:i/>
                      <w:color w:val="auto"/>
                      <w:sz w:val="22"/>
                      <w:szCs w:val="22"/>
                      <w:lang w:val="fr-FR"/>
                    </w:rPr>
                    <w:t xml:space="preserve">Institut National </w:t>
                  </w:r>
                </w:p>
                <w:p w14:paraId="316EC075" w14:textId="77777777" w:rsidR="00314897" w:rsidRPr="009D5271"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DA01D5">
                    <w:rPr>
                      <w:rFonts w:asciiTheme="minorHAnsi" w:eastAsiaTheme="minorHAnsi" w:hAnsiTheme="minorHAnsi" w:cstheme="minorBidi"/>
                      <w:i/>
                      <w:color w:val="auto"/>
                      <w:sz w:val="22"/>
                      <w:szCs w:val="22"/>
                      <w:lang w:val="fr-FR"/>
                    </w:rPr>
                    <w:t>Polytechnique Félix Houphouët-Boigny</w:t>
                  </w:r>
                  <w:r>
                    <w:rPr>
                      <w:rFonts w:asciiTheme="minorHAnsi" w:eastAsiaTheme="minorHAnsi" w:hAnsiTheme="minorHAnsi" w:cstheme="minorBidi"/>
                      <w:color w:val="auto"/>
                      <w:sz w:val="22"/>
                      <w:szCs w:val="22"/>
                      <w:lang w:val="fr-FR"/>
                    </w:rPr>
                    <w:t>)</w:t>
                  </w:r>
                </w:p>
              </w:tc>
            </w:tr>
            <w:tr w:rsidR="000C3959" w14:paraId="1DAD2A9A" w14:textId="77777777" w:rsidTr="000C46A6">
              <w:trPr>
                <w:trHeight w:val="257"/>
              </w:trPr>
              <w:tc>
                <w:tcPr>
                  <w:tcW w:w="1890" w:type="dxa"/>
                </w:tcPr>
                <w:p w14:paraId="476509A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IPF</w:t>
                  </w:r>
                </w:p>
              </w:tc>
              <w:tc>
                <w:tcPr>
                  <w:tcW w:w="8731" w:type="dxa"/>
                </w:tcPr>
                <w:p w14:paraId="0A313AE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Investment Project Financing</w:t>
                  </w:r>
                </w:p>
              </w:tc>
            </w:tr>
            <w:tr w:rsidR="000C3959" w14:paraId="44809AE0" w14:textId="77777777" w:rsidTr="000C46A6">
              <w:trPr>
                <w:trHeight w:val="257"/>
              </w:trPr>
              <w:tc>
                <w:tcPr>
                  <w:tcW w:w="1890" w:type="dxa"/>
                </w:tcPr>
                <w:p w14:paraId="17480D6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IPSAS</w:t>
                  </w:r>
                </w:p>
              </w:tc>
              <w:tc>
                <w:tcPr>
                  <w:tcW w:w="8731" w:type="dxa"/>
                </w:tcPr>
                <w:p w14:paraId="42369F0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Public Sector Accounting Standards</w:t>
                  </w:r>
                </w:p>
              </w:tc>
            </w:tr>
            <w:tr w:rsidR="000C3959" w:rsidRPr="006C70A5" w14:paraId="69EB7BFA" w14:textId="77777777" w:rsidTr="000C46A6">
              <w:trPr>
                <w:trHeight w:val="257"/>
              </w:trPr>
              <w:tc>
                <w:tcPr>
                  <w:tcW w:w="1890" w:type="dxa"/>
                </w:tcPr>
                <w:p w14:paraId="14C2657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IRD</w:t>
                  </w:r>
                </w:p>
              </w:tc>
              <w:tc>
                <w:tcPr>
                  <w:tcW w:w="8731" w:type="dxa"/>
                </w:tcPr>
                <w:p w14:paraId="00BB0A6E" w14:textId="77777777" w:rsidR="00314897" w:rsidRPr="000C46A6" w:rsidRDefault="00B00100" w:rsidP="00314897">
                  <w:pPr>
                    <w:widowControl/>
                    <w:autoSpaceDE/>
                    <w:autoSpaceDN/>
                    <w:adjustRightInd/>
                    <w:ind w:left="-900" w:firstLine="900"/>
                    <w:rPr>
                      <w:rFonts w:asciiTheme="minorHAnsi" w:eastAsiaTheme="minorHAnsi" w:hAnsiTheme="minorHAnsi" w:cstheme="minorBidi"/>
                      <w:i/>
                      <w:color w:val="auto"/>
                      <w:sz w:val="22"/>
                      <w:szCs w:val="22"/>
                      <w:lang w:val="fr-FR"/>
                    </w:rPr>
                  </w:pPr>
                  <w:r w:rsidRPr="00F10BBD">
                    <w:rPr>
                      <w:rFonts w:ascii="Calibri" w:eastAsia="Calibri" w:hAnsi="Calibri" w:cs="Calibri"/>
                      <w:bCs/>
                      <w:spacing w:val="-1"/>
                      <w:sz w:val="22"/>
                      <w:szCs w:val="22"/>
                      <w:lang w:val="fr-FR"/>
                    </w:rPr>
                    <w:t xml:space="preserve">French National Research Institute for Sustainable </w:t>
                  </w:r>
                  <w:r w:rsidRPr="00F10BBD">
                    <w:rPr>
                      <w:rFonts w:asciiTheme="minorHAnsi" w:eastAsiaTheme="minorHAnsi" w:hAnsiTheme="minorHAnsi" w:cstheme="minorBidi"/>
                      <w:color w:val="auto"/>
                      <w:sz w:val="22"/>
                      <w:szCs w:val="22"/>
                      <w:lang w:val="fr-FR"/>
                    </w:rPr>
                    <w:t>Development</w:t>
                  </w:r>
                  <w:r w:rsidRPr="002D4430">
                    <w:rPr>
                      <w:rFonts w:asciiTheme="minorHAnsi" w:eastAsiaTheme="minorHAnsi" w:hAnsiTheme="minorHAnsi" w:cstheme="minorBidi"/>
                      <w:color w:val="auto"/>
                      <w:sz w:val="22"/>
                      <w:szCs w:val="22"/>
                      <w:lang w:val="fr-FR"/>
                    </w:rPr>
                    <w:t xml:space="preserve"> (</w:t>
                  </w:r>
                  <w:r w:rsidRPr="000C46A6">
                    <w:rPr>
                      <w:rFonts w:asciiTheme="minorHAnsi" w:eastAsiaTheme="minorHAnsi" w:hAnsiTheme="minorHAnsi" w:cstheme="minorBidi"/>
                      <w:i/>
                      <w:color w:val="auto"/>
                      <w:sz w:val="22"/>
                      <w:szCs w:val="22"/>
                      <w:lang w:val="fr-FR"/>
                    </w:rPr>
                    <w:t>Institut de Recherche pour</w:t>
                  </w:r>
                </w:p>
                <w:p w14:paraId="228BD808" w14:textId="77777777" w:rsidR="00314897" w:rsidRPr="002D4430"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0C46A6">
                    <w:rPr>
                      <w:rFonts w:asciiTheme="minorHAnsi" w:eastAsiaTheme="minorHAnsi" w:hAnsiTheme="minorHAnsi" w:cstheme="minorBidi"/>
                      <w:i/>
                      <w:color w:val="auto"/>
                      <w:sz w:val="22"/>
                      <w:szCs w:val="22"/>
                      <w:lang w:val="fr-FR"/>
                    </w:rPr>
                    <w:t>le Développement</w:t>
                  </w:r>
                  <w:r w:rsidRPr="002D4430">
                    <w:rPr>
                      <w:rFonts w:asciiTheme="minorHAnsi" w:eastAsiaTheme="minorHAnsi" w:hAnsiTheme="minorHAnsi" w:cstheme="minorBidi"/>
                      <w:color w:val="auto"/>
                      <w:sz w:val="22"/>
                      <w:szCs w:val="22"/>
                      <w:lang w:val="fr-FR"/>
                    </w:rPr>
                    <w:t>)</w:t>
                  </w:r>
                </w:p>
              </w:tc>
            </w:tr>
            <w:tr w:rsidR="000C3959" w14:paraId="624251C2" w14:textId="77777777" w:rsidTr="000C46A6">
              <w:trPr>
                <w:trHeight w:val="257"/>
              </w:trPr>
              <w:tc>
                <w:tcPr>
                  <w:tcW w:w="1890" w:type="dxa"/>
                </w:tcPr>
                <w:p w14:paraId="0A001FB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IRR</w:t>
                  </w:r>
                </w:p>
              </w:tc>
              <w:tc>
                <w:tcPr>
                  <w:tcW w:w="8731" w:type="dxa"/>
                </w:tcPr>
                <w:p w14:paraId="41CCA0D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Internal Rate of Return</w:t>
                  </w:r>
                </w:p>
              </w:tc>
            </w:tr>
            <w:tr w:rsidR="000C3959" w14:paraId="370EE6A7" w14:textId="77777777" w:rsidTr="000C46A6">
              <w:trPr>
                <w:trHeight w:val="257"/>
              </w:trPr>
              <w:tc>
                <w:tcPr>
                  <w:tcW w:w="1890" w:type="dxa"/>
                </w:tcPr>
                <w:p w14:paraId="2547658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ISA</w:t>
                  </w:r>
                </w:p>
              </w:tc>
              <w:tc>
                <w:tcPr>
                  <w:tcW w:w="8731" w:type="dxa"/>
                </w:tcPr>
                <w:p w14:paraId="3F0ED50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International Standards o</w:t>
                  </w:r>
                  <w:r>
                    <w:rPr>
                      <w:rFonts w:asciiTheme="minorHAnsi" w:eastAsiaTheme="minorHAnsi" w:hAnsiTheme="minorHAnsi" w:cstheme="minorBidi"/>
                      <w:color w:val="auto"/>
                      <w:sz w:val="22"/>
                      <w:szCs w:val="22"/>
                    </w:rPr>
                    <w:t>n</w:t>
                  </w:r>
                  <w:r w:rsidRPr="004D7B01">
                    <w:rPr>
                      <w:rFonts w:asciiTheme="minorHAnsi" w:eastAsiaTheme="minorHAnsi" w:hAnsiTheme="minorHAnsi" w:cstheme="minorBidi"/>
                      <w:color w:val="auto"/>
                      <w:sz w:val="22"/>
                      <w:szCs w:val="22"/>
                    </w:rPr>
                    <w:t xml:space="preserve"> Auditing</w:t>
                  </w:r>
                </w:p>
              </w:tc>
            </w:tr>
            <w:tr w:rsidR="000C3959" w14:paraId="252BBABF" w14:textId="77777777" w:rsidTr="000C46A6">
              <w:trPr>
                <w:trHeight w:val="257"/>
              </w:trPr>
              <w:tc>
                <w:tcPr>
                  <w:tcW w:w="1890" w:type="dxa"/>
                </w:tcPr>
                <w:p w14:paraId="51B3533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IT</w:t>
                  </w:r>
                </w:p>
              </w:tc>
              <w:tc>
                <w:tcPr>
                  <w:tcW w:w="8731" w:type="dxa"/>
                </w:tcPr>
                <w:p w14:paraId="678CF1F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Information Technology</w:t>
                  </w:r>
                </w:p>
              </w:tc>
            </w:tr>
            <w:tr w:rsidR="000C3959" w14:paraId="72959969" w14:textId="77777777" w:rsidTr="000C46A6">
              <w:trPr>
                <w:trHeight w:val="247"/>
              </w:trPr>
              <w:tc>
                <w:tcPr>
                  <w:tcW w:w="1890" w:type="dxa"/>
                </w:tcPr>
                <w:p w14:paraId="19A7EA5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ITPV</w:t>
                  </w:r>
                </w:p>
              </w:tc>
              <w:tc>
                <w:tcPr>
                  <w:tcW w:w="8731" w:type="dxa"/>
                </w:tcPr>
                <w:p w14:paraId="59D59A8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Independent Third-party Verifi</w:t>
                  </w:r>
                  <w:r>
                    <w:rPr>
                      <w:rFonts w:asciiTheme="minorHAnsi" w:eastAsiaTheme="minorHAnsi" w:hAnsiTheme="minorHAnsi" w:cstheme="minorBidi"/>
                      <w:color w:val="auto"/>
                      <w:sz w:val="22"/>
                      <w:szCs w:val="22"/>
                    </w:rPr>
                    <w:t>ers</w:t>
                  </w:r>
                </w:p>
              </w:tc>
            </w:tr>
            <w:tr w:rsidR="000C3959" w14:paraId="3A3F15B8" w14:textId="77777777" w:rsidTr="000C46A6">
              <w:trPr>
                <w:trHeight w:val="257"/>
              </w:trPr>
              <w:tc>
                <w:tcPr>
                  <w:tcW w:w="1890" w:type="dxa"/>
                </w:tcPr>
                <w:p w14:paraId="702B3AB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LSU</w:t>
                  </w:r>
                </w:p>
              </w:tc>
              <w:tc>
                <w:tcPr>
                  <w:tcW w:w="8731" w:type="dxa"/>
                </w:tcPr>
                <w:p w14:paraId="45787C2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Lagos State University</w:t>
                  </w:r>
                  <w:r>
                    <w:rPr>
                      <w:rFonts w:asciiTheme="minorHAnsi" w:eastAsiaTheme="minorHAnsi" w:hAnsiTheme="minorHAnsi" w:cstheme="minorBidi"/>
                      <w:color w:val="auto"/>
                      <w:sz w:val="22"/>
                      <w:szCs w:val="22"/>
                    </w:rPr>
                    <w:t>, Nigeria</w:t>
                  </w:r>
                </w:p>
              </w:tc>
            </w:tr>
            <w:tr w:rsidR="000C3959" w14:paraId="09FBDA3B" w14:textId="77777777" w:rsidTr="000C46A6">
              <w:trPr>
                <w:trHeight w:val="257"/>
              </w:trPr>
              <w:tc>
                <w:tcPr>
                  <w:tcW w:w="1890" w:type="dxa"/>
                </w:tcPr>
                <w:p w14:paraId="213106D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M&amp;E</w:t>
                  </w:r>
                </w:p>
              </w:tc>
              <w:tc>
                <w:tcPr>
                  <w:tcW w:w="8731" w:type="dxa"/>
                </w:tcPr>
                <w:p w14:paraId="70E1300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Monitoring and Evaluation </w:t>
                  </w:r>
                </w:p>
              </w:tc>
            </w:tr>
            <w:tr w:rsidR="000C3959" w14:paraId="79F72F4F" w14:textId="77777777" w:rsidTr="000C46A6">
              <w:trPr>
                <w:trHeight w:val="257"/>
              </w:trPr>
              <w:tc>
                <w:tcPr>
                  <w:tcW w:w="1890" w:type="dxa"/>
                </w:tcPr>
                <w:p w14:paraId="1DEFB5B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MAB</w:t>
                  </w:r>
                </w:p>
              </w:tc>
              <w:tc>
                <w:tcPr>
                  <w:tcW w:w="8731" w:type="dxa"/>
                </w:tcPr>
                <w:p w14:paraId="101B14B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Most Advantageous Bid</w:t>
                  </w:r>
                </w:p>
              </w:tc>
            </w:tr>
            <w:tr w:rsidR="000C3959" w14:paraId="0C0DDDB2" w14:textId="77777777" w:rsidTr="000C46A6">
              <w:trPr>
                <w:trHeight w:val="257"/>
              </w:trPr>
              <w:tc>
                <w:tcPr>
                  <w:tcW w:w="1890" w:type="dxa"/>
                </w:tcPr>
                <w:p w14:paraId="1ADEE0B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MAP</w:t>
                  </w:r>
                </w:p>
              </w:tc>
              <w:tc>
                <w:tcPr>
                  <w:tcW w:w="8731" w:type="dxa"/>
                </w:tcPr>
                <w:p w14:paraId="735E847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Most Advantageous Proposal</w:t>
                  </w:r>
                </w:p>
              </w:tc>
            </w:tr>
            <w:tr w:rsidR="000C3959" w14:paraId="26ECD227" w14:textId="77777777" w:rsidTr="000C46A6">
              <w:trPr>
                <w:trHeight w:val="257"/>
              </w:trPr>
              <w:tc>
                <w:tcPr>
                  <w:tcW w:w="1890" w:type="dxa"/>
                </w:tcPr>
                <w:p w14:paraId="0AFEBC5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MIS</w:t>
                  </w:r>
                </w:p>
              </w:tc>
              <w:tc>
                <w:tcPr>
                  <w:tcW w:w="8731" w:type="dxa"/>
                </w:tcPr>
                <w:p w14:paraId="698B7AA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Management Information System</w:t>
                  </w:r>
                </w:p>
              </w:tc>
            </w:tr>
            <w:tr w:rsidR="000C3959" w14:paraId="100FE363" w14:textId="77777777" w:rsidTr="000C46A6">
              <w:trPr>
                <w:trHeight w:val="257"/>
              </w:trPr>
              <w:tc>
                <w:tcPr>
                  <w:tcW w:w="1890" w:type="dxa"/>
                </w:tcPr>
                <w:p w14:paraId="6646DD3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MoF</w:t>
                  </w:r>
                </w:p>
              </w:tc>
              <w:tc>
                <w:tcPr>
                  <w:tcW w:w="8731" w:type="dxa"/>
                </w:tcPr>
                <w:p w14:paraId="47A13F8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Ministry of Finance </w:t>
                  </w:r>
                </w:p>
              </w:tc>
            </w:tr>
            <w:tr w:rsidR="000C3959" w14:paraId="3D53504F" w14:textId="77777777" w:rsidTr="000C46A6">
              <w:trPr>
                <w:trHeight w:val="257"/>
              </w:trPr>
              <w:tc>
                <w:tcPr>
                  <w:tcW w:w="1890" w:type="dxa"/>
                </w:tcPr>
                <w:p w14:paraId="4C92F44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MTR</w:t>
                  </w:r>
                </w:p>
              </w:tc>
              <w:tc>
                <w:tcPr>
                  <w:tcW w:w="8731" w:type="dxa"/>
                </w:tcPr>
                <w:p w14:paraId="3CB315A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Mid-term Review</w:t>
                  </w:r>
                </w:p>
              </w:tc>
            </w:tr>
            <w:tr w:rsidR="000C3959" w14:paraId="62DE02C6" w14:textId="77777777" w:rsidTr="000C46A6">
              <w:trPr>
                <w:trHeight w:val="257"/>
              </w:trPr>
              <w:tc>
                <w:tcPr>
                  <w:tcW w:w="1890" w:type="dxa"/>
                </w:tcPr>
                <w:p w14:paraId="403CC4F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NOUN</w:t>
                  </w:r>
                </w:p>
              </w:tc>
              <w:tc>
                <w:tcPr>
                  <w:tcW w:w="8731" w:type="dxa"/>
                </w:tcPr>
                <w:p w14:paraId="765CD82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National Open University of Nigeria </w:t>
                  </w:r>
                </w:p>
              </w:tc>
            </w:tr>
            <w:tr w:rsidR="000C3959" w14:paraId="0A5CF865" w14:textId="77777777" w:rsidTr="000C46A6">
              <w:trPr>
                <w:trHeight w:val="257"/>
              </w:trPr>
              <w:tc>
                <w:tcPr>
                  <w:tcW w:w="1890" w:type="dxa"/>
                </w:tcPr>
                <w:p w14:paraId="7A1D4A4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NPV</w:t>
                  </w:r>
                </w:p>
              </w:tc>
              <w:tc>
                <w:tcPr>
                  <w:tcW w:w="8731" w:type="dxa"/>
                </w:tcPr>
                <w:p w14:paraId="50B6A82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Net Present Value </w:t>
                  </w:r>
                </w:p>
              </w:tc>
            </w:tr>
            <w:tr w:rsidR="000C3959" w14:paraId="60AFE1B0" w14:textId="77777777" w:rsidTr="000C46A6">
              <w:trPr>
                <w:trHeight w:val="257"/>
              </w:trPr>
              <w:tc>
                <w:tcPr>
                  <w:tcW w:w="1890" w:type="dxa"/>
                </w:tcPr>
                <w:p w14:paraId="2BB1FE9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NREN</w:t>
                  </w:r>
                </w:p>
              </w:tc>
              <w:tc>
                <w:tcPr>
                  <w:tcW w:w="8731" w:type="dxa"/>
                </w:tcPr>
                <w:p w14:paraId="66803CF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National Research and Education Network</w:t>
                  </w:r>
                </w:p>
              </w:tc>
            </w:tr>
            <w:tr w:rsidR="000C3959" w14:paraId="37B24353" w14:textId="77777777" w:rsidTr="000C46A6">
              <w:trPr>
                <w:trHeight w:val="257"/>
              </w:trPr>
              <w:tc>
                <w:tcPr>
                  <w:tcW w:w="1890" w:type="dxa"/>
                </w:tcPr>
                <w:p w14:paraId="567216D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NSC</w:t>
                  </w:r>
                </w:p>
              </w:tc>
              <w:tc>
                <w:tcPr>
                  <w:tcW w:w="8731" w:type="dxa"/>
                </w:tcPr>
                <w:p w14:paraId="71E34A9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National Steering Committee</w:t>
                  </w:r>
                </w:p>
              </w:tc>
            </w:tr>
            <w:tr w:rsidR="000C3959" w14:paraId="5197D515" w14:textId="77777777" w:rsidTr="000C46A6">
              <w:trPr>
                <w:trHeight w:val="257"/>
              </w:trPr>
              <w:tc>
                <w:tcPr>
                  <w:tcW w:w="1890" w:type="dxa"/>
                </w:tcPr>
                <w:p w14:paraId="4CCD9C5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NSF</w:t>
                  </w:r>
                </w:p>
              </w:tc>
              <w:tc>
                <w:tcPr>
                  <w:tcW w:w="8731" w:type="dxa"/>
                </w:tcPr>
                <w:p w14:paraId="06F3C9F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National Science Foundation</w:t>
                  </w:r>
                  <w:r>
                    <w:rPr>
                      <w:rFonts w:asciiTheme="minorHAnsi" w:eastAsiaTheme="minorHAnsi" w:hAnsiTheme="minorHAnsi" w:cstheme="minorBidi"/>
                      <w:color w:val="auto"/>
                      <w:sz w:val="22"/>
                      <w:szCs w:val="22"/>
                    </w:rPr>
                    <w:t xml:space="preserve">, </w:t>
                  </w:r>
                  <w:r w:rsidRPr="004D7B01">
                    <w:rPr>
                      <w:rFonts w:asciiTheme="minorHAnsi" w:eastAsiaTheme="minorHAnsi" w:hAnsiTheme="minorHAnsi" w:cstheme="minorBidi"/>
                      <w:color w:val="auto"/>
                      <w:sz w:val="22"/>
                      <w:szCs w:val="22"/>
                    </w:rPr>
                    <w:t>USA</w:t>
                  </w:r>
                </w:p>
              </w:tc>
            </w:tr>
            <w:tr w:rsidR="000C3959" w14:paraId="5BD453F4" w14:textId="77777777" w:rsidTr="000C46A6">
              <w:trPr>
                <w:trHeight w:val="257"/>
              </w:trPr>
              <w:tc>
                <w:tcPr>
                  <w:tcW w:w="1890" w:type="dxa"/>
                </w:tcPr>
                <w:p w14:paraId="48D663F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NUC</w:t>
                  </w:r>
                </w:p>
              </w:tc>
              <w:tc>
                <w:tcPr>
                  <w:tcW w:w="8731" w:type="dxa"/>
                </w:tcPr>
                <w:p w14:paraId="63C6C72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National Universities Commission</w:t>
                  </w:r>
                  <w:r>
                    <w:rPr>
                      <w:rFonts w:asciiTheme="minorHAnsi" w:eastAsiaTheme="minorHAnsi" w:hAnsiTheme="minorHAnsi" w:cstheme="minorBidi"/>
                      <w:color w:val="auto"/>
                      <w:sz w:val="22"/>
                      <w:szCs w:val="22"/>
                    </w:rPr>
                    <w:t>, Nigeria</w:t>
                  </w:r>
                </w:p>
              </w:tc>
            </w:tr>
            <w:tr w:rsidR="000C3959" w14:paraId="0F01ACDB" w14:textId="77777777" w:rsidTr="000C46A6">
              <w:trPr>
                <w:trHeight w:val="257"/>
              </w:trPr>
              <w:tc>
                <w:tcPr>
                  <w:tcW w:w="1890" w:type="dxa"/>
                </w:tcPr>
                <w:p w14:paraId="7BA5977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OAU</w:t>
                  </w:r>
                </w:p>
              </w:tc>
              <w:tc>
                <w:tcPr>
                  <w:tcW w:w="8731" w:type="dxa"/>
                </w:tcPr>
                <w:p w14:paraId="1AB0E30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Obafemi Awolowo University</w:t>
                  </w:r>
                  <w:r>
                    <w:rPr>
                      <w:rFonts w:asciiTheme="minorHAnsi" w:eastAsiaTheme="minorHAnsi" w:hAnsiTheme="minorHAnsi" w:cstheme="minorBidi"/>
                      <w:color w:val="auto"/>
                      <w:sz w:val="22"/>
                      <w:szCs w:val="22"/>
                    </w:rPr>
                    <w:t>, Nigeria</w:t>
                  </w:r>
                </w:p>
              </w:tc>
            </w:tr>
            <w:tr w:rsidR="000C3959" w14:paraId="0C9CA129" w14:textId="77777777" w:rsidTr="000C46A6">
              <w:trPr>
                <w:trHeight w:val="257"/>
              </w:trPr>
              <w:tc>
                <w:tcPr>
                  <w:tcW w:w="1890" w:type="dxa"/>
                </w:tcPr>
                <w:p w14:paraId="4E50FAF7"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lastRenderedPageBreak/>
                    <w:t>PAD</w:t>
                  </w:r>
                </w:p>
                <w:p w14:paraId="13B8B26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PASET</w:t>
                  </w:r>
                </w:p>
              </w:tc>
              <w:tc>
                <w:tcPr>
                  <w:tcW w:w="8731" w:type="dxa"/>
                </w:tcPr>
                <w:p w14:paraId="2FA180CC" w14:textId="77777777" w:rsidR="00314897"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Project Appraisal Document</w:t>
                  </w:r>
                </w:p>
                <w:p w14:paraId="61D6E85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Partnership for </w:t>
                  </w:r>
                  <w:r>
                    <w:rPr>
                      <w:rFonts w:asciiTheme="minorHAnsi" w:eastAsiaTheme="minorHAnsi" w:hAnsiTheme="minorHAnsi" w:cstheme="minorBidi"/>
                      <w:color w:val="auto"/>
                      <w:sz w:val="22"/>
                      <w:szCs w:val="22"/>
                    </w:rPr>
                    <w:t>s</w:t>
                  </w:r>
                  <w:r w:rsidRPr="004D7B01">
                    <w:rPr>
                      <w:rFonts w:asciiTheme="minorHAnsi" w:eastAsiaTheme="minorHAnsi" w:hAnsiTheme="minorHAnsi" w:cstheme="minorBidi"/>
                      <w:color w:val="auto"/>
                      <w:sz w:val="22"/>
                      <w:szCs w:val="22"/>
                    </w:rPr>
                    <w:t>kills in Applied Sciences, Engineering and Technology</w:t>
                  </w:r>
                </w:p>
              </w:tc>
            </w:tr>
            <w:tr w:rsidR="000C3959" w14:paraId="7B71535F" w14:textId="77777777" w:rsidTr="000C46A6">
              <w:trPr>
                <w:trHeight w:val="257"/>
              </w:trPr>
              <w:tc>
                <w:tcPr>
                  <w:tcW w:w="1890" w:type="dxa"/>
                </w:tcPr>
                <w:p w14:paraId="6FDF5AE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PCU</w:t>
                  </w:r>
                </w:p>
              </w:tc>
              <w:tc>
                <w:tcPr>
                  <w:tcW w:w="8731" w:type="dxa"/>
                </w:tcPr>
                <w:p w14:paraId="66AFA59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Project Coordination Unit</w:t>
                  </w:r>
                </w:p>
              </w:tc>
            </w:tr>
            <w:tr w:rsidR="000C3959" w14:paraId="04F6D8C7" w14:textId="77777777" w:rsidTr="000C46A6">
              <w:trPr>
                <w:trHeight w:val="257"/>
              </w:trPr>
              <w:tc>
                <w:tcPr>
                  <w:tcW w:w="1890" w:type="dxa"/>
                </w:tcPr>
                <w:p w14:paraId="45984D7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PDO</w:t>
                  </w:r>
                </w:p>
              </w:tc>
              <w:tc>
                <w:tcPr>
                  <w:tcW w:w="8731" w:type="dxa"/>
                </w:tcPr>
                <w:p w14:paraId="7EE07BB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Project Development Objective</w:t>
                  </w:r>
                </w:p>
              </w:tc>
            </w:tr>
            <w:tr w:rsidR="000C3959" w14:paraId="5D378CBA" w14:textId="77777777" w:rsidTr="000C46A6">
              <w:trPr>
                <w:trHeight w:val="257"/>
              </w:trPr>
              <w:tc>
                <w:tcPr>
                  <w:tcW w:w="1890" w:type="dxa"/>
                </w:tcPr>
                <w:p w14:paraId="0CE6EDE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PFA</w:t>
                  </w:r>
                </w:p>
              </w:tc>
              <w:tc>
                <w:tcPr>
                  <w:tcW w:w="8731" w:type="dxa"/>
                </w:tcPr>
                <w:p w14:paraId="1240DBA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Performance and Funding Agreement</w:t>
                  </w:r>
                </w:p>
              </w:tc>
            </w:tr>
            <w:tr w:rsidR="000C3959" w14:paraId="7DC82837" w14:textId="77777777" w:rsidTr="000C46A6">
              <w:trPr>
                <w:trHeight w:val="257"/>
              </w:trPr>
              <w:tc>
                <w:tcPr>
                  <w:tcW w:w="1890" w:type="dxa"/>
                </w:tcPr>
                <w:p w14:paraId="371EAD7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PhD</w:t>
                  </w:r>
                </w:p>
              </w:tc>
              <w:tc>
                <w:tcPr>
                  <w:tcW w:w="8731" w:type="dxa"/>
                </w:tcPr>
                <w:p w14:paraId="2EF1654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Doctor of Philosophy</w:t>
                  </w:r>
                </w:p>
              </w:tc>
            </w:tr>
            <w:tr w:rsidR="000C3959" w14:paraId="5900280D" w14:textId="77777777" w:rsidTr="000C46A6">
              <w:trPr>
                <w:trHeight w:val="257"/>
              </w:trPr>
              <w:tc>
                <w:tcPr>
                  <w:tcW w:w="1890" w:type="dxa"/>
                </w:tcPr>
                <w:p w14:paraId="02BBBFB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PIU</w:t>
                  </w:r>
                </w:p>
              </w:tc>
              <w:tc>
                <w:tcPr>
                  <w:tcW w:w="8731" w:type="dxa"/>
                </w:tcPr>
                <w:p w14:paraId="77B795F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Project Implementation Unit</w:t>
                  </w:r>
                </w:p>
              </w:tc>
            </w:tr>
            <w:tr w:rsidR="000C3959" w14:paraId="4EACB668" w14:textId="77777777" w:rsidTr="00DA01D5">
              <w:trPr>
                <w:trHeight w:val="257"/>
              </w:trPr>
              <w:tc>
                <w:tcPr>
                  <w:tcW w:w="1890" w:type="dxa"/>
                </w:tcPr>
                <w:p w14:paraId="760D620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POM</w:t>
                  </w:r>
                </w:p>
              </w:tc>
              <w:tc>
                <w:tcPr>
                  <w:tcW w:w="8731" w:type="dxa"/>
                </w:tcPr>
                <w:p w14:paraId="7A7752B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Project Operation</w:t>
                  </w:r>
                  <w:r>
                    <w:rPr>
                      <w:rFonts w:asciiTheme="minorHAnsi" w:eastAsiaTheme="minorHAnsi" w:hAnsiTheme="minorHAnsi" w:cstheme="minorBidi"/>
                      <w:color w:val="auto"/>
                      <w:sz w:val="22"/>
                      <w:szCs w:val="22"/>
                    </w:rPr>
                    <w:t>s</w:t>
                  </w:r>
                  <w:r w:rsidRPr="004D7B01">
                    <w:rPr>
                      <w:rFonts w:asciiTheme="minorHAnsi" w:eastAsiaTheme="minorHAnsi" w:hAnsiTheme="minorHAnsi" w:cstheme="minorBidi"/>
                      <w:color w:val="auto"/>
                      <w:sz w:val="22"/>
                      <w:szCs w:val="22"/>
                    </w:rPr>
                    <w:t xml:space="preserve"> Manual</w:t>
                  </w:r>
                </w:p>
              </w:tc>
            </w:tr>
            <w:tr w:rsidR="000C3959" w14:paraId="587313C6" w14:textId="77777777" w:rsidTr="000C46A6">
              <w:trPr>
                <w:trHeight w:val="234"/>
              </w:trPr>
              <w:tc>
                <w:tcPr>
                  <w:tcW w:w="1890" w:type="dxa"/>
                </w:tcPr>
                <w:p w14:paraId="52DE86B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PPSD</w:t>
                  </w:r>
                </w:p>
              </w:tc>
              <w:tc>
                <w:tcPr>
                  <w:tcW w:w="8731" w:type="dxa"/>
                </w:tcPr>
                <w:p w14:paraId="3DE36A5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Project Procurement Strategy for Development</w:t>
                  </w:r>
                </w:p>
              </w:tc>
            </w:tr>
            <w:tr w:rsidR="000C3959" w14:paraId="21B7C9D0" w14:textId="77777777" w:rsidTr="000C46A6">
              <w:trPr>
                <w:trHeight w:val="257"/>
              </w:trPr>
              <w:tc>
                <w:tcPr>
                  <w:tcW w:w="1890" w:type="dxa"/>
                </w:tcPr>
                <w:p w14:paraId="51CA650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w:t>
                  </w:r>
                </w:p>
              </w:tc>
              <w:tc>
                <w:tcPr>
                  <w:tcW w:w="8731" w:type="dxa"/>
                </w:tcPr>
                <w:p w14:paraId="5C93808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World Bank Procurement Regulations </w:t>
                  </w:r>
                </w:p>
              </w:tc>
            </w:tr>
            <w:tr w:rsidR="000C3959" w14:paraId="0F646806" w14:textId="77777777" w:rsidTr="000C46A6">
              <w:trPr>
                <w:trHeight w:val="257"/>
              </w:trPr>
              <w:tc>
                <w:tcPr>
                  <w:tcW w:w="1890" w:type="dxa"/>
                </w:tcPr>
                <w:p w14:paraId="22C5FE9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PSC</w:t>
                  </w:r>
                </w:p>
              </w:tc>
              <w:tc>
                <w:tcPr>
                  <w:tcW w:w="8731" w:type="dxa"/>
                </w:tcPr>
                <w:p w14:paraId="20C3B78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Project Steering Committee</w:t>
                  </w:r>
                </w:p>
              </w:tc>
            </w:tr>
            <w:tr w:rsidR="000C3959" w14:paraId="083BEF25" w14:textId="77777777" w:rsidTr="000C46A6">
              <w:trPr>
                <w:trHeight w:val="257"/>
              </w:trPr>
              <w:tc>
                <w:tcPr>
                  <w:tcW w:w="1890" w:type="dxa"/>
                </w:tcPr>
                <w:p w14:paraId="19F7679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QCBS</w:t>
                  </w:r>
                </w:p>
              </w:tc>
              <w:tc>
                <w:tcPr>
                  <w:tcW w:w="8731" w:type="dxa"/>
                </w:tcPr>
                <w:p w14:paraId="434D517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Quality Cost Based Selection</w:t>
                  </w:r>
                </w:p>
              </w:tc>
            </w:tr>
            <w:tr w:rsidR="000C3959" w14:paraId="72D7634B" w14:textId="77777777" w:rsidTr="000C46A6">
              <w:trPr>
                <w:trHeight w:val="257"/>
              </w:trPr>
              <w:tc>
                <w:tcPr>
                  <w:tcW w:w="1890" w:type="dxa"/>
                </w:tcPr>
                <w:p w14:paraId="7E5223E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R&amp;D</w:t>
                  </w:r>
                </w:p>
              </w:tc>
              <w:tc>
                <w:tcPr>
                  <w:tcW w:w="8731" w:type="dxa"/>
                </w:tcPr>
                <w:p w14:paraId="30381702"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Research and Development</w:t>
                  </w:r>
                </w:p>
              </w:tc>
            </w:tr>
            <w:tr w:rsidR="000C3959" w14:paraId="53B63941" w14:textId="77777777" w:rsidTr="000C46A6">
              <w:trPr>
                <w:trHeight w:val="257"/>
              </w:trPr>
              <w:tc>
                <w:tcPr>
                  <w:tcW w:w="1890" w:type="dxa"/>
                </w:tcPr>
                <w:p w14:paraId="4C091D9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RBF</w:t>
                  </w:r>
                </w:p>
              </w:tc>
              <w:tc>
                <w:tcPr>
                  <w:tcW w:w="8731" w:type="dxa"/>
                </w:tcPr>
                <w:p w14:paraId="14C1390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Results-based Financing</w:t>
                  </w:r>
                </w:p>
              </w:tc>
            </w:tr>
            <w:tr w:rsidR="000C3959" w14:paraId="28FBEFBF" w14:textId="77777777" w:rsidTr="000C46A6">
              <w:trPr>
                <w:trHeight w:val="257"/>
              </w:trPr>
              <w:tc>
                <w:tcPr>
                  <w:tcW w:w="1890" w:type="dxa"/>
                </w:tcPr>
                <w:p w14:paraId="10BF5FC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w:t>
                  </w:r>
                  <w:r>
                    <w:rPr>
                      <w:rFonts w:asciiTheme="minorHAnsi" w:eastAsiaTheme="minorHAnsi" w:hAnsiTheme="minorHAnsi" w:cstheme="minorBidi"/>
                      <w:color w:val="auto"/>
                      <w:sz w:val="22"/>
                      <w:szCs w:val="22"/>
                    </w:rPr>
                    <w:t>f</w:t>
                  </w:r>
                  <w:r w:rsidRPr="004D7B01">
                    <w:rPr>
                      <w:rFonts w:asciiTheme="minorHAnsi" w:eastAsiaTheme="minorHAnsi" w:hAnsiTheme="minorHAnsi" w:cstheme="minorBidi"/>
                      <w:color w:val="auto"/>
                      <w:sz w:val="22"/>
                      <w:szCs w:val="22"/>
                    </w:rPr>
                    <w:t>P</w:t>
                  </w:r>
                </w:p>
              </w:tc>
              <w:tc>
                <w:tcPr>
                  <w:tcW w:w="8731" w:type="dxa"/>
                </w:tcPr>
                <w:p w14:paraId="18CA6E7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Request for Proposal</w:t>
                  </w:r>
                </w:p>
              </w:tc>
            </w:tr>
            <w:tr w:rsidR="000C3959" w14:paraId="3C825A42" w14:textId="77777777" w:rsidTr="000C46A6">
              <w:trPr>
                <w:trHeight w:val="257"/>
              </w:trPr>
              <w:tc>
                <w:tcPr>
                  <w:tcW w:w="1890" w:type="dxa"/>
                </w:tcPr>
                <w:p w14:paraId="64292E2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w:t>
                  </w:r>
                  <w:r>
                    <w:rPr>
                      <w:rFonts w:asciiTheme="minorHAnsi" w:eastAsiaTheme="minorHAnsi" w:hAnsiTheme="minorHAnsi" w:cstheme="minorBidi"/>
                      <w:color w:val="auto"/>
                      <w:sz w:val="22"/>
                      <w:szCs w:val="22"/>
                    </w:rPr>
                    <w:t>f</w:t>
                  </w:r>
                  <w:r w:rsidRPr="004D7B01">
                    <w:rPr>
                      <w:rFonts w:asciiTheme="minorHAnsi" w:eastAsiaTheme="minorHAnsi" w:hAnsiTheme="minorHAnsi" w:cstheme="minorBidi"/>
                      <w:color w:val="auto"/>
                      <w:sz w:val="22"/>
                      <w:szCs w:val="22"/>
                    </w:rPr>
                    <w:t>Q</w:t>
                  </w:r>
                </w:p>
              </w:tc>
              <w:tc>
                <w:tcPr>
                  <w:tcW w:w="8731" w:type="dxa"/>
                </w:tcPr>
                <w:p w14:paraId="1ADD729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Request for Quotation</w:t>
                  </w:r>
                </w:p>
              </w:tc>
            </w:tr>
            <w:tr w:rsidR="000C3959" w14:paraId="0CCF515F" w14:textId="77777777" w:rsidTr="000C46A6">
              <w:trPr>
                <w:trHeight w:val="257"/>
              </w:trPr>
              <w:tc>
                <w:tcPr>
                  <w:tcW w:w="1890" w:type="dxa"/>
                </w:tcPr>
                <w:p w14:paraId="6FCD676C"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RFU</w:t>
                  </w:r>
                </w:p>
              </w:tc>
              <w:tc>
                <w:tcPr>
                  <w:tcW w:w="8731" w:type="dxa"/>
                </w:tcPr>
                <w:p w14:paraId="3605851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Regional Facilitation Unit</w:t>
                  </w:r>
                </w:p>
              </w:tc>
            </w:tr>
            <w:tr w:rsidR="000C3959" w14:paraId="27935061" w14:textId="77777777" w:rsidTr="000C46A6">
              <w:trPr>
                <w:trHeight w:val="257"/>
              </w:trPr>
              <w:tc>
                <w:tcPr>
                  <w:tcW w:w="1890" w:type="dxa"/>
                </w:tcPr>
                <w:p w14:paraId="08715BB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RSIF</w:t>
                  </w:r>
                </w:p>
              </w:tc>
              <w:tc>
                <w:tcPr>
                  <w:tcW w:w="8731" w:type="dxa"/>
                </w:tcPr>
                <w:p w14:paraId="7FD849C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Regional Scholarship and Innovation Fund</w:t>
                  </w:r>
                </w:p>
              </w:tc>
            </w:tr>
            <w:tr w:rsidR="000C3959" w14:paraId="10C465D2" w14:textId="77777777" w:rsidTr="000C46A6">
              <w:trPr>
                <w:trHeight w:val="257"/>
              </w:trPr>
              <w:tc>
                <w:tcPr>
                  <w:tcW w:w="1890" w:type="dxa"/>
                </w:tcPr>
                <w:p w14:paraId="597F611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RU</w:t>
                  </w:r>
                </w:p>
              </w:tc>
              <w:tc>
                <w:tcPr>
                  <w:tcW w:w="8731" w:type="dxa"/>
                </w:tcPr>
                <w:p w14:paraId="06BCB6F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Redeemer's University</w:t>
                  </w:r>
                  <w:r>
                    <w:rPr>
                      <w:rFonts w:asciiTheme="minorHAnsi" w:eastAsiaTheme="minorHAnsi" w:hAnsiTheme="minorHAnsi" w:cstheme="minorBidi"/>
                      <w:color w:val="auto"/>
                      <w:sz w:val="22"/>
                      <w:szCs w:val="22"/>
                    </w:rPr>
                    <w:t>, Nigeria</w:t>
                  </w:r>
                </w:p>
              </w:tc>
            </w:tr>
            <w:tr w:rsidR="000C3959" w14:paraId="3C9574FA" w14:textId="77777777" w:rsidTr="000C46A6">
              <w:trPr>
                <w:trHeight w:val="257"/>
              </w:trPr>
              <w:tc>
                <w:tcPr>
                  <w:tcW w:w="1890" w:type="dxa"/>
                </w:tcPr>
                <w:p w14:paraId="5982EA5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S&amp;T</w:t>
                  </w:r>
                </w:p>
              </w:tc>
              <w:tc>
                <w:tcPr>
                  <w:tcW w:w="8731" w:type="dxa"/>
                </w:tcPr>
                <w:p w14:paraId="0E64657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Science and Technology</w:t>
                  </w:r>
                </w:p>
              </w:tc>
            </w:tr>
            <w:tr w:rsidR="000C3959" w14:paraId="57279486" w14:textId="77777777" w:rsidTr="000C46A6">
              <w:trPr>
                <w:trHeight w:val="257"/>
              </w:trPr>
              <w:tc>
                <w:tcPr>
                  <w:tcW w:w="1890" w:type="dxa"/>
                </w:tcPr>
                <w:p w14:paraId="4CB5602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SAB</w:t>
                  </w:r>
                </w:p>
              </w:tc>
              <w:tc>
                <w:tcPr>
                  <w:tcW w:w="8731" w:type="dxa"/>
                </w:tcPr>
                <w:p w14:paraId="6535AC8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Sectoral Advisory Board</w:t>
                  </w:r>
                </w:p>
              </w:tc>
            </w:tr>
            <w:tr w:rsidR="000C3959" w14:paraId="596F7518" w14:textId="77777777" w:rsidTr="000C46A6">
              <w:trPr>
                <w:trHeight w:val="257"/>
              </w:trPr>
              <w:tc>
                <w:tcPr>
                  <w:tcW w:w="1890" w:type="dxa"/>
                </w:tcPr>
                <w:p w14:paraId="2479B35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SDR</w:t>
                  </w:r>
                </w:p>
              </w:tc>
              <w:tc>
                <w:tcPr>
                  <w:tcW w:w="8731" w:type="dxa"/>
                </w:tcPr>
                <w:p w14:paraId="6BE2089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Special Drawing Right</w:t>
                  </w:r>
                </w:p>
              </w:tc>
            </w:tr>
            <w:tr w:rsidR="000C3959" w14:paraId="38EAC61B" w14:textId="77777777" w:rsidTr="000C46A6">
              <w:trPr>
                <w:trHeight w:val="257"/>
              </w:trPr>
              <w:tc>
                <w:tcPr>
                  <w:tcW w:w="1890" w:type="dxa"/>
                </w:tcPr>
                <w:p w14:paraId="23EC126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SoE</w:t>
                  </w:r>
                </w:p>
              </w:tc>
              <w:tc>
                <w:tcPr>
                  <w:tcW w:w="8731" w:type="dxa"/>
                </w:tcPr>
                <w:p w14:paraId="328BD15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Statement of Expenditure</w:t>
                  </w:r>
                </w:p>
              </w:tc>
            </w:tr>
            <w:tr w:rsidR="000C3959" w14:paraId="446F21D8" w14:textId="77777777" w:rsidTr="000C46A6">
              <w:trPr>
                <w:trHeight w:val="257"/>
              </w:trPr>
              <w:tc>
                <w:tcPr>
                  <w:tcW w:w="1890" w:type="dxa"/>
                </w:tcPr>
                <w:p w14:paraId="21BEC8EF"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SSA </w:t>
                  </w:r>
                </w:p>
              </w:tc>
              <w:tc>
                <w:tcPr>
                  <w:tcW w:w="8731" w:type="dxa"/>
                </w:tcPr>
                <w:p w14:paraId="2F2F4B7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Sub-Saharan Africa </w:t>
                  </w:r>
                </w:p>
              </w:tc>
            </w:tr>
            <w:tr w:rsidR="000C3959" w14:paraId="4E286E10" w14:textId="77777777" w:rsidTr="000C46A6">
              <w:trPr>
                <w:trHeight w:val="257"/>
              </w:trPr>
              <w:tc>
                <w:tcPr>
                  <w:tcW w:w="1890" w:type="dxa"/>
                </w:tcPr>
                <w:p w14:paraId="767240D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STEM</w:t>
                  </w:r>
                </w:p>
              </w:tc>
              <w:tc>
                <w:tcPr>
                  <w:tcW w:w="8731" w:type="dxa"/>
                </w:tcPr>
                <w:p w14:paraId="182E957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Science, Technology, Engineering and Mathematics</w:t>
                  </w:r>
                </w:p>
              </w:tc>
            </w:tr>
            <w:tr w:rsidR="000C3959" w14:paraId="3C7392BC" w14:textId="77777777" w:rsidTr="000C46A6">
              <w:trPr>
                <w:trHeight w:val="257"/>
              </w:trPr>
              <w:tc>
                <w:tcPr>
                  <w:tcW w:w="1890" w:type="dxa"/>
                </w:tcPr>
                <w:p w14:paraId="00133D6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SYSCOHADA</w:t>
                  </w:r>
                </w:p>
              </w:tc>
              <w:tc>
                <w:tcPr>
                  <w:tcW w:w="8731" w:type="dxa"/>
                </w:tcPr>
                <w:p w14:paraId="7D262C0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West African/OHADA Accounting System</w:t>
                  </w:r>
                </w:p>
              </w:tc>
            </w:tr>
            <w:tr w:rsidR="000C3959" w14:paraId="4CCE4BDB" w14:textId="77777777" w:rsidTr="000C46A6">
              <w:trPr>
                <w:trHeight w:val="257"/>
              </w:trPr>
              <w:tc>
                <w:tcPr>
                  <w:tcW w:w="1890" w:type="dxa"/>
                </w:tcPr>
                <w:p w14:paraId="38D1128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TA</w:t>
                  </w:r>
                </w:p>
              </w:tc>
              <w:tc>
                <w:tcPr>
                  <w:tcW w:w="8731" w:type="dxa"/>
                </w:tcPr>
                <w:p w14:paraId="47C0DC4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Technical Assistance</w:t>
                  </w:r>
                </w:p>
              </w:tc>
            </w:tr>
            <w:tr w:rsidR="000C3959" w14:paraId="6653F669" w14:textId="77777777" w:rsidTr="000C46A6">
              <w:trPr>
                <w:trHeight w:val="257"/>
              </w:trPr>
              <w:tc>
                <w:tcPr>
                  <w:tcW w:w="1890" w:type="dxa"/>
                </w:tcPr>
                <w:p w14:paraId="2140EAC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ToR</w:t>
                  </w:r>
                </w:p>
              </w:tc>
              <w:tc>
                <w:tcPr>
                  <w:tcW w:w="8731" w:type="dxa"/>
                </w:tcPr>
                <w:p w14:paraId="527B7C14"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Terms of Reference</w:t>
                  </w:r>
                </w:p>
              </w:tc>
            </w:tr>
            <w:tr w:rsidR="000C3959" w14:paraId="73EB2BF7" w14:textId="77777777" w:rsidTr="000C46A6">
              <w:trPr>
                <w:trHeight w:val="257"/>
              </w:trPr>
              <w:tc>
                <w:tcPr>
                  <w:tcW w:w="1890" w:type="dxa"/>
                </w:tcPr>
                <w:p w14:paraId="3E21109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TTL</w:t>
                  </w:r>
                </w:p>
              </w:tc>
              <w:tc>
                <w:tcPr>
                  <w:tcW w:w="8731" w:type="dxa"/>
                </w:tcPr>
                <w:p w14:paraId="1586EAD2"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Task Team Leader</w:t>
                  </w:r>
                </w:p>
              </w:tc>
            </w:tr>
            <w:tr w:rsidR="000C3959" w14:paraId="6EF07B4D" w14:textId="77777777" w:rsidTr="000C46A6">
              <w:trPr>
                <w:trHeight w:val="257"/>
              </w:trPr>
              <w:tc>
                <w:tcPr>
                  <w:tcW w:w="1890" w:type="dxa"/>
                </w:tcPr>
                <w:p w14:paraId="20028CFB"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TVET</w:t>
                  </w:r>
                </w:p>
              </w:tc>
              <w:tc>
                <w:tcPr>
                  <w:tcW w:w="8731" w:type="dxa"/>
                </w:tcPr>
                <w:p w14:paraId="1CE7428A"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Technical and Vocational Education and Training</w:t>
                  </w:r>
                </w:p>
              </w:tc>
            </w:tr>
            <w:tr w:rsidR="000C3959" w14:paraId="0D204B4B" w14:textId="77777777" w:rsidTr="000C46A6">
              <w:trPr>
                <w:trHeight w:val="257"/>
              </w:trPr>
              <w:tc>
                <w:tcPr>
                  <w:tcW w:w="1890" w:type="dxa"/>
                </w:tcPr>
                <w:p w14:paraId="1AB72AA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UAC</w:t>
                  </w:r>
                </w:p>
              </w:tc>
              <w:tc>
                <w:tcPr>
                  <w:tcW w:w="8731" w:type="dxa"/>
                </w:tcPr>
                <w:p w14:paraId="7FEB9E2E"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University of Abomey Calavi, Benin</w:t>
                  </w:r>
                </w:p>
              </w:tc>
            </w:tr>
            <w:tr w:rsidR="000C3959" w:rsidRPr="006C70A5" w14:paraId="19B11330" w14:textId="77777777" w:rsidTr="000C46A6">
              <w:trPr>
                <w:trHeight w:val="257"/>
              </w:trPr>
              <w:tc>
                <w:tcPr>
                  <w:tcW w:w="1890" w:type="dxa"/>
                </w:tcPr>
                <w:p w14:paraId="2AF52409"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UAM</w:t>
                  </w:r>
                </w:p>
              </w:tc>
              <w:tc>
                <w:tcPr>
                  <w:tcW w:w="8731" w:type="dxa"/>
                </w:tcPr>
                <w:p w14:paraId="1974320E" w14:textId="77777777" w:rsidR="00314897" w:rsidRPr="00DA01D5"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9B6730">
                    <w:rPr>
                      <w:rFonts w:asciiTheme="minorHAnsi" w:eastAsiaTheme="minorHAnsi" w:hAnsiTheme="minorHAnsi" w:cstheme="minorBidi"/>
                      <w:color w:val="auto"/>
                      <w:sz w:val="22"/>
                      <w:szCs w:val="22"/>
                      <w:lang w:val="fr-FR"/>
                    </w:rPr>
                    <w:t>Abdou Moumouni</w:t>
                  </w:r>
                  <w:r>
                    <w:rPr>
                      <w:rFonts w:asciiTheme="minorHAnsi" w:eastAsiaTheme="minorHAnsi" w:hAnsiTheme="minorHAnsi" w:cstheme="minorBidi"/>
                      <w:color w:val="auto"/>
                      <w:sz w:val="22"/>
                      <w:szCs w:val="22"/>
                      <w:lang w:val="fr-FR"/>
                    </w:rPr>
                    <w:t xml:space="preserve"> University</w:t>
                  </w:r>
                  <w:r w:rsidRPr="00DA01D5">
                    <w:rPr>
                      <w:rFonts w:asciiTheme="minorHAnsi" w:eastAsiaTheme="minorHAnsi" w:hAnsiTheme="minorHAnsi" w:cstheme="minorBidi"/>
                      <w:color w:val="auto"/>
                      <w:sz w:val="22"/>
                      <w:szCs w:val="22"/>
                      <w:lang w:val="fr-FR"/>
                    </w:rPr>
                    <w:t>, Niger (</w:t>
                  </w:r>
                  <w:r w:rsidRPr="00DA01D5">
                    <w:rPr>
                      <w:rFonts w:asciiTheme="minorHAnsi" w:eastAsiaTheme="minorHAnsi" w:hAnsiTheme="minorHAnsi" w:cstheme="minorBidi"/>
                      <w:i/>
                      <w:color w:val="auto"/>
                      <w:sz w:val="22"/>
                      <w:szCs w:val="22"/>
                      <w:lang w:val="fr-FR"/>
                    </w:rPr>
                    <w:t>Université Abdou Moumouni</w:t>
                  </w:r>
                  <w:r w:rsidRPr="00DA01D5">
                    <w:rPr>
                      <w:rFonts w:asciiTheme="minorHAnsi" w:eastAsiaTheme="minorHAnsi" w:hAnsiTheme="minorHAnsi" w:cstheme="minorBidi"/>
                      <w:color w:val="auto"/>
                      <w:sz w:val="22"/>
                      <w:szCs w:val="22"/>
                      <w:lang w:val="fr-FR"/>
                    </w:rPr>
                    <w:t xml:space="preserve">) </w:t>
                  </w:r>
                </w:p>
              </w:tc>
            </w:tr>
            <w:tr w:rsidR="000C3959" w14:paraId="7BD239DE" w14:textId="77777777" w:rsidTr="000C46A6">
              <w:trPr>
                <w:trHeight w:val="257"/>
              </w:trPr>
              <w:tc>
                <w:tcPr>
                  <w:tcW w:w="1890" w:type="dxa"/>
                </w:tcPr>
                <w:p w14:paraId="3939D29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UEMOA</w:t>
                  </w:r>
                  <w:r>
                    <w:rPr>
                      <w:rFonts w:asciiTheme="minorHAnsi" w:eastAsiaTheme="minorHAnsi" w:hAnsiTheme="minorHAnsi" w:cstheme="minorBidi"/>
                      <w:color w:val="auto"/>
                      <w:sz w:val="22"/>
                      <w:szCs w:val="22"/>
                    </w:rPr>
                    <w:t>/WAEMU</w:t>
                  </w:r>
                </w:p>
              </w:tc>
              <w:tc>
                <w:tcPr>
                  <w:tcW w:w="8731" w:type="dxa"/>
                </w:tcPr>
                <w:p w14:paraId="7A50762B" w14:textId="77777777" w:rsidR="00314897" w:rsidRPr="00700C80" w:rsidRDefault="00B00100" w:rsidP="00314897">
                  <w:pPr>
                    <w:widowControl/>
                    <w:autoSpaceDE/>
                    <w:autoSpaceDN/>
                    <w:adjustRightInd/>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West African Economic and Monetary Union</w:t>
                  </w:r>
                  <w:r w:rsidRPr="000C46A6">
                    <w:rPr>
                      <w:rFonts w:asciiTheme="minorHAnsi" w:eastAsiaTheme="minorHAnsi" w:hAnsiTheme="minorHAnsi" w:cstheme="minorBidi"/>
                      <w:i/>
                      <w:color w:val="auto"/>
                      <w:sz w:val="22"/>
                      <w:szCs w:val="22"/>
                    </w:rPr>
                    <w:t xml:space="preserve"> </w:t>
                  </w:r>
                  <w:r>
                    <w:rPr>
                      <w:rFonts w:asciiTheme="minorHAnsi" w:eastAsiaTheme="minorHAnsi" w:hAnsiTheme="minorHAnsi" w:cstheme="minorBidi"/>
                      <w:i/>
                      <w:color w:val="auto"/>
                      <w:sz w:val="22"/>
                      <w:szCs w:val="22"/>
                    </w:rPr>
                    <w:t>(</w:t>
                  </w:r>
                  <w:r w:rsidRPr="000C46A6">
                    <w:rPr>
                      <w:rFonts w:asciiTheme="minorHAnsi" w:eastAsiaTheme="minorHAnsi" w:hAnsiTheme="minorHAnsi" w:cstheme="minorBidi"/>
                      <w:i/>
                      <w:color w:val="auto"/>
                      <w:sz w:val="22"/>
                      <w:szCs w:val="22"/>
                    </w:rPr>
                    <w:t>Union Economique et Monétaire Ouest Africaine</w:t>
                  </w:r>
                  <w:r>
                    <w:rPr>
                      <w:rFonts w:asciiTheme="minorHAnsi" w:eastAsiaTheme="minorHAnsi" w:hAnsiTheme="minorHAnsi" w:cstheme="minorBidi"/>
                      <w:i/>
                      <w:color w:val="auto"/>
                      <w:sz w:val="22"/>
                      <w:szCs w:val="22"/>
                    </w:rPr>
                    <w:t>)</w:t>
                  </w:r>
                </w:p>
              </w:tc>
            </w:tr>
            <w:tr w:rsidR="000C3959" w:rsidRPr="006C70A5" w14:paraId="54C68AF6" w14:textId="77777777" w:rsidTr="000C46A6">
              <w:trPr>
                <w:trHeight w:val="257"/>
              </w:trPr>
              <w:tc>
                <w:tcPr>
                  <w:tcW w:w="1890" w:type="dxa"/>
                </w:tcPr>
                <w:p w14:paraId="4B02E95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UFHB</w:t>
                  </w:r>
                </w:p>
              </w:tc>
              <w:tc>
                <w:tcPr>
                  <w:tcW w:w="8731" w:type="dxa"/>
                </w:tcPr>
                <w:p w14:paraId="49BF8E65"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lang w:val="fr-FR"/>
                    </w:rPr>
                  </w:pPr>
                  <w:r w:rsidRPr="00700C80">
                    <w:rPr>
                      <w:rFonts w:asciiTheme="minorHAnsi" w:eastAsiaTheme="minorHAnsi" w:hAnsiTheme="minorHAnsi" w:cstheme="minorBidi"/>
                      <w:color w:val="auto"/>
                      <w:sz w:val="22"/>
                      <w:szCs w:val="22"/>
                      <w:lang w:val="fr-FR"/>
                    </w:rPr>
                    <w:t xml:space="preserve">Félix Houphouët-Boigny University, Côte d’Ivoire </w:t>
                  </w:r>
                  <w:r>
                    <w:rPr>
                      <w:rFonts w:asciiTheme="minorHAnsi" w:eastAsiaTheme="minorHAnsi" w:hAnsiTheme="minorHAnsi" w:cstheme="minorBidi"/>
                      <w:color w:val="auto"/>
                      <w:sz w:val="22"/>
                      <w:szCs w:val="22"/>
                      <w:lang w:val="fr-FR"/>
                    </w:rPr>
                    <w:t>(</w:t>
                  </w:r>
                  <w:r w:rsidRPr="00DA01D5">
                    <w:rPr>
                      <w:rFonts w:asciiTheme="minorHAnsi" w:eastAsiaTheme="minorHAnsi" w:hAnsiTheme="minorHAnsi" w:cstheme="minorBidi"/>
                      <w:i/>
                      <w:color w:val="auto"/>
                      <w:sz w:val="22"/>
                      <w:szCs w:val="22"/>
                      <w:lang w:val="fr-FR"/>
                    </w:rPr>
                    <w:t>Université Félix Houphouët-Boigny</w:t>
                  </w:r>
                  <w:r>
                    <w:rPr>
                      <w:rFonts w:asciiTheme="minorHAnsi" w:eastAsiaTheme="minorHAnsi" w:hAnsiTheme="minorHAnsi" w:cstheme="minorBidi"/>
                      <w:color w:val="auto"/>
                      <w:sz w:val="22"/>
                      <w:szCs w:val="22"/>
                      <w:lang w:val="fr-FR"/>
                    </w:rPr>
                    <w:t>)</w:t>
                  </w:r>
                </w:p>
              </w:tc>
            </w:tr>
            <w:tr w:rsidR="000C3959" w14:paraId="7984B3C6" w14:textId="77777777" w:rsidTr="000C46A6">
              <w:trPr>
                <w:trHeight w:val="257"/>
              </w:trPr>
              <w:tc>
                <w:tcPr>
                  <w:tcW w:w="1890" w:type="dxa"/>
                </w:tcPr>
                <w:p w14:paraId="5FCDEA2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UKRI</w:t>
                  </w:r>
                </w:p>
              </w:tc>
              <w:tc>
                <w:tcPr>
                  <w:tcW w:w="8731" w:type="dxa"/>
                </w:tcPr>
                <w:p w14:paraId="799C3AB2"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United Kingdom Research and Innovation</w:t>
                  </w:r>
                </w:p>
              </w:tc>
            </w:tr>
            <w:tr w:rsidR="000C3959" w14:paraId="2A0751C4" w14:textId="77777777" w:rsidTr="000C46A6">
              <w:trPr>
                <w:trHeight w:val="257"/>
              </w:trPr>
              <w:tc>
                <w:tcPr>
                  <w:tcW w:w="1890" w:type="dxa"/>
                </w:tcPr>
                <w:p w14:paraId="72F1AF8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UL</w:t>
                  </w:r>
                </w:p>
              </w:tc>
              <w:tc>
                <w:tcPr>
                  <w:tcW w:w="8731" w:type="dxa"/>
                </w:tcPr>
                <w:p w14:paraId="3CE7F74E" w14:textId="77777777" w:rsidR="00314897" w:rsidRPr="00700C80"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700C80">
                    <w:rPr>
                      <w:rFonts w:asciiTheme="minorHAnsi" w:eastAsiaTheme="minorHAnsi" w:hAnsiTheme="minorHAnsi" w:cstheme="minorBidi"/>
                      <w:color w:val="auto"/>
                      <w:sz w:val="22"/>
                      <w:szCs w:val="22"/>
                    </w:rPr>
                    <w:t>University of Lomé, Togo</w:t>
                  </w:r>
                  <w:r>
                    <w:rPr>
                      <w:rFonts w:asciiTheme="minorHAnsi" w:eastAsiaTheme="minorHAnsi" w:hAnsiTheme="minorHAnsi" w:cstheme="minorBidi"/>
                      <w:color w:val="auto"/>
                      <w:sz w:val="22"/>
                      <w:szCs w:val="22"/>
                    </w:rPr>
                    <w:t xml:space="preserve"> (</w:t>
                  </w:r>
                  <w:r w:rsidRPr="00DA01D5">
                    <w:rPr>
                      <w:rFonts w:asciiTheme="minorHAnsi" w:eastAsiaTheme="minorHAnsi" w:hAnsiTheme="minorHAnsi" w:cstheme="minorBidi"/>
                      <w:i/>
                      <w:color w:val="auto"/>
                      <w:sz w:val="22"/>
                      <w:szCs w:val="22"/>
                    </w:rPr>
                    <w:t>Université de Lom</w:t>
                  </w:r>
                  <w:r w:rsidRPr="0068480E">
                    <w:rPr>
                      <w:rFonts w:asciiTheme="minorHAnsi" w:eastAsiaTheme="minorHAnsi" w:hAnsiTheme="minorHAnsi" w:cstheme="minorBidi"/>
                      <w:i/>
                      <w:color w:val="auto"/>
                      <w:sz w:val="22"/>
                      <w:szCs w:val="22"/>
                    </w:rPr>
                    <w:t>é</w:t>
                  </w:r>
                  <w:r>
                    <w:rPr>
                      <w:rFonts w:asciiTheme="minorHAnsi" w:eastAsiaTheme="minorHAnsi" w:hAnsiTheme="minorHAnsi" w:cstheme="minorBidi"/>
                      <w:color w:val="auto"/>
                      <w:sz w:val="22"/>
                      <w:szCs w:val="22"/>
                    </w:rPr>
                    <w:t>)</w:t>
                  </w:r>
                </w:p>
              </w:tc>
            </w:tr>
            <w:tr w:rsidR="000C3959" w14:paraId="20885F9F" w14:textId="77777777" w:rsidTr="000C46A6">
              <w:trPr>
                <w:trHeight w:val="257"/>
              </w:trPr>
              <w:tc>
                <w:tcPr>
                  <w:tcW w:w="1890" w:type="dxa"/>
                </w:tcPr>
                <w:p w14:paraId="75D88B4A"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w:t>
                  </w:r>
                  <w:r>
                    <w:rPr>
                      <w:rFonts w:asciiTheme="minorHAnsi" w:eastAsiaTheme="minorHAnsi" w:hAnsiTheme="minorHAnsi" w:cstheme="minorBidi"/>
                      <w:color w:val="auto"/>
                      <w:sz w:val="22"/>
                      <w:szCs w:val="22"/>
                    </w:rPr>
                    <w:t>N</w:t>
                  </w:r>
                </w:p>
              </w:tc>
              <w:tc>
                <w:tcPr>
                  <w:tcW w:w="8731" w:type="dxa"/>
                </w:tcPr>
                <w:p w14:paraId="0F6493D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University of Nigeria-Nsukka</w:t>
                  </w:r>
                  <w:r>
                    <w:rPr>
                      <w:rFonts w:asciiTheme="minorHAnsi" w:eastAsiaTheme="minorHAnsi" w:hAnsiTheme="minorHAnsi" w:cstheme="minorBidi"/>
                      <w:color w:val="auto"/>
                      <w:sz w:val="22"/>
                      <w:szCs w:val="22"/>
                    </w:rPr>
                    <w:t>, Nigeria</w:t>
                  </w:r>
                </w:p>
              </w:tc>
            </w:tr>
            <w:tr w:rsidR="000C3959" w14:paraId="4408C3CB" w14:textId="77777777" w:rsidTr="000C46A6">
              <w:trPr>
                <w:trHeight w:val="257"/>
              </w:trPr>
              <w:tc>
                <w:tcPr>
                  <w:tcW w:w="1890" w:type="dxa"/>
                </w:tcPr>
                <w:p w14:paraId="2AC9194D"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UNESCO</w:t>
                  </w:r>
                </w:p>
              </w:tc>
              <w:tc>
                <w:tcPr>
                  <w:tcW w:w="8731" w:type="dxa"/>
                </w:tcPr>
                <w:p w14:paraId="7FDC5DD5"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United Nations Educational, Scientific and Cultural Organization</w:t>
                  </w:r>
                </w:p>
              </w:tc>
            </w:tr>
            <w:tr w:rsidR="000C3959" w14:paraId="444C9774" w14:textId="77777777" w:rsidTr="000C46A6">
              <w:trPr>
                <w:trHeight w:val="257"/>
              </w:trPr>
              <w:tc>
                <w:tcPr>
                  <w:tcW w:w="1890" w:type="dxa"/>
                </w:tcPr>
                <w:p w14:paraId="1F4C0FB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UniBen</w:t>
                  </w:r>
                </w:p>
              </w:tc>
              <w:tc>
                <w:tcPr>
                  <w:tcW w:w="8731" w:type="dxa"/>
                </w:tcPr>
                <w:p w14:paraId="44030E68"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 xml:space="preserve">University of </w:t>
                  </w:r>
                  <w:r>
                    <w:rPr>
                      <w:rFonts w:asciiTheme="minorHAnsi" w:eastAsiaTheme="minorHAnsi" w:hAnsiTheme="minorHAnsi" w:cstheme="minorBidi"/>
                      <w:color w:val="auto"/>
                      <w:sz w:val="22"/>
                      <w:szCs w:val="22"/>
                    </w:rPr>
                    <w:t>Benin, Nigeria</w:t>
                  </w:r>
                  <w:r w:rsidRPr="004D7B01">
                    <w:rPr>
                      <w:rFonts w:asciiTheme="minorHAnsi" w:eastAsiaTheme="minorHAnsi" w:hAnsiTheme="minorHAnsi" w:cstheme="minorBidi"/>
                      <w:color w:val="auto"/>
                      <w:sz w:val="22"/>
                      <w:szCs w:val="22"/>
                    </w:rPr>
                    <w:t xml:space="preserve"> </w:t>
                  </w:r>
                </w:p>
              </w:tc>
            </w:tr>
            <w:tr w:rsidR="000C3959" w14:paraId="1B0F9FF7" w14:textId="77777777" w:rsidTr="000C46A6">
              <w:trPr>
                <w:trHeight w:val="257"/>
              </w:trPr>
              <w:tc>
                <w:tcPr>
                  <w:tcW w:w="1890" w:type="dxa"/>
                </w:tcPr>
                <w:p w14:paraId="495B17A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UniLag</w:t>
                  </w:r>
                </w:p>
              </w:tc>
              <w:tc>
                <w:tcPr>
                  <w:tcW w:w="8731" w:type="dxa"/>
                </w:tcPr>
                <w:p w14:paraId="46A74BB1"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University of Lagos</w:t>
                  </w:r>
                  <w:r>
                    <w:rPr>
                      <w:rFonts w:asciiTheme="minorHAnsi" w:eastAsiaTheme="minorHAnsi" w:hAnsiTheme="minorHAnsi" w:cstheme="minorBidi"/>
                      <w:color w:val="auto"/>
                      <w:sz w:val="22"/>
                      <w:szCs w:val="22"/>
                    </w:rPr>
                    <w:t>, Nigeria</w:t>
                  </w:r>
                </w:p>
              </w:tc>
            </w:tr>
            <w:tr w:rsidR="000C3959" w14:paraId="10C2E989" w14:textId="77777777" w:rsidTr="000C46A6">
              <w:trPr>
                <w:trHeight w:val="257"/>
              </w:trPr>
              <w:tc>
                <w:tcPr>
                  <w:tcW w:w="1890" w:type="dxa"/>
                </w:tcPr>
                <w:p w14:paraId="41789854"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UniPort</w:t>
                  </w:r>
                </w:p>
              </w:tc>
              <w:tc>
                <w:tcPr>
                  <w:tcW w:w="8731" w:type="dxa"/>
                </w:tcPr>
                <w:p w14:paraId="4A78A0F0"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University of Port Harcourt</w:t>
                  </w:r>
                  <w:r>
                    <w:rPr>
                      <w:rFonts w:asciiTheme="minorHAnsi" w:eastAsiaTheme="minorHAnsi" w:hAnsiTheme="minorHAnsi" w:cstheme="minorBidi"/>
                      <w:color w:val="auto"/>
                      <w:sz w:val="22"/>
                      <w:szCs w:val="22"/>
                    </w:rPr>
                    <w:t>, Nigeria</w:t>
                  </w:r>
                </w:p>
              </w:tc>
            </w:tr>
            <w:tr w:rsidR="000C3959" w14:paraId="293F1476" w14:textId="77777777" w:rsidTr="000C46A6">
              <w:trPr>
                <w:trHeight w:val="257"/>
              </w:trPr>
              <w:tc>
                <w:tcPr>
                  <w:tcW w:w="1890" w:type="dxa"/>
                </w:tcPr>
                <w:p w14:paraId="2085F826"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USD/US$</w:t>
                  </w:r>
                </w:p>
              </w:tc>
              <w:tc>
                <w:tcPr>
                  <w:tcW w:w="8731" w:type="dxa"/>
                </w:tcPr>
                <w:p w14:paraId="4E8D994E"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United States Dollar</w:t>
                  </w:r>
                </w:p>
              </w:tc>
            </w:tr>
            <w:tr w:rsidR="000C3959" w14:paraId="6B3A32A2" w14:textId="77777777" w:rsidTr="000C46A6">
              <w:trPr>
                <w:trHeight w:val="257"/>
              </w:trPr>
              <w:tc>
                <w:tcPr>
                  <w:tcW w:w="1890" w:type="dxa"/>
                </w:tcPr>
                <w:p w14:paraId="7400C583"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WBG</w:t>
                  </w:r>
                </w:p>
              </w:tc>
              <w:tc>
                <w:tcPr>
                  <w:tcW w:w="8731" w:type="dxa"/>
                </w:tcPr>
                <w:p w14:paraId="5CA619D7" w14:textId="77777777" w:rsidR="00314897" w:rsidRPr="004D7B01" w:rsidRDefault="00B00100" w:rsidP="00314897">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World Bank Group</w:t>
                  </w:r>
                </w:p>
              </w:tc>
            </w:tr>
            <w:tr w:rsidR="000C3959" w14:paraId="50B9ADB3" w14:textId="77777777" w:rsidTr="000C46A6">
              <w:trPr>
                <w:trHeight w:val="257"/>
              </w:trPr>
              <w:tc>
                <w:tcPr>
                  <w:tcW w:w="1890" w:type="dxa"/>
                </w:tcPr>
                <w:p w14:paraId="32B54F6A" w14:textId="77777777" w:rsidR="00314897" w:rsidRPr="004D7B01" w:rsidRDefault="00314897" w:rsidP="00314897">
                  <w:pPr>
                    <w:widowControl/>
                    <w:autoSpaceDE/>
                    <w:autoSpaceDN/>
                    <w:adjustRightInd/>
                    <w:rPr>
                      <w:rFonts w:asciiTheme="minorHAnsi" w:eastAsiaTheme="minorHAnsi" w:hAnsiTheme="minorHAnsi" w:cstheme="minorBidi"/>
                      <w:color w:val="auto"/>
                      <w:sz w:val="22"/>
                      <w:szCs w:val="22"/>
                    </w:rPr>
                  </w:pPr>
                </w:p>
              </w:tc>
              <w:tc>
                <w:tcPr>
                  <w:tcW w:w="8731" w:type="dxa"/>
                </w:tcPr>
                <w:p w14:paraId="70B451F9" w14:textId="77777777" w:rsidR="00314897" w:rsidRPr="004D7B01" w:rsidRDefault="00314897" w:rsidP="00314897">
                  <w:pPr>
                    <w:widowControl/>
                    <w:autoSpaceDE/>
                    <w:autoSpaceDN/>
                    <w:adjustRightInd/>
                    <w:ind w:left="-900" w:firstLine="900"/>
                    <w:rPr>
                      <w:rFonts w:asciiTheme="minorHAnsi" w:eastAsiaTheme="minorHAnsi" w:hAnsiTheme="minorHAnsi" w:cstheme="minorBidi"/>
                      <w:color w:val="auto"/>
                      <w:sz w:val="22"/>
                      <w:szCs w:val="22"/>
                    </w:rPr>
                  </w:pPr>
                </w:p>
              </w:tc>
            </w:tr>
          </w:tbl>
          <w:p w14:paraId="7E4989C2" w14:textId="77777777" w:rsidR="002E1A3F" w:rsidRPr="004D7B01" w:rsidRDefault="002E1A3F" w:rsidP="004D7B01">
            <w:pPr>
              <w:widowControl/>
              <w:autoSpaceDE/>
              <w:autoSpaceDN/>
              <w:adjustRightInd/>
              <w:ind w:left="-900" w:firstLine="900"/>
              <w:rPr>
                <w:rFonts w:asciiTheme="minorHAnsi" w:eastAsiaTheme="minorHAnsi" w:hAnsiTheme="minorHAnsi" w:cstheme="minorBidi"/>
                <w:color w:val="auto"/>
                <w:sz w:val="22"/>
                <w:szCs w:val="22"/>
              </w:rPr>
            </w:pPr>
          </w:p>
        </w:tc>
      </w:tr>
    </w:tbl>
    <w:p w14:paraId="625310A4" w14:textId="77777777" w:rsidR="002E1A3F" w:rsidRPr="004D7B01" w:rsidRDefault="002E1A3F" w:rsidP="004D7B01">
      <w:pPr>
        <w:widowControl/>
        <w:autoSpaceDE/>
        <w:autoSpaceDN/>
        <w:adjustRightInd/>
        <w:ind w:left="-900" w:firstLine="900"/>
        <w:rPr>
          <w:rFonts w:asciiTheme="minorHAnsi" w:eastAsiaTheme="minorHAnsi" w:hAnsiTheme="minorHAnsi" w:cstheme="minorBidi"/>
          <w:color w:val="auto"/>
          <w:sz w:val="22"/>
          <w:szCs w:val="22"/>
        </w:rPr>
      </w:pPr>
    </w:p>
    <w:p w14:paraId="27B25339" w14:textId="77777777" w:rsidR="002E1A3F" w:rsidRPr="004D7B01" w:rsidRDefault="00B00100" w:rsidP="004D7B01">
      <w:pPr>
        <w:widowControl/>
        <w:autoSpaceDE/>
        <w:autoSpaceDN/>
        <w:adjustRightInd/>
        <w:ind w:left="-900" w:firstLine="900"/>
        <w:rPr>
          <w:rFonts w:asciiTheme="minorHAnsi" w:eastAsiaTheme="minorHAnsi" w:hAnsiTheme="minorHAnsi" w:cstheme="minorBidi"/>
          <w:color w:val="auto"/>
          <w:sz w:val="22"/>
          <w:szCs w:val="22"/>
        </w:rPr>
      </w:pPr>
      <w:r w:rsidRPr="004D7B01">
        <w:rPr>
          <w:rFonts w:asciiTheme="minorHAnsi" w:eastAsiaTheme="minorHAnsi" w:hAnsiTheme="minorHAnsi" w:cstheme="minorBidi"/>
          <w:color w:val="auto"/>
          <w:sz w:val="22"/>
          <w:szCs w:val="22"/>
        </w:rPr>
        <w:tab/>
      </w:r>
    </w:p>
    <w:p w14:paraId="7F2F7DE8" w14:textId="77777777" w:rsidR="00BF482A" w:rsidRPr="002E1A3F" w:rsidRDefault="00BF482A" w:rsidP="00E003D0">
      <w:pPr>
        <w:tabs>
          <w:tab w:val="left" w:pos="1350"/>
        </w:tabs>
        <w:rPr>
          <w:rFonts w:asciiTheme="minorHAnsi" w:hAnsiTheme="minorHAnsi"/>
        </w:rPr>
        <w:sectPr w:rsidR="00BF482A" w:rsidRPr="002E1A3F" w:rsidSect="003615CB">
          <w:headerReference w:type="even" r:id="rId15"/>
          <w:headerReference w:type="default" r:id="rId16"/>
          <w:headerReference w:type="first" r:id="rId17"/>
          <w:pgSz w:w="12240" w:h="15840"/>
          <w:pgMar w:top="1440" w:right="1440" w:bottom="1440" w:left="1440" w:header="720" w:footer="720" w:gutter="0"/>
          <w:cols w:space="720"/>
          <w:docGrid w:linePitch="360"/>
        </w:sectPr>
      </w:pPr>
    </w:p>
    <w:p w14:paraId="5BFE2311" w14:textId="77777777" w:rsidR="00510473" w:rsidRDefault="00510473" w:rsidP="00F651C0">
      <w:pPr>
        <w:pStyle w:val="Normal5"/>
        <w:spacing w:after="0" w:line="14" w:lineRule="exact"/>
        <w:ind w:left="-907"/>
      </w:pPr>
    </w:p>
    <w:sdt>
      <w:sdtPr>
        <w:rPr>
          <w:rFonts w:ascii="Calibri" w:eastAsia="Times New Roman" w:hAnsi="Calibri"/>
          <w:b/>
          <w:caps/>
          <w:noProof/>
          <w:sz w:val="22"/>
        </w:rPr>
        <w:id w:val="92091131"/>
        <w:docPartObj>
          <w:docPartGallery w:val="Table of Contents"/>
          <w:docPartUnique/>
        </w:docPartObj>
      </w:sdtPr>
      <w:sdtEndPr>
        <w:rPr>
          <w:rFonts w:asciiTheme="minorHAnsi" w:eastAsiaTheme="minorEastAsia" w:hAnsiTheme="minorHAnsi"/>
          <w:caps w:val="0"/>
          <w:noProof w:val="0"/>
          <w:sz w:val="24"/>
        </w:rPr>
      </w:sdtEndPr>
      <w:sdtContent>
        <w:p w14:paraId="3F9431B2" w14:textId="77777777" w:rsidR="00510473" w:rsidRPr="00126CD2" w:rsidRDefault="00B00100" w:rsidP="00370635">
          <w:pPr>
            <w:ind w:left="-792"/>
            <w:jc w:val="center"/>
            <w:rPr>
              <w:rFonts w:ascii="Calibri" w:eastAsia="Times New Roman" w:hAnsi="Calibri"/>
              <w:b/>
              <w:sz w:val="22"/>
            </w:rPr>
          </w:pPr>
          <w:r w:rsidRPr="00126CD2">
            <w:rPr>
              <w:rFonts w:ascii="Calibri" w:eastAsia="Times New Roman" w:hAnsi="Calibri"/>
              <w:b/>
              <w:sz w:val="22"/>
            </w:rPr>
            <w:t>TABLE OF CONTENTS</w:t>
          </w:r>
        </w:p>
        <w:p w14:paraId="3343506F" w14:textId="77777777" w:rsidR="00510473" w:rsidRDefault="00B00100" w:rsidP="00126CD2">
          <w:pPr>
            <w:tabs>
              <w:tab w:val="left" w:pos="84"/>
            </w:tabs>
            <w:ind w:left="-792"/>
            <w:rPr>
              <w:rFonts w:ascii="Calibri" w:eastAsia="Times New Roman" w:hAnsi="Calibri"/>
              <w:b/>
              <w:caps/>
              <w:sz w:val="22"/>
            </w:rPr>
          </w:pPr>
          <w:r>
            <w:rPr>
              <w:rFonts w:ascii="Calibri" w:eastAsia="Times New Roman" w:hAnsi="Calibri"/>
              <w:b/>
              <w:caps/>
              <w:sz w:val="22"/>
            </w:rPr>
            <w:tab/>
          </w:r>
        </w:p>
        <w:p w14:paraId="4818253E" w14:textId="139E31D0" w:rsidR="008E41BA" w:rsidRDefault="00B00100">
          <w:pPr>
            <w:pStyle w:val="TOC3"/>
            <w:rPr>
              <w:rFonts w:cstheme="minorBidi"/>
              <w:b w:val="0"/>
              <w:noProof/>
              <w:sz w:val="22"/>
            </w:rPr>
          </w:pPr>
          <w:r>
            <w:rPr>
              <w:rFonts w:ascii="Calibri" w:eastAsia="Times New Roman" w:hAnsi="Calibri" w:cs="Calibri"/>
              <w:noProof/>
              <w:sz w:val="22"/>
            </w:rPr>
            <w:fldChar w:fldCharType="begin"/>
          </w:r>
          <w:r w:rsidR="00CE2C51">
            <w:rPr>
              <w:rFonts w:ascii="Calibri" w:eastAsia="Times New Roman" w:hAnsi="Calibri" w:cs="Calibri"/>
              <w:noProof/>
              <w:sz w:val="22"/>
            </w:rPr>
            <w:instrText xml:space="preserve"> TOC \o "1-4" \h \z \u </w:instrText>
          </w:r>
          <w:r>
            <w:rPr>
              <w:rFonts w:ascii="Calibri" w:eastAsia="Times New Roman" w:hAnsi="Calibri" w:cs="Calibri"/>
              <w:noProof/>
              <w:sz w:val="22"/>
            </w:rPr>
            <w:fldChar w:fldCharType="separate"/>
          </w:r>
          <w:hyperlink w:anchor="_Toc23930659" w:history="1">
            <w:r w:rsidR="008E41BA" w:rsidRPr="00622F38">
              <w:rPr>
                <w:rStyle w:val="Hyperlink"/>
                <w:noProof/>
              </w:rPr>
              <w:t>DATASHEET</w:t>
            </w:r>
            <w:r w:rsidR="008E41BA">
              <w:rPr>
                <w:noProof/>
                <w:webHidden/>
              </w:rPr>
              <w:tab/>
            </w:r>
            <w:r w:rsidR="008E41BA">
              <w:rPr>
                <w:noProof/>
                <w:webHidden/>
              </w:rPr>
              <w:fldChar w:fldCharType="begin"/>
            </w:r>
            <w:r w:rsidR="008E41BA">
              <w:rPr>
                <w:noProof/>
                <w:webHidden/>
              </w:rPr>
              <w:instrText xml:space="preserve"> PAGEREF _Toc23930659 \h </w:instrText>
            </w:r>
            <w:r w:rsidR="008E41BA">
              <w:rPr>
                <w:noProof/>
                <w:webHidden/>
              </w:rPr>
            </w:r>
            <w:r w:rsidR="008E41BA">
              <w:rPr>
                <w:noProof/>
                <w:webHidden/>
              </w:rPr>
              <w:fldChar w:fldCharType="separate"/>
            </w:r>
            <w:r w:rsidR="00552983">
              <w:rPr>
                <w:noProof/>
                <w:webHidden/>
              </w:rPr>
              <w:t>1</w:t>
            </w:r>
            <w:r w:rsidR="008E41BA">
              <w:rPr>
                <w:noProof/>
                <w:webHidden/>
              </w:rPr>
              <w:fldChar w:fldCharType="end"/>
            </w:r>
          </w:hyperlink>
        </w:p>
        <w:p w14:paraId="61599F40" w14:textId="5B30209E" w:rsidR="008E41BA" w:rsidRDefault="00A90848">
          <w:pPr>
            <w:pStyle w:val="TOC1"/>
            <w:rPr>
              <w:rFonts w:eastAsiaTheme="minorEastAsia" w:cstheme="minorBidi"/>
              <w:b w:val="0"/>
              <w:color w:val="auto"/>
              <w:sz w:val="22"/>
              <w:szCs w:val="22"/>
            </w:rPr>
          </w:pPr>
          <w:hyperlink w:anchor="_Toc23930660" w:history="1">
            <w:r w:rsidR="008E41BA" w:rsidRPr="00622F38">
              <w:rPr>
                <w:rStyle w:val="Hyperlink"/>
                <w:rFonts w:eastAsiaTheme="minorEastAsia"/>
              </w:rPr>
              <w:t>I.</w:t>
            </w:r>
            <w:r w:rsidR="008E41BA">
              <w:rPr>
                <w:rFonts w:eastAsiaTheme="minorEastAsia" w:cstheme="minorBidi"/>
                <w:b w:val="0"/>
                <w:color w:val="auto"/>
                <w:sz w:val="22"/>
                <w:szCs w:val="22"/>
              </w:rPr>
              <w:tab/>
            </w:r>
            <w:r w:rsidR="008E41BA" w:rsidRPr="00622F38">
              <w:rPr>
                <w:rStyle w:val="Hyperlink"/>
                <w:rFonts w:eastAsiaTheme="minorEastAsia"/>
              </w:rPr>
              <w:t>STRATEGIC CONTEXT</w:t>
            </w:r>
            <w:r w:rsidR="008E41BA">
              <w:rPr>
                <w:webHidden/>
              </w:rPr>
              <w:tab/>
            </w:r>
            <w:r w:rsidR="008E41BA">
              <w:rPr>
                <w:webHidden/>
              </w:rPr>
              <w:fldChar w:fldCharType="begin"/>
            </w:r>
            <w:r w:rsidR="008E41BA">
              <w:rPr>
                <w:webHidden/>
              </w:rPr>
              <w:instrText xml:space="preserve"> PAGEREF _Toc23930660 \h </w:instrText>
            </w:r>
            <w:r w:rsidR="008E41BA">
              <w:rPr>
                <w:webHidden/>
              </w:rPr>
            </w:r>
            <w:r w:rsidR="008E41BA">
              <w:rPr>
                <w:webHidden/>
              </w:rPr>
              <w:fldChar w:fldCharType="separate"/>
            </w:r>
            <w:r w:rsidR="00552983">
              <w:rPr>
                <w:webHidden/>
              </w:rPr>
              <w:t>10</w:t>
            </w:r>
            <w:r w:rsidR="008E41BA">
              <w:rPr>
                <w:webHidden/>
              </w:rPr>
              <w:fldChar w:fldCharType="end"/>
            </w:r>
          </w:hyperlink>
        </w:p>
        <w:p w14:paraId="463F5163" w14:textId="678B55C4" w:rsidR="008E41BA" w:rsidRDefault="00A90848">
          <w:pPr>
            <w:pStyle w:val="TOC2"/>
            <w:rPr>
              <w:rFonts w:asciiTheme="minorHAnsi" w:hAnsiTheme="minorHAnsi" w:cstheme="minorBidi"/>
              <w:b w:val="0"/>
              <w:bCs w:val="0"/>
              <w:szCs w:val="22"/>
            </w:rPr>
          </w:pPr>
          <w:hyperlink w:anchor="_Toc23930661" w:history="1">
            <w:r w:rsidR="008E41BA" w:rsidRPr="00622F38">
              <w:rPr>
                <w:rStyle w:val="Hyperlink"/>
              </w:rPr>
              <w:t>A. Regional Context</w:t>
            </w:r>
            <w:r w:rsidR="008E41BA">
              <w:rPr>
                <w:webHidden/>
              </w:rPr>
              <w:tab/>
            </w:r>
            <w:r w:rsidR="008E41BA">
              <w:rPr>
                <w:webHidden/>
              </w:rPr>
              <w:fldChar w:fldCharType="begin"/>
            </w:r>
            <w:r w:rsidR="008E41BA">
              <w:rPr>
                <w:webHidden/>
              </w:rPr>
              <w:instrText xml:space="preserve"> PAGEREF _Toc23930661 \h </w:instrText>
            </w:r>
            <w:r w:rsidR="008E41BA">
              <w:rPr>
                <w:webHidden/>
              </w:rPr>
            </w:r>
            <w:r w:rsidR="008E41BA">
              <w:rPr>
                <w:webHidden/>
              </w:rPr>
              <w:fldChar w:fldCharType="separate"/>
            </w:r>
            <w:r w:rsidR="00552983">
              <w:rPr>
                <w:webHidden/>
              </w:rPr>
              <w:t>10</w:t>
            </w:r>
            <w:r w:rsidR="008E41BA">
              <w:rPr>
                <w:webHidden/>
              </w:rPr>
              <w:fldChar w:fldCharType="end"/>
            </w:r>
          </w:hyperlink>
        </w:p>
        <w:p w14:paraId="06221577" w14:textId="5440FB50" w:rsidR="008E41BA" w:rsidRDefault="00A90848">
          <w:pPr>
            <w:pStyle w:val="TOC2"/>
            <w:rPr>
              <w:rFonts w:asciiTheme="minorHAnsi" w:hAnsiTheme="minorHAnsi" w:cstheme="minorBidi"/>
              <w:b w:val="0"/>
              <w:bCs w:val="0"/>
              <w:szCs w:val="22"/>
            </w:rPr>
          </w:pPr>
          <w:hyperlink w:anchor="_Toc23930662" w:history="1">
            <w:r w:rsidR="008E41BA" w:rsidRPr="00622F38">
              <w:rPr>
                <w:rStyle w:val="Hyperlink"/>
                <w:rFonts w:eastAsia="Times New Roman" w:cs="Times New Roman"/>
              </w:rPr>
              <w:t>B. Sectoral and Institutional Context</w:t>
            </w:r>
            <w:r w:rsidR="008E41BA">
              <w:rPr>
                <w:webHidden/>
              </w:rPr>
              <w:tab/>
            </w:r>
            <w:r w:rsidR="008E41BA">
              <w:rPr>
                <w:webHidden/>
              </w:rPr>
              <w:fldChar w:fldCharType="begin"/>
            </w:r>
            <w:r w:rsidR="008E41BA">
              <w:rPr>
                <w:webHidden/>
              </w:rPr>
              <w:instrText xml:space="preserve"> PAGEREF _Toc23930662 \h </w:instrText>
            </w:r>
            <w:r w:rsidR="008E41BA">
              <w:rPr>
                <w:webHidden/>
              </w:rPr>
            </w:r>
            <w:r w:rsidR="008E41BA">
              <w:rPr>
                <w:webHidden/>
              </w:rPr>
              <w:fldChar w:fldCharType="separate"/>
            </w:r>
            <w:r w:rsidR="00552983">
              <w:rPr>
                <w:webHidden/>
              </w:rPr>
              <w:t>11</w:t>
            </w:r>
            <w:r w:rsidR="008E41BA">
              <w:rPr>
                <w:webHidden/>
              </w:rPr>
              <w:fldChar w:fldCharType="end"/>
            </w:r>
          </w:hyperlink>
        </w:p>
        <w:p w14:paraId="649E292E" w14:textId="08AC1C53" w:rsidR="008E41BA" w:rsidRDefault="00A90848">
          <w:pPr>
            <w:pStyle w:val="TOC2"/>
            <w:rPr>
              <w:rFonts w:asciiTheme="minorHAnsi" w:hAnsiTheme="minorHAnsi" w:cstheme="minorBidi"/>
              <w:b w:val="0"/>
              <w:bCs w:val="0"/>
              <w:szCs w:val="22"/>
            </w:rPr>
          </w:pPr>
          <w:hyperlink w:anchor="_Toc23930663" w:history="1">
            <w:r w:rsidR="008E41BA" w:rsidRPr="00622F38">
              <w:rPr>
                <w:rStyle w:val="Hyperlink"/>
                <w:rFonts w:eastAsia="Times New Roman" w:cs="Times New Roman"/>
              </w:rPr>
              <w:t>C. Relevance to Higher Level Objectives</w:t>
            </w:r>
            <w:r w:rsidR="008E41BA">
              <w:rPr>
                <w:webHidden/>
              </w:rPr>
              <w:tab/>
            </w:r>
            <w:r w:rsidR="008E41BA">
              <w:rPr>
                <w:webHidden/>
              </w:rPr>
              <w:fldChar w:fldCharType="begin"/>
            </w:r>
            <w:r w:rsidR="008E41BA">
              <w:rPr>
                <w:webHidden/>
              </w:rPr>
              <w:instrText xml:space="preserve"> PAGEREF _Toc23930663 \h </w:instrText>
            </w:r>
            <w:r w:rsidR="008E41BA">
              <w:rPr>
                <w:webHidden/>
              </w:rPr>
            </w:r>
            <w:r w:rsidR="008E41BA">
              <w:rPr>
                <w:webHidden/>
              </w:rPr>
              <w:fldChar w:fldCharType="separate"/>
            </w:r>
            <w:r w:rsidR="00552983">
              <w:rPr>
                <w:webHidden/>
              </w:rPr>
              <w:t>18</w:t>
            </w:r>
            <w:r w:rsidR="008E41BA">
              <w:rPr>
                <w:webHidden/>
              </w:rPr>
              <w:fldChar w:fldCharType="end"/>
            </w:r>
          </w:hyperlink>
        </w:p>
        <w:p w14:paraId="229EB755" w14:textId="74D327CD" w:rsidR="008E41BA" w:rsidRDefault="00A90848">
          <w:pPr>
            <w:pStyle w:val="TOC1"/>
            <w:rPr>
              <w:rFonts w:eastAsiaTheme="minorEastAsia" w:cstheme="minorBidi"/>
              <w:b w:val="0"/>
              <w:color w:val="auto"/>
              <w:sz w:val="22"/>
              <w:szCs w:val="22"/>
            </w:rPr>
          </w:pPr>
          <w:hyperlink w:anchor="_Toc23930664" w:history="1">
            <w:r w:rsidR="008E41BA" w:rsidRPr="00622F38">
              <w:rPr>
                <w:rStyle w:val="Hyperlink"/>
                <w:rFonts w:eastAsia="Calibri" w:cs="Times New Roman"/>
              </w:rPr>
              <w:t>II.</w:t>
            </w:r>
            <w:r w:rsidR="008E41BA">
              <w:rPr>
                <w:rFonts w:eastAsiaTheme="minorEastAsia" w:cstheme="minorBidi"/>
                <w:b w:val="0"/>
                <w:color w:val="auto"/>
                <w:sz w:val="22"/>
                <w:szCs w:val="22"/>
              </w:rPr>
              <w:tab/>
            </w:r>
            <w:r w:rsidR="008E41BA" w:rsidRPr="00622F38">
              <w:rPr>
                <w:rStyle w:val="Hyperlink"/>
                <w:rFonts w:ascii="Calibri" w:eastAsia="Calibri" w:hAnsi="Calibri" w:cs="Times New Roman"/>
              </w:rPr>
              <w:t>PROJECT DESCRIPTION</w:t>
            </w:r>
            <w:r w:rsidR="008E41BA">
              <w:rPr>
                <w:webHidden/>
              </w:rPr>
              <w:tab/>
            </w:r>
            <w:r w:rsidR="008E41BA">
              <w:rPr>
                <w:webHidden/>
              </w:rPr>
              <w:fldChar w:fldCharType="begin"/>
            </w:r>
            <w:r w:rsidR="008E41BA">
              <w:rPr>
                <w:webHidden/>
              </w:rPr>
              <w:instrText xml:space="preserve"> PAGEREF _Toc23930664 \h </w:instrText>
            </w:r>
            <w:r w:rsidR="008E41BA">
              <w:rPr>
                <w:webHidden/>
              </w:rPr>
            </w:r>
            <w:r w:rsidR="008E41BA">
              <w:rPr>
                <w:webHidden/>
              </w:rPr>
              <w:fldChar w:fldCharType="separate"/>
            </w:r>
            <w:r w:rsidR="00552983">
              <w:rPr>
                <w:webHidden/>
              </w:rPr>
              <w:t>20</w:t>
            </w:r>
            <w:r w:rsidR="008E41BA">
              <w:rPr>
                <w:webHidden/>
              </w:rPr>
              <w:fldChar w:fldCharType="end"/>
            </w:r>
          </w:hyperlink>
        </w:p>
        <w:p w14:paraId="3DEC07C1" w14:textId="2BA5AFC6" w:rsidR="008E41BA" w:rsidRDefault="00A90848">
          <w:pPr>
            <w:pStyle w:val="TOC2"/>
            <w:rPr>
              <w:rFonts w:asciiTheme="minorHAnsi" w:hAnsiTheme="minorHAnsi" w:cstheme="minorBidi"/>
              <w:b w:val="0"/>
              <w:bCs w:val="0"/>
              <w:szCs w:val="22"/>
            </w:rPr>
          </w:pPr>
          <w:hyperlink w:anchor="_Toc23930665" w:history="1">
            <w:r w:rsidR="008E41BA" w:rsidRPr="00622F38">
              <w:rPr>
                <w:rStyle w:val="Hyperlink"/>
                <w:rFonts w:eastAsia="Times New Roman" w:cs="Times New Roman"/>
              </w:rPr>
              <w:t>A. Project Development Objective</w:t>
            </w:r>
            <w:r w:rsidR="008E41BA">
              <w:rPr>
                <w:webHidden/>
              </w:rPr>
              <w:tab/>
            </w:r>
            <w:r w:rsidR="008E41BA">
              <w:rPr>
                <w:webHidden/>
              </w:rPr>
              <w:fldChar w:fldCharType="begin"/>
            </w:r>
            <w:r w:rsidR="008E41BA">
              <w:rPr>
                <w:webHidden/>
              </w:rPr>
              <w:instrText xml:space="preserve"> PAGEREF _Toc23930665 \h </w:instrText>
            </w:r>
            <w:r w:rsidR="008E41BA">
              <w:rPr>
                <w:webHidden/>
              </w:rPr>
            </w:r>
            <w:r w:rsidR="008E41BA">
              <w:rPr>
                <w:webHidden/>
              </w:rPr>
              <w:fldChar w:fldCharType="separate"/>
            </w:r>
            <w:r w:rsidR="00552983">
              <w:rPr>
                <w:webHidden/>
              </w:rPr>
              <w:t>20</w:t>
            </w:r>
            <w:r w:rsidR="008E41BA">
              <w:rPr>
                <w:webHidden/>
              </w:rPr>
              <w:fldChar w:fldCharType="end"/>
            </w:r>
          </w:hyperlink>
        </w:p>
        <w:p w14:paraId="22F242B8" w14:textId="70763CD1" w:rsidR="008E41BA" w:rsidRDefault="00A90848">
          <w:pPr>
            <w:pStyle w:val="TOC2"/>
            <w:rPr>
              <w:rFonts w:asciiTheme="minorHAnsi" w:hAnsiTheme="minorHAnsi" w:cstheme="minorBidi"/>
              <w:b w:val="0"/>
              <w:bCs w:val="0"/>
              <w:szCs w:val="22"/>
            </w:rPr>
          </w:pPr>
          <w:hyperlink w:anchor="_Toc23930666" w:history="1">
            <w:r w:rsidR="008E41BA" w:rsidRPr="00622F38">
              <w:rPr>
                <w:rStyle w:val="Hyperlink"/>
                <w:rFonts w:eastAsia="Times New Roman" w:cs="Times New Roman"/>
              </w:rPr>
              <w:t>B. Project Components</w:t>
            </w:r>
            <w:r w:rsidR="008E41BA">
              <w:rPr>
                <w:webHidden/>
              </w:rPr>
              <w:tab/>
            </w:r>
            <w:r w:rsidR="008E41BA">
              <w:rPr>
                <w:webHidden/>
              </w:rPr>
              <w:fldChar w:fldCharType="begin"/>
            </w:r>
            <w:r w:rsidR="008E41BA">
              <w:rPr>
                <w:webHidden/>
              </w:rPr>
              <w:instrText xml:space="preserve"> PAGEREF _Toc23930666 \h </w:instrText>
            </w:r>
            <w:r w:rsidR="008E41BA">
              <w:rPr>
                <w:webHidden/>
              </w:rPr>
            </w:r>
            <w:r w:rsidR="008E41BA">
              <w:rPr>
                <w:webHidden/>
              </w:rPr>
              <w:fldChar w:fldCharType="separate"/>
            </w:r>
            <w:r w:rsidR="00552983">
              <w:rPr>
                <w:webHidden/>
              </w:rPr>
              <w:t>20</w:t>
            </w:r>
            <w:r w:rsidR="008E41BA">
              <w:rPr>
                <w:webHidden/>
              </w:rPr>
              <w:fldChar w:fldCharType="end"/>
            </w:r>
          </w:hyperlink>
        </w:p>
        <w:p w14:paraId="42F64AE2" w14:textId="6542BA28" w:rsidR="008E41BA" w:rsidRDefault="00A90848">
          <w:pPr>
            <w:pStyle w:val="TOC2"/>
            <w:rPr>
              <w:rFonts w:asciiTheme="minorHAnsi" w:hAnsiTheme="minorHAnsi" w:cstheme="minorBidi"/>
              <w:b w:val="0"/>
              <w:bCs w:val="0"/>
              <w:szCs w:val="22"/>
            </w:rPr>
          </w:pPr>
          <w:hyperlink w:anchor="_Toc23930667" w:history="1">
            <w:r w:rsidR="008E41BA" w:rsidRPr="00622F38">
              <w:rPr>
                <w:rStyle w:val="Hyperlink"/>
                <w:rFonts w:eastAsia="Times New Roman" w:cs="Times New Roman"/>
              </w:rPr>
              <w:t>C. Project Beneficiaries</w:t>
            </w:r>
            <w:r w:rsidR="008E41BA">
              <w:rPr>
                <w:webHidden/>
              </w:rPr>
              <w:tab/>
            </w:r>
            <w:r w:rsidR="008E41BA">
              <w:rPr>
                <w:webHidden/>
              </w:rPr>
              <w:fldChar w:fldCharType="begin"/>
            </w:r>
            <w:r w:rsidR="008E41BA">
              <w:rPr>
                <w:webHidden/>
              </w:rPr>
              <w:instrText xml:space="preserve"> PAGEREF _Toc23930667 \h </w:instrText>
            </w:r>
            <w:r w:rsidR="008E41BA">
              <w:rPr>
                <w:webHidden/>
              </w:rPr>
            </w:r>
            <w:r w:rsidR="008E41BA">
              <w:rPr>
                <w:webHidden/>
              </w:rPr>
              <w:fldChar w:fldCharType="separate"/>
            </w:r>
            <w:r w:rsidR="00552983">
              <w:rPr>
                <w:webHidden/>
              </w:rPr>
              <w:t>31</w:t>
            </w:r>
            <w:r w:rsidR="008E41BA">
              <w:rPr>
                <w:webHidden/>
              </w:rPr>
              <w:fldChar w:fldCharType="end"/>
            </w:r>
          </w:hyperlink>
        </w:p>
        <w:p w14:paraId="7DA3A939" w14:textId="49493536" w:rsidR="008E41BA" w:rsidRDefault="00A90848">
          <w:pPr>
            <w:pStyle w:val="TOC2"/>
            <w:rPr>
              <w:rFonts w:asciiTheme="minorHAnsi" w:hAnsiTheme="minorHAnsi" w:cstheme="minorBidi"/>
              <w:b w:val="0"/>
              <w:bCs w:val="0"/>
              <w:szCs w:val="22"/>
            </w:rPr>
          </w:pPr>
          <w:hyperlink w:anchor="_Toc23930668" w:history="1">
            <w:r w:rsidR="008E41BA" w:rsidRPr="00622F38">
              <w:rPr>
                <w:rStyle w:val="Hyperlink"/>
                <w:rFonts w:eastAsia="Calibri" w:cs="Times New Roman"/>
              </w:rPr>
              <w:t xml:space="preserve">D. </w:t>
            </w:r>
            <w:r w:rsidR="008E41BA" w:rsidRPr="00622F38">
              <w:rPr>
                <w:rStyle w:val="Hyperlink"/>
                <w:rFonts w:eastAsia="Times New Roman" w:cs="Times New Roman"/>
              </w:rPr>
              <w:t>Results</w:t>
            </w:r>
            <w:r w:rsidR="008E41BA" w:rsidRPr="00622F38">
              <w:rPr>
                <w:rStyle w:val="Hyperlink"/>
                <w:rFonts w:eastAsia="Calibri" w:cs="Times New Roman"/>
              </w:rPr>
              <w:t xml:space="preserve"> Chain</w:t>
            </w:r>
            <w:r w:rsidR="008E41BA">
              <w:rPr>
                <w:webHidden/>
              </w:rPr>
              <w:tab/>
            </w:r>
            <w:r w:rsidR="008E41BA">
              <w:rPr>
                <w:webHidden/>
              </w:rPr>
              <w:fldChar w:fldCharType="begin"/>
            </w:r>
            <w:r w:rsidR="008E41BA">
              <w:rPr>
                <w:webHidden/>
              </w:rPr>
              <w:instrText xml:space="preserve"> PAGEREF _Toc23930668 \h </w:instrText>
            </w:r>
            <w:r w:rsidR="008E41BA">
              <w:rPr>
                <w:webHidden/>
              </w:rPr>
            </w:r>
            <w:r w:rsidR="008E41BA">
              <w:rPr>
                <w:webHidden/>
              </w:rPr>
              <w:fldChar w:fldCharType="separate"/>
            </w:r>
            <w:r w:rsidR="00552983">
              <w:rPr>
                <w:webHidden/>
              </w:rPr>
              <w:t>32</w:t>
            </w:r>
            <w:r w:rsidR="008E41BA">
              <w:rPr>
                <w:webHidden/>
              </w:rPr>
              <w:fldChar w:fldCharType="end"/>
            </w:r>
          </w:hyperlink>
        </w:p>
        <w:p w14:paraId="0A9FE9D8" w14:textId="2E131013" w:rsidR="008E41BA" w:rsidRDefault="00A90848">
          <w:pPr>
            <w:pStyle w:val="TOC2"/>
            <w:rPr>
              <w:rFonts w:asciiTheme="minorHAnsi" w:hAnsiTheme="minorHAnsi" w:cstheme="minorBidi"/>
              <w:b w:val="0"/>
              <w:bCs w:val="0"/>
              <w:szCs w:val="22"/>
            </w:rPr>
          </w:pPr>
          <w:hyperlink w:anchor="_Toc23930669" w:history="1">
            <w:r w:rsidR="008E41BA" w:rsidRPr="00622F38">
              <w:rPr>
                <w:rStyle w:val="Hyperlink"/>
                <w:rFonts w:eastAsia="Calibri" w:cs="Times New Roman"/>
              </w:rPr>
              <w:t>E. Rationale for World Bank Involvement and Role of Partners</w:t>
            </w:r>
            <w:r w:rsidR="008E41BA">
              <w:rPr>
                <w:webHidden/>
              </w:rPr>
              <w:tab/>
            </w:r>
            <w:r w:rsidR="008E41BA">
              <w:rPr>
                <w:webHidden/>
              </w:rPr>
              <w:fldChar w:fldCharType="begin"/>
            </w:r>
            <w:r w:rsidR="008E41BA">
              <w:rPr>
                <w:webHidden/>
              </w:rPr>
              <w:instrText xml:space="preserve"> PAGEREF _Toc23930669 \h </w:instrText>
            </w:r>
            <w:r w:rsidR="008E41BA">
              <w:rPr>
                <w:webHidden/>
              </w:rPr>
            </w:r>
            <w:r w:rsidR="008E41BA">
              <w:rPr>
                <w:webHidden/>
              </w:rPr>
              <w:fldChar w:fldCharType="separate"/>
            </w:r>
            <w:r w:rsidR="00552983">
              <w:rPr>
                <w:webHidden/>
              </w:rPr>
              <w:t>32</w:t>
            </w:r>
            <w:r w:rsidR="008E41BA">
              <w:rPr>
                <w:webHidden/>
              </w:rPr>
              <w:fldChar w:fldCharType="end"/>
            </w:r>
          </w:hyperlink>
        </w:p>
        <w:p w14:paraId="33DAB9F1" w14:textId="7352CD3A" w:rsidR="008E41BA" w:rsidRDefault="00A90848">
          <w:pPr>
            <w:pStyle w:val="TOC2"/>
            <w:rPr>
              <w:rFonts w:asciiTheme="minorHAnsi" w:hAnsiTheme="minorHAnsi" w:cstheme="minorBidi"/>
              <w:b w:val="0"/>
              <w:bCs w:val="0"/>
              <w:szCs w:val="22"/>
            </w:rPr>
          </w:pPr>
          <w:hyperlink w:anchor="_Toc23930670" w:history="1">
            <w:r w:rsidR="008E41BA" w:rsidRPr="00622F38">
              <w:rPr>
                <w:rStyle w:val="Hyperlink"/>
                <w:rFonts w:eastAsia="Times New Roman" w:cs="Times New Roman"/>
              </w:rPr>
              <w:t>F. Lessons Learned and Reflected in the Project Design</w:t>
            </w:r>
            <w:r w:rsidR="008E41BA">
              <w:rPr>
                <w:webHidden/>
              </w:rPr>
              <w:tab/>
            </w:r>
            <w:r w:rsidR="008E41BA">
              <w:rPr>
                <w:webHidden/>
              </w:rPr>
              <w:fldChar w:fldCharType="begin"/>
            </w:r>
            <w:r w:rsidR="008E41BA">
              <w:rPr>
                <w:webHidden/>
              </w:rPr>
              <w:instrText xml:space="preserve"> PAGEREF _Toc23930670 \h </w:instrText>
            </w:r>
            <w:r w:rsidR="008E41BA">
              <w:rPr>
                <w:webHidden/>
              </w:rPr>
            </w:r>
            <w:r w:rsidR="008E41BA">
              <w:rPr>
                <w:webHidden/>
              </w:rPr>
              <w:fldChar w:fldCharType="separate"/>
            </w:r>
            <w:r w:rsidR="00552983">
              <w:rPr>
                <w:webHidden/>
              </w:rPr>
              <w:t>34</w:t>
            </w:r>
            <w:r w:rsidR="008E41BA">
              <w:rPr>
                <w:webHidden/>
              </w:rPr>
              <w:fldChar w:fldCharType="end"/>
            </w:r>
          </w:hyperlink>
        </w:p>
        <w:p w14:paraId="691C2E69" w14:textId="4B0D8C01" w:rsidR="008E41BA" w:rsidRDefault="00A90848">
          <w:pPr>
            <w:pStyle w:val="TOC1"/>
            <w:rPr>
              <w:rFonts w:eastAsiaTheme="minorEastAsia" w:cstheme="minorBidi"/>
              <w:b w:val="0"/>
              <w:color w:val="auto"/>
              <w:sz w:val="22"/>
              <w:szCs w:val="22"/>
            </w:rPr>
          </w:pPr>
          <w:hyperlink w:anchor="_Toc23930671" w:history="1">
            <w:r w:rsidR="008E41BA" w:rsidRPr="00622F38">
              <w:rPr>
                <w:rStyle w:val="Hyperlink"/>
                <w:rFonts w:eastAsiaTheme="minorHAnsi"/>
              </w:rPr>
              <w:t>III.  IMPLEMENTATION ARRANGEMENTS</w:t>
            </w:r>
            <w:r w:rsidR="008E41BA">
              <w:rPr>
                <w:webHidden/>
              </w:rPr>
              <w:tab/>
            </w:r>
            <w:r w:rsidR="008E41BA">
              <w:rPr>
                <w:webHidden/>
              </w:rPr>
              <w:fldChar w:fldCharType="begin"/>
            </w:r>
            <w:r w:rsidR="008E41BA">
              <w:rPr>
                <w:webHidden/>
              </w:rPr>
              <w:instrText xml:space="preserve"> PAGEREF _Toc23930671 \h </w:instrText>
            </w:r>
            <w:r w:rsidR="008E41BA">
              <w:rPr>
                <w:webHidden/>
              </w:rPr>
            </w:r>
            <w:r w:rsidR="008E41BA">
              <w:rPr>
                <w:webHidden/>
              </w:rPr>
              <w:fldChar w:fldCharType="separate"/>
            </w:r>
            <w:r w:rsidR="00552983">
              <w:rPr>
                <w:webHidden/>
              </w:rPr>
              <w:t>38</w:t>
            </w:r>
            <w:r w:rsidR="008E41BA">
              <w:rPr>
                <w:webHidden/>
              </w:rPr>
              <w:fldChar w:fldCharType="end"/>
            </w:r>
          </w:hyperlink>
        </w:p>
        <w:p w14:paraId="792D6681" w14:textId="3E11B0F8" w:rsidR="008E41BA" w:rsidRDefault="00A90848">
          <w:pPr>
            <w:pStyle w:val="TOC2"/>
            <w:rPr>
              <w:rFonts w:asciiTheme="minorHAnsi" w:hAnsiTheme="minorHAnsi" w:cstheme="minorBidi"/>
              <w:b w:val="0"/>
              <w:bCs w:val="0"/>
              <w:szCs w:val="22"/>
            </w:rPr>
          </w:pPr>
          <w:hyperlink w:anchor="_Toc23930672" w:history="1">
            <w:r w:rsidR="008E41BA" w:rsidRPr="00622F38">
              <w:rPr>
                <w:rStyle w:val="Hyperlink"/>
                <w:rFonts w:eastAsia="Times New Roman" w:cs="Calibri"/>
              </w:rPr>
              <w:t>A.</w:t>
            </w:r>
            <w:r w:rsidR="008E41BA" w:rsidRPr="00622F38">
              <w:rPr>
                <w:rStyle w:val="Hyperlink"/>
                <w:rFonts w:eastAsia="Times New Roman" w:cs="Times New Roman"/>
              </w:rPr>
              <w:t xml:space="preserve"> Institutional and Implementation Arrangements</w:t>
            </w:r>
            <w:r w:rsidR="008E41BA">
              <w:rPr>
                <w:webHidden/>
              </w:rPr>
              <w:tab/>
            </w:r>
            <w:r w:rsidR="008E41BA">
              <w:rPr>
                <w:webHidden/>
              </w:rPr>
              <w:fldChar w:fldCharType="begin"/>
            </w:r>
            <w:r w:rsidR="008E41BA">
              <w:rPr>
                <w:webHidden/>
              </w:rPr>
              <w:instrText xml:space="preserve"> PAGEREF _Toc23930672 \h </w:instrText>
            </w:r>
            <w:r w:rsidR="008E41BA">
              <w:rPr>
                <w:webHidden/>
              </w:rPr>
            </w:r>
            <w:r w:rsidR="008E41BA">
              <w:rPr>
                <w:webHidden/>
              </w:rPr>
              <w:fldChar w:fldCharType="separate"/>
            </w:r>
            <w:r w:rsidR="00552983">
              <w:rPr>
                <w:webHidden/>
              </w:rPr>
              <w:t>38</w:t>
            </w:r>
            <w:r w:rsidR="008E41BA">
              <w:rPr>
                <w:webHidden/>
              </w:rPr>
              <w:fldChar w:fldCharType="end"/>
            </w:r>
          </w:hyperlink>
        </w:p>
        <w:p w14:paraId="5DC26670" w14:textId="0375CB71" w:rsidR="008E41BA" w:rsidRDefault="00A90848">
          <w:pPr>
            <w:pStyle w:val="TOC2"/>
            <w:rPr>
              <w:rFonts w:asciiTheme="minorHAnsi" w:hAnsiTheme="minorHAnsi" w:cstheme="minorBidi"/>
              <w:b w:val="0"/>
              <w:bCs w:val="0"/>
              <w:szCs w:val="22"/>
            </w:rPr>
          </w:pPr>
          <w:hyperlink w:anchor="_Toc23930673" w:history="1">
            <w:r w:rsidR="008E41BA" w:rsidRPr="00622F38">
              <w:rPr>
                <w:rStyle w:val="Hyperlink"/>
                <w:rFonts w:eastAsia="Times New Roman" w:cs="Times New Roman"/>
              </w:rPr>
              <w:t>B. Results Monitoring and Evaluation Arrangements</w:t>
            </w:r>
            <w:r w:rsidR="008E41BA">
              <w:rPr>
                <w:webHidden/>
              </w:rPr>
              <w:tab/>
            </w:r>
            <w:r w:rsidR="008E41BA">
              <w:rPr>
                <w:webHidden/>
              </w:rPr>
              <w:fldChar w:fldCharType="begin"/>
            </w:r>
            <w:r w:rsidR="008E41BA">
              <w:rPr>
                <w:webHidden/>
              </w:rPr>
              <w:instrText xml:space="preserve"> PAGEREF _Toc23930673 \h </w:instrText>
            </w:r>
            <w:r w:rsidR="008E41BA">
              <w:rPr>
                <w:webHidden/>
              </w:rPr>
            </w:r>
            <w:r w:rsidR="008E41BA">
              <w:rPr>
                <w:webHidden/>
              </w:rPr>
              <w:fldChar w:fldCharType="separate"/>
            </w:r>
            <w:r w:rsidR="00552983">
              <w:rPr>
                <w:webHidden/>
              </w:rPr>
              <w:t>41</w:t>
            </w:r>
            <w:r w:rsidR="008E41BA">
              <w:rPr>
                <w:webHidden/>
              </w:rPr>
              <w:fldChar w:fldCharType="end"/>
            </w:r>
          </w:hyperlink>
        </w:p>
        <w:p w14:paraId="05E0AF08" w14:textId="7BFF0439" w:rsidR="008E41BA" w:rsidRDefault="00A90848">
          <w:pPr>
            <w:pStyle w:val="TOC2"/>
            <w:rPr>
              <w:rFonts w:asciiTheme="minorHAnsi" w:hAnsiTheme="minorHAnsi" w:cstheme="minorBidi"/>
              <w:b w:val="0"/>
              <w:bCs w:val="0"/>
              <w:szCs w:val="22"/>
            </w:rPr>
          </w:pPr>
          <w:hyperlink w:anchor="_Toc23930674" w:history="1">
            <w:r w:rsidR="008E41BA" w:rsidRPr="00622F38">
              <w:rPr>
                <w:rStyle w:val="Hyperlink"/>
                <w:rFonts w:eastAsia="Times New Roman" w:cs="Times New Roman"/>
              </w:rPr>
              <w:t>C. Sustainability</w:t>
            </w:r>
            <w:r w:rsidR="008E41BA">
              <w:rPr>
                <w:webHidden/>
              </w:rPr>
              <w:tab/>
            </w:r>
            <w:r w:rsidR="008E41BA">
              <w:rPr>
                <w:webHidden/>
              </w:rPr>
              <w:fldChar w:fldCharType="begin"/>
            </w:r>
            <w:r w:rsidR="008E41BA">
              <w:rPr>
                <w:webHidden/>
              </w:rPr>
              <w:instrText xml:space="preserve"> PAGEREF _Toc23930674 \h </w:instrText>
            </w:r>
            <w:r w:rsidR="008E41BA">
              <w:rPr>
                <w:webHidden/>
              </w:rPr>
            </w:r>
            <w:r w:rsidR="008E41BA">
              <w:rPr>
                <w:webHidden/>
              </w:rPr>
              <w:fldChar w:fldCharType="separate"/>
            </w:r>
            <w:r w:rsidR="00552983">
              <w:rPr>
                <w:webHidden/>
              </w:rPr>
              <w:t>43</w:t>
            </w:r>
            <w:r w:rsidR="008E41BA">
              <w:rPr>
                <w:webHidden/>
              </w:rPr>
              <w:fldChar w:fldCharType="end"/>
            </w:r>
          </w:hyperlink>
        </w:p>
        <w:p w14:paraId="17A77F4E" w14:textId="41BB61AC" w:rsidR="008E41BA" w:rsidRDefault="00A90848">
          <w:pPr>
            <w:pStyle w:val="TOC1"/>
            <w:rPr>
              <w:rFonts w:eastAsiaTheme="minorEastAsia" w:cstheme="minorBidi"/>
              <w:b w:val="0"/>
              <w:color w:val="auto"/>
              <w:sz w:val="22"/>
              <w:szCs w:val="22"/>
            </w:rPr>
          </w:pPr>
          <w:hyperlink w:anchor="_Toc23930675" w:history="1">
            <w:r w:rsidR="008E41BA" w:rsidRPr="00622F38">
              <w:rPr>
                <w:rStyle w:val="Hyperlink"/>
                <w:rFonts w:eastAsiaTheme="minorHAnsi"/>
              </w:rPr>
              <w:t>IV. PROJECT APPRAISAL SUMMARY</w:t>
            </w:r>
            <w:r w:rsidR="008E41BA">
              <w:rPr>
                <w:webHidden/>
              </w:rPr>
              <w:tab/>
            </w:r>
            <w:r w:rsidR="008E41BA">
              <w:rPr>
                <w:webHidden/>
              </w:rPr>
              <w:fldChar w:fldCharType="begin"/>
            </w:r>
            <w:r w:rsidR="008E41BA">
              <w:rPr>
                <w:webHidden/>
              </w:rPr>
              <w:instrText xml:space="preserve"> PAGEREF _Toc23930675 \h </w:instrText>
            </w:r>
            <w:r w:rsidR="008E41BA">
              <w:rPr>
                <w:webHidden/>
              </w:rPr>
            </w:r>
            <w:r w:rsidR="008E41BA">
              <w:rPr>
                <w:webHidden/>
              </w:rPr>
              <w:fldChar w:fldCharType="separate"/>
            </w:r>
            <w:r w:rsidR="00552983">
              <w:rPr>
                <w:webHidden/>
              </w:rPr>
              <w:t>44</w:t>
            </w:r>
            <w:r w:rsidR="008E41BA">
              <w:rPr>
                <w:webHidden/>
              </w:rPr>
              <w:fldChar w:fldCharType="end"/>
            </w:r>
          </w:hyperlink>
        </w:p>
        <w:p w14:paraId="0FCB8C0F" w14:textId="0275DAA2" w:rsidR="008E41BA" w:rsidRDefault="00A90848">
          <w:pPr>
            <w:pStyle w:val="TOC2"/>
            <w:rPr>
              <w:rFonts w:asciiTheme="minorHAnsi" w:hAnsiTheme="minorHAnsi" w:cstheme="minorBidi"/>
              <w:b w:val="0"/>
              <w:bCs w:val="0"/>
              <w:szCs w:val="22"/>
            </w:rPr>
          </w:pPr>
          <w:hyperlink w:anchor="_Toc23930676" w:history="1">
            <w:r w:rsidR="008E41BA" w:rsidRPr="00622F38">
              <w:rPr>
                <w:rStyle w:val="Hyperlink"/>
                <w:rFonts w:eastAsia="Times New Roman" w:cs="Times New Roman"/>
              </w:rPr>
              <w:t>A. Technical, Economic and Financial Analysis</w:t>
            </w:r>
            <w:r w:rsidR="008E41BA">
              <w:rPr>
                <w:webHidden/>
              </w:rPr>
              <w:tab/>
            </w:r>
            <w:r w:rsidR="008E41BA">
              <w:rPr>
                <w:webHidden/>
              </w:rPr>
              <w:fldChar w:fldCharType="begin"/>
            </w:r>
            <w:r w:rsidR="008E41BA">
              <w:rPr>
                <w:webHidden/>
              </w:rPr>
              <w:instrText xml:space="preserve"> PAGEREF _Toc23930676 \h </w:instrText>
            </w:r>
            <w:r w:rsidR="008E41BA">
              <w:rPr>
                <w:webHidden/>
              </w:rPr>
            </w:r>
            <w:r w:rsidR="008E41BA">
              <w:rPr>
                <w:webHidden/>
              </w:rPr>
              <w:fldChar w:fldCharType="separate"/>
            </w:r>
            <w:r w:rsidR="00552983">
              <w:rPr>
                <w:webHidden/>
              </w:rPr>
              <w:t>44</w:t>
            </w:r>
            <w:r w:rsidR="008E41BA">
              <w:rPr>
                <w:webHidden/>
              </w:rPr>
              <w:fldChar w:fldCharType="end"/>
            </w:r>
          </w:hyperlink>
        </w:p>
        <w:p w14:paraId="0EC8E22F" w14:textId="0AEAA685" w:rsidR="008E41BA" w:rsidRDefault="00A90848">
          <w:pPr>
            <w:pStyle w:val="TOC2"/>
            <w:rPr>
              <w:rFonts w:asciiTheme="minorHAnsi" w:hAnsiTheme="minorHAnsi" w:cstheme="minorBidi"/>
              <w:b w:val="0"/>
              <w:bCs w:val="0"/>
              <w:szCs w:val="22"/>
            </w:rPr>
          </w:pPr>
          <w:hyperlink w:anchor="_Toc23930677" w:history="1">
            <w:r w:rsidR="008E41BA" w:rsidRPr="00622F38">
              <w:rPr>
                <w:rStyle w:val="Hyperlink"/>
                <w:rFonts w:eastAsia="Times New Roman" w:cs="Times New Roman"/>
              </w:rPr>
              <w:t>B. Fiduciary</w:t>
            </w:r>
            <w:r w:rsidR="008E41BA">
              <w:rPr>
                <w:webHidden/>
              </w:rPr>
              <w:tab/>
            </w:r>
            <w:r w:rsidR="008E41BA">
              <w:rPr>
                <w:webHidden/>
              </w:rPr>
              <w:fldChar w:fldCharType="begin"/>
            </w:r>
            <w:r w:rsidR="008E41BA">
              <w:rPr>
                <w:webHidden/>
              </w:rPr>
              <w:instrText xml:space="preserve"> PAGEREF _Toc23930677 \h </w:instrText>
            </w:r>
            <w:r w:rsidR="008E41BA">
              <w:rPr>
                <w:webHidden/>
              </w:rPr>
            </w:r>
            <w:r w:rsidR="008E41BA">
              <w:rPr>
                <w:webHidden/>
              </w:rPr>
              <w:fldChar w:fldCharType="separate"/>
            </w:r>
            <w:r w:rsidR="00552983">
              <w:rPr>
                <w:webHidden/>
              </w:rPr>
              <w:t>47</w:t>
            </w:r>
            <w:r w:rsidR="008E41BA">
              <w:rPr>
                <w:webHidden/>
              </w:rPr>
              <w:fldChar w:fldCharType="end"/>
            </w:r>
          </w:hyperlink>
        </w:p>
        <w:p w14:paraId="4B99EA88" w14:textId="79B86DC1" w:rsidR="008E41BA" w:rsidRDefault="00A90848">
          <w:pPr>
            <w:pStyle w:val="TOC2"/>
            <w:rPr>
              <w:rFonts w:asciiTheme="minorHAnsi" w:hAnsiTheme="minorHAnsi" w:cstheme="minorBidi"/>
              <w:b w:val="0"/>
              <w:bCs w:val="0"/>
              <w:szCs w:val="22"/>
            </w:rPr>
          </w:pPr>
          <w:hyperlink w:anchor="_Toc23930678" w:history="1">
            <w:r w:rsidR="008E41BA" w:rsidRPr="00622F38">
              <w:rPr>
                <w:rStyle w:val="Hyperlink"/>
                <w:rFonts w:eastAsia="Times New Roman" w:cs="Times New Roman"/>
              </w:rPr>
              <w:t>C. Safeguards</w:t>
            </w:r>
            <w:r w:rsidR="008E41BA">
              <w:rPr>
                <w:webHidden/>
              </w:rPr>
              <w:tab/>
            </w:r>
            <w:r w:rsidR="008E41BA">
              <w:rPr>
                <w:webHidden/>
              </w:rPr>
              <w:fldChar w:fldCharType="begin"/>
            </w:r>
            <w:r w:rsidR="008E41BA">
              <w:rPr>
                <w:webHidden/>
              </w:rPr>
              <w:instrText xml:space="preserve"> PAGEREF _Toc23930678 \h </w:instrText>
            </w:r>
            <w:r w:rsidR="008E41BA">
              <w:rPr>
                <w:webHidden/>
              </w:rPr>
            </w:r>
            <w:r w:rsidR="008E41BA">
              <w:rPr>
                <w:webHidden/>
              </w:rPr>
              <w:fldChar w:fldCharType="separate"/>
            </w:r>
            <w:r w:rsidR="00552983">
              <w:rPr>
                <w:webHidden/>
              </w:rPr>
              <w:t>51</w:t>
            </w:r>
            <w:r w:rsidR="008E41BA">
              <w:rPr>
                <w:webHidden/>
              </w:rPr>
              <w:fldChar w:fldCharType="end"/>
            </w:r>
          </w:hyperlink>
        </w:p>
        <w:p w14:paraId="6AC74BDB" w14:textId="40C778FB" w:rsidR="008E41BA" w:rsidRDefault="00A90848">
          <w:pPr>
            <w:pStyle w:val="TOC1"/>
            <w:rPr>
              <w:rFonts w:eastAsiaTheme="minorEastAsia" w:cstheme="minorBidi"/>
              <w:b w:val="0"/>
              <w:color w:val="auto"/>
              <w:sz w:val="22"/>
              <w:szCs w:val="22"/>
            </w:rPr>
          </w:pPr>
          <w:hyperlink w:anchor="_Toc23930679" w:history="1">
            <w:r w:rsidR="008E41BA" w:rsidRPr="00622F38">
              <w:rPr>
                <w:rStyle w:val="Hyperlink"/>
                <w:rFonts w:eastAsiaTheme="minorHAnsi"/>
              </w:rPr>
              <w:t>V. KEY RISKS</w:t>
            </w:r>
            <w:r w:rsidR="008E41BA">
              <w:rPr>
                <w:webHidden/>
              </w:rPr>
              <w:tab/>
            </w:r>
            <w:r w:rsidR="008E41BA">
              <w:rPr>
                <w:webHidden/>
              </w:rPr>
              <w:fldChar w:fldCharType="begin"/>
            </w:r>
            <w:r w:rsidR="008E41BA">
              <w:rPr>
                <w:webHidden/>
              </w:rPr>
              <w:instrText xml:space="preserve"> PAGEREF _Toc23930679 \h </w:instrText>
            </w:r>
            <w:r w:rsidR="008E41BA">
              <w:rPr>
                <w:webHidden/>
              </w:rPr>
            </w:r>
            <w:r w:rsidR="008E41BA">
              <w:rPr>
                <w:webHidden/>
              </w:rPr>
              <w:fldChar w:fldCharType="separate"/>
            </w:r>
            <w:r w:rsidR="00552983">
              <w:rPr>
                <w:webHidden/>
              </w:rPr>
              <w:t>54</w:t>
            </w:r>
            <w:r w:rsidR="008E41BA">
              <w:rPr>
                <w:webHidden/>
              </w:rPr>
              <w:fldChar w:fldCharType="end"/>
            </w:r>
          </w:hyperlink>
        </w:p>
        <w:p w14:paraId="7AB5F256" w14:textId="237B7CC2" w:rsidR="008E41BA" w:rsidRDefault="00A90848">
          <w:pPr>
            <w:pStyle w:val="TOC1"/>
            <w:rPr>
              <w:rFonts w:eastAsiaTheme="minorEastAsia" w:cstheme="minorBidi"/>
              <w:b w:val="0"/>
              <w:color w:val="auto"/>
              <w:sz w:val="22"/>
              <w:szCs w:val="22"/>
            </w:rPr>
          </w:pPr>
          <w:hyperlink w:anchor="_Toc23930680" w:history="1">
            <w:r w:rsidR="008E41BA" w:rsidRPr="00622F38">
              <w:rPr>
                <w:rStyle w:val="Hyperlink"/>
                <w:rFonts w:eastAsiaTheme="minorHAnsi"/>
              </w:rPr>
              <w:t>VI. RESULTS FRAMEWORK AND MONITORING</w:t>
            </w:r>
            <w:r w:rsidR="008E41BA">
              <w:rPr>
                <w:webHidden/>
              </w:rPr>
              <w:tab/>
            </w:r>
            <w:r w:rsidR="008E41BA">
              <w:rPr>
                <w:webHidden/>
              </w:rPr>
              <w:fldChar w:fldCharType="begin"/>
            </w:r>
            <w:r w:rsidR="008E41BA">
              <w:rPr>
                <w:webHidden/>
              </w:rPr>
              <w:instrText xml:space="preserve"> PAGEREF _Toc23930680 \h </w:instrText>
            </w:r>
            <w:r w:rsidR="008E41BA">
              <w:rPr>
                <w:webHidden/>
              </w:rPr>
            </w:r>
            <w:r w:rsidR="008E41BA">
              <w:rPr>
                <w:webHidden/>
              </w:rPr>
              <w:fldChar w:fldCharType="separate"/>
            </w:r>
            <w:r w:rsidR="00552983">
              <w:rPr>
                <w:webHidden/>
              </w:rPr>
              <w:t>57</w:t>
            </w:r>
            <w:r w:rsidR="008E41BA">
              <w:rPr>
                <w:webHidden/>
              </w:rPr>
              <w:fldChar w:fldCharType="end"/>
            </w:r>
          </w:hyperlink>
        </w:p>
        <w:p w14:paraId="311ECF18" w14:textId="38B75CD2" w:rsidR="008E41BA" w:rsidRDefault="00A90848">
          <w:pPr>
            <w:pStyle w:val="TOC4"/>
            <w:rPr>
              <w:rFonts w:cstheme="minorBidi"/>
              <w:b w:val="0"/>
              <w:noProof/>
              <w:color w:val="auto"/>
              <w:sz w:val="22"/>
              <w:szCs w:val="22"/>
            </w:rPr>
          </w:pPr>
          <w:hyperlink w:anchor="_Toc23930681" w:history="1">
            <w:r w:rsidR="008E41BA" w:rsidRPr="00622F38">
              <w:rPr>
                <w:rStyle w:val="Hyperlink"/>
                <w:rFonts w:ascii="Calibri" w:eastAsia="Times New Roman" w:hAnsi="Calibri" w:cs="Times New Roman"/>
                <w:iCs/>
                <w:noProof/>
              </w:rPr>
              <w:t>ANNEX 1: Project Institutional and Implementation Arrangements</w:t>
            </w:r>
            <w:r w:rsidR="008E41BA">
              <w:rPr>
                <w:noProof/>
                <w:webHidden/>
              </w:rPr>
              <w:tab/>
            </w:r>
            <w:r w:rsidR="008E41BA">
              <w:rPr>
                <w:noProof/>
                <w:webHidden/>
              </w:rPr>
              <w:fldChar w:fldCharType="begin"/>
            </w:r>
            <w:r w:rsidR="008E41BA">
              <w:rPr>
                <w:noProof/>
                <w:webHidden/>
              </w:rPr>
              <w:instrText xml:space="preserve"> PAGEREF _Toc23930681 \h </w:instrText>
            </w:r>
            <w:r w:rsidR="008E41BA">
              <w:rPr>
                <w:noProof/>
                <w:webHidden/>
              </w:rPr>
            </w:r>
            <w:r w:rsidR="008E41BA">
              <w:rPr>
                <w:noProof/>
                <w:webHidden/>
              </w:rPr>
              <w:fldChar w:fldCharType="separate"/>
            </w:r>
            <w:r w:rsidR="00552983">
              <w:rPr>
                <w:noProof/>
                <w:webHidden/>
              </w:rPr>
              <w:t>88</w:t>
            </w:r>
            <w:r w:rsidR="008E41BA">
              <w:rPr>
                <w:noProof/>
                <w:webHidden/>
              </w:rPr>
              <w:fldChar w:fldCharType="end"/>
            </w:r>
          </w:hyperlink>
        </w:p>
        <w:p w14:paraId="05FB9D52" w14:textId="1715C25D" w:rsidR="008E41BA" w:rsidRDefault="00A90848">
          <w:pPr>
            <w:pStyle w:val="TOC4"/>
            <w:rPr>
              <w:rFonts w:cstheme="minorBidi"/>
              <w:b w:val="0"/>
              <w:noProof/>
              <w:color w:val="auto"/>
              <w:sz w:val="22"/>
              <w:szCs w:val="22"/>
            </w:rPr>
          </w:pPr>
          <w:hyperlink w:anchor="_Toc23930682" w:history="1">
            <w:r w:rsidR="008E41BA" w:rsidRPr="00622F38">
              <w:rPr>
                <w:rStyle w:val="Hyperlink"/>
                <w:rFonts w:ascii="Calibri" w:eastAsia="Times New Roman" w:hAnsi="Calibri" w:cs="Times New Roman"/>
                <w:iCs/>
                <w:noProof/>
              </w:rPr>
              <w:t>ANNEX 2: Financial Management, Disbursements and Procurement</w:t>
            </w:r>
            <w:r w:rsidR="008E41BA">
              <w:rPr>
                <w:noProof/>
                <w:webHidden/>
              </w:rPr>
              <w:tab/>
            </w:r>
            <w:r w:rsidR="008E41BA">
              <w:rPr>
                <w:noProof/>
                <w:webHidden/>
              </w:rPr>
              <w:fldChar w:fldCharType="begin"/>
            </w:r>
            <w:r w:rsidR="008E41BA">
              <w:rPr>
                <w:noProof/>
                <w:webHidden/>
              </w:rPr>
              <w:instrText xml:space="preserve"> PAGEREF _Toc23930682 \h </w:instrText>
            </w:r>
            <w:r w:rsidR="008E41BA">
              <w:rPr>
                <w:noProof/>
                <w:webHidden/>
              </w:rPr>
            </w:r>
            <w:r w:rsidR="008E41BA">
              <w:rPr>
                <w:noProof/>
                <w:webHidden/>
              </w:rPr>
              <w:fldChar w:fldCharType="separate"/>
            </w:r>
            <w:r w:rsidR="00552983">
              <w:rPr>
                <w:noProof/>
                <w:webHidden/>
              </w:rPr>
              <w:t>98</w:t>
            </w:r>
            <w:r w:rsidR="008E41BA">
              <w:rPr>
                <w:noProof/>
                <w:webHidden/>
              </w:rPr>
              <w:fldChar w:fldCharType="end"/>
            </w:r>
          </w:hyperlink>
        </w:p>
        <w:p w14:paraId="20CEFED9" w14:textId="5930C363" w:rsidR="008E41BA" w:rsidRDefault="00A90848">
          <w:pPr>
            <w:pStyle w:val="TOC4"/>
            <w:rPr>
              <w:rFonts w:cstheme="minorBidi"/>
              <w:b w:val="0"/>
              <w:noProof/>
              <w:color w:val="auto"/>
              <w:sz w:val="22"/>
              <w:szCs w:val="22"/>
            </w:rPr>
          </w:pPr>
          <w:hyperlink w:anchor="_Toc23930683" w:history="1">
            <w:r w:rsidR="008E41BA" w:rsidRPr="00622F38">
              <w:rPr>
                <w:rStyle w:val="Hyperlink"/>
                <w:rFonts w:ascii="Calibri" w:eastAsia="Times New Roman" w:hAnsi="Calibri" w:cs="Times New Roman"/>
                <w:iCs/>
                <w:noProof/>
              </w:rPr>
              <w:t>ANNEX 3: Disbursement-Linked Indicators</w:t>
            </w:r>
            <w:r w:rsidR="008E41BA">
              <w:rPr>
                <w:noProof/>
                <w:webHidden/>
              </w:rPr>
              <w:tab/>
            </w:r>
            <w:r w:rsidR="008E41BA">
              <w:rPr>
                <w:noProof/>
                <w:webHidden/>
              </w:rPr>
              <w:fldChar w:fldCharType="begin"/>
            </w:r>
            <w:r w:rsidR="008E41BA">
              <w:rPr>
                <w:noProof/>
                <w:webHidden/>
              </w:rPr>
              <w:instrText xml:space="preserve"> PAGEREF _Toc23930683 \h </w:instrText>
            </w:r>
            <w:r w:rsidR="008E41BA">
              <w:rPr>
                <w:noProof/>
                <w:webHidden/>
              </w:rPr>
            </w:r>
            <w:r w:rsidR="008E41BA">
              <w:rPr>
                <w:noProof/>
                <w:webHidden/>
              </w:rPr>
              <w:fldChar w:fldCharType="separate"/>
            </w:r>
            <w:r w:rsidR="00552983">
              <w:rPr>
                <w:noProof/>
                <w:webHidden/>
              </w:rPr>
              <w:t>130</w:t>
            </w:r>
            <w:r w:rsidR="008E41BA">
              <w:rPr>
                <w:noProof/>
                <w:webHidden/>
              </w:rPr>
              <w:fldChar w:fldCharType="end"/>
            </w:r>
          </w:hyperlink>
        </w:p>
        <w:p w14:paraId="40139D2E" w14:textId="14CA9AA2" w:rsidR="008E41BA" w:rsidRDefault="00A90848">
          <w:pPr>
            <w:pStyle w:val="TOC4"/>
            <w:rPr>
              <w:rFonts w:cstheme="minorBidi"/>
              <w:b w:val="0"/>
              <w:noProof/>
              <w:color w:val="auto"/>
              <w:sz w:val="22"/>
              <w:szCs w:val="22"/>
            </w:rPr>
          </w:pPr>
          <w:hyperlink w:anchor="_Toc23930684" w:history="1">
            <w:r w:rsidR="008E41BA" w:rsidRPr="00622F38">
              <w:rPr>
                <w:rStyle w:val="Hyperlink"/>
                <w:rFonts w:ascii="Calibri" w:eastAsia="Times New Roman" w:hAnsi="Calibri" w:cs="Times New Roman"/>
                <w:iCs/>
                <w:noProof/>
              </w:rPr>
              <w:t>ANNEX 4: Strategy and Approach for Implementation Support</w:t>
            </w:r>
            <w:r w:rsidR="008E41BA">
              <w:rPr>
                <w:noProof/>
                <w:webHidden/>
              </w:rPr>
              <w:tab/>
            </w:r>
            <w:r w:rsidR="008E41BA">
              <w:rPr>
                <w:noProof/>
                <w:webHidden/>
              </w:rPr>
              <w:fldChar w:fldCharType="begin"/>
            </w:r>
            <w:r w:rsidR="008E41BA">
              <w:rPr>
                <w:noProof/>
                <w:webHidden/>
              </w:rPr>
              <w:instrText xml:space="preserve"> PAGEREF _Toc23930684 \h </w:instrText>
            </w:r>
            <w:r w:rsidR="008E41BA">
              <w:rPr>
                <w:noProof/>
                <w:webHidden/>
              </w:rPr>
            </w:r>
            <w:r w:rsidR="008E41BA">
              <w:rPr>
                <w:noProof/>
                <w:webHidden/>
              </w:rPr>
              <w:fldChar w:fldCharType="separate"/>
            </w:r>
            <w:r w:rsidR="00552983">
              <w:rPr>
                <w:noProof/>
                <w:webHidden/>
              </w:rPr>
              <w:t>133</w:t>
            </w:r>
            <w:r w:rsidR="008E41BA">
              <w:rPr>
                <w:noProof/>
                <w:webHidden/>
              </w:rPr>
              <w:fldChar w:fldCharType="end"/>
            </w:r>
          </w:hyperlink>
        </w:p>
        <w:p w14:paraId="4B81B917" w14:textId="401033B5" w:rsidR="008E41BA" w:rsidRDefault="00A90848">
          <w:pPr>
            <w:pStyle w:val="TOC4"/>
            <w:rPr>
              <w:rFonts w:cstheme="minorBidi"/>
              <w:b w:val="0"/>
              <w:noProof/>
              <w:color w:val="auto"/>
              <w:sz w:val="22"/>
              <w:szCs w:val="22"/>
            </w:rPr>
          </w:pPr>
          <w:hyperlink w:anchor="_Toc23930685" w:history="1">
            <w:r w:rsidR="008E41BA" w:rsidRPr="00622F38">
              <w:rPr>
                <w:rStyle w:val="Hyperlink"/>
                <w:rFonts w:ascii="Calibri" w:eastAsia="Times New Roman" w:hAnsi="Calibri" w:cs="Times New Roman"/>
                <w:iCs/>
                <w:noProof/>
              </w:rPr>
              <w:t>ANNEX 5: Implementation Support Plan and Resource Requirements</w:t>
            </w:r>
            <w:r w:rsidR="008E41BA">
              <w:rPr>
                <w:noProof/>
                <w:webHidden/>
              </w:rPr>
              <w:tab/>
            </w:r>
            <w:r w:rsidR="008E41BA">
              <w:rPr>
                <w:noProof/>
                <w:webHidden/>
              </w:rPr>
              <w:fldChar w:fldCharType="begin"/>
            </w:r>
            <w:r w:rsidR="008E41BA">
              <w:rPr>
                <w:noProof/>
                <w:webHidden/>
              </w:rPr>
              <w:instrText xml:space="preserve"> PAGEREF _Toc23930685 \h </w:instrText>
            </w:r>
            <w:r w:rsidR="008E41BA">
              <w:rPr>
                <w:noProof/>
                <w:webHidden/>
              </w:rPr>
            </w:r>
            <w:r w:rsidR="008E41BA">
              <w:rPr>
                <w:noProof/>
                <w:webHidden/>
              </w:rPr>
              <w:fldChar w:fldCharType="separate"/>
            </w:r>
            <w:r w:rsidR="00552983">
              <w:rPr>
                <w:noProof/>
                <w:webHidden/>
              </w:rPr>
              <w:t>136</w:t>
            </w:r>
            <w:r w:rsidR="008E41BA">
              <w:rPr>
                <w:noProof/>
                <w:webHidden/>
              </w:rPr>
              <w:fldChar w:fldCharType="end"/>
            </w:r>
          </w:hyperlink>
        </w:p>
        <w:p w14:paraId="4AA676DB" w14:textId="1E485AE0" w:rsidR="008E41BA" w:rsidRDefault="00A90848">
          <w:pPr>
            <w:pStyle w:val="TOC4"/>
            <w:rPr>
              <w:rFonts w:cstheme="minorBidi"/>
              <w:b w:val="0"/>
              <w:noProof/>
              <w:color w:val="auto"/>
              <w:sz w:val="22"/>
              <w:szCs w:val="22"/>
            </w:rPr>
          </w:pPr>
          <w:hyperlink w:anchor="_Toc23930686" w:history="1">
            <w:r w:rsidR="008E41BA" w:rsidRPr="00622F38">
              <w:rPr>
                <w:rStyle w:val="Hyperlink"/>
                <w:rFonts w:ascii="Calibri" w:eastAsia="Times New Roman" w:hAnsi="Calibri" w:cs="Times New Roman"/>
                <w:iCs/>
                <w:noProof/>
              </w:rPr>
              <w:t>ANNEX 6: Thematic Area</w:t>
            </w:r>
            <w:r w:rsidR="00086F21">
              <w:rPr>
                <w:rStyle w:val="Hyperlink"/>
                <w:rFonts w:ascii="Calibri" w:eastAsia="Times New Roman" w:hAnsi="Calibri" w:cs="Times New Roman"/>
                <w:iCs/>
                <w:noProof/>
              </w:rPr>
              <w:t>s</w:t>
            </w:r>
            <w:r w:rsidR="008E41BA" w:rsidRPr="00622F38">
              <w:rPr>
                <w:rStyle w:val="Hyperlink"/>
                <w:rFonts w:ascii="Calibri" w:eastAsia="Times New Roman" w:hAnsi="Calibri" w:cs="Times New Roman"/>
                <w:iCs/>
                <w:noProof/>
              </w:rPr>
              <w:t xml:space="preserve"> for First and Second ACE Impact Projects</w:t>
            </w:r>
            <w:r w:rsidR="008E41BA">
              <w:rPr>
                <w:noProof/>
                <w:webHidden/>
              </w:rPr>
              <w:tab/>
            </w:r>
            <w:r w:rsidR="008E41BA">
              <w:rPr>
                <w:noProof/>
                <w:webHidden/>
              </w:rPr>
              <w:fldChar w:fldCharType="begin"/>
            </w:r>
            <w:r w:rsidR="008E41BA">
              <w:rPr>
                <w:noProof/>
                <w:webHidden/>
              </w:rPr>
              <w:instrText xml:space="preserve"> PAGEREF _Toc23930686 \h </w:instrText>
            </w:r>
            <w:r w:rsidR="008E41BA">
              <w:rPr>
                <w:noProof/>
                <w:webHidden/>
              </w:rPr>
            </w:r>
            <w:r w:rsidR="008E41BA">
              <w:rPr>
                <w:noProof/>
                <w:webHidden/>
              </w:rPr>
              <w:fldChar w:fldCharType="separate"/>
            </w:r>
            <w:r w:rsidR="00552983">
              <w:rPr>
                <w:noProof/>
                <w:webHidden/>
              </w:rPr>
              <w:t>139</w:t>
            </w:r>
            <w:r w:rsidR="008E41BA">
              <w:rPr>
                <w:noProof/>
                <w:webHidden/>
              </w:rPr>
              <w:fldChar w:fldCharType="end"/>
            </w:r>
          </w:hyperlink>
        </w:p>
        <w:p w14:paraId="6F2A7EAE" w14:textId="567F11FF" w:rsidR="008E41BA" w:rsidRDefault="00A90848">
          <w:pPr>
            <w:pStyle w:val="TOC4"/>
            <w:rPr>
              <w:rFonts w:cstheme="minorBidi"/>
              <w:b w:val="0"/>
              <w:noProof/>
              <w:color w:val="auto"/>
              <w:sz w:val="22"/>
              <w:szCs w:val="22"/>
            </w:rPr>
          </w:pPr>
          <w:hyperlink w:anchor="_Toc23930687" w:history="1">
            <w:r w:rsidR="008E41BA" w:rsidRPr="00622F38">
              <w:rPr>
                <w:rStyle w:val="Hyperlink"/>
                <w:rFonts w:ascii="Calibri" w:eastAsia="Times New Roman" w:hAnsi="Calibri" w:cs="Times New Roman"/>
                <w:iCs/>
                <w:noProof/>
              </w:rPr>
              <w:t>ANNEX 7: Economic and Financial Analysis</w:t>
            </w:r>
            <w:r w:rsidR="008E41BA">
              <w:rPr>
                <w:noProof/>
                <w:webHidden/>
              </w:rPr>
              <w:tab/>
            </w:r>
            <w:r w:rsidR="008E41BA">
              <w:rPr>
                <w:noProof/>
                <w:webHidden/>
              </w:rPr>
              <w:fldChar w:fldCharType="begin"/>
            </w:r>
            <w:r w:rsidR="008E41BA">
              <w:rPr>
                <w:noProof/>
                <w:webHidden/>
              </w:rPr>
              <w:instrText xml:space="preserve"> PAGEREF _Toc23930687 \h </w:instrText>
            </w:r>
            <w:r w:rsidR="008E41BA">
              <w:rPr>
                <w:noProof/>
                <w:webHidden/>
              </w:rPr>
            </w:r>
            <w:r w:rsidR="008E41BA">
              <w:rPr>
                <w:noProof/>
                <w:webHidden/>
              </w:rPr>
              <w:fldChar w:fldCharType="separate"/>
            </w:r>
            <w:r w:rsidR="00552983">
              <w:rPr>
                <w:noProof/>
                <w:webHidden/>
              </w:rPr>
              <w:t>144</w:t>
            </w:r>
            <w:r w:rsidR="008E41BA">
              <w:rPr>
                <w:noProof/>
                <w:webHidden/>
              </w:rPr>
              <w:fldChar w:fldCharType="end"/>
            </w:r>
          </w:hyperlink>
        </w:p>
        <w:p w14:paraId="4C4AD238" w14:textId="7B3A6D85" w:rsidR="008E41BA" w:rsidRDefault="00A90848">
          <w:pPr>
            <w:pStyle w:val="TOC4"/>
            <w:rPr>
              <w:rFonts w:cstheme="minorBidi"/>
              <w:b w:val="0"/>
              <w:noProof/>
              <w:color w:val="auto"/>
              <w:sz w:val="22"/>
              <w:szCs w:val="22"/>
            </w:rPr>
          </w:pPr>
          <w:hyperlink w:anchor="_Toc23930688" w:history="1">
            <w:r w:rsidR="008E41BA" w:rsidRPr="00622F38">
              <w:rPr>
                <w:rStyle w:val="Hyperlink"/>
                <w:rFonts w:ascii="Calibri" w:eastAsia="Times New Roman" w:hAnsi="Calibri" w:cs="Times New Roman"/>
                <w:iCs/>
                <w:noProof/>
              </w:rPr>
              <w:t>ANNEX 8: Partnership Arrangement with AFD</w:t>
            </w:r>
            <w:r w:rsidR="008E41BA">
              <w:rPr>
                <w:noProof/>
                <w:webHidden/>
              </w:rPr>
              <w:tab/>
            </w:r>
            <w:r w:rsidR="008E41BA">
              <w:rPr>
                <w:noProof/>
                <w:webHidden/>
              </w:rPr>
              <w:fldChar w:fldCharType="begin"/>
            </w:r>
            <w:r w:rsidR="008E41BA">
              <w:rPr>
                <w:noProof/>
                <w:webHidden/>
              </w:rPr>
              <w:instrText xml:space="preserve"> PAGEREF _Toc23930688 \h </w:instrText>
            </w:r>
            <w:r w:rsidR="008E41BA">
              <w:rPr>
                <w:noProof/>
                <w:webHidden/>
              </w:rPr>
            </w:r>
            <w:r w:rsidR="008E41BA">
              <w:rPr>
                <w:noProof/>
                <w:webHidden/>
              </w:rPr>
              <w:fldChar w:fldCharType="separate"/>
            </w:r>
            <w:r w:rsidR="00552983">
              <w:rPr>
                <w:noProof/>
                <w:webHidden/>
              </w:rPr>
              <w:t>155</w:t>
            </w:r>
            <w:r w:rsidR="008E41BA">
              <w:rPr>
                <w:noProof/>
                <w:webHidden/>
              </w:rPr>
              <w:fldChar w:fldCharType="end"/>
            </w:r>
          </w:hyperlink>
        </w:p>
        <w:p w14:paraId="2E3FDEEC" w14:textId="7DBFF49D" w:rsidR="000C3959" w:rsidRDefault="00B00100" w:rsidP="00837AE1">
          <w:pPr>
            <w:pStyle w:val="TOC4"/>
            <w:rPr>
              <w:rFonts w:ascii="Calibri" w:eastAsia="Times New Roman" w:hAnsi="Calibri" w:cs="Calibri"/>
              <w:color w:val="auto"/>
              <w:sz w:val="22"/>
              <w:szCs w:val="22"/>
            </w:rPr>
          </w:pPr>
          <w:r>
            <w:rPr>
              <w:rFonts w:ascii="Calibri" w:eastAsia="Times New Roman" w:hAnsi="Calibri" w:cs="Calibri"/>
              <w:color w:val="auto"/>
              <w:sz w:val="22"/>
              <w:szCs w:val="22"/>
            </w:rPr>
            <w:fldChar w:fldCharType="end"/>
          </w:r>
        </w:p>
      </w:sdtContent>
    </w:sdt>
    <w:p w14:paraId="6357CE5C" w14:textId="77777777" w:rsidR="00510473" w:rsidRDefault="00510473" w:rsidP="001F0E76">
      <w:pPr>
        <w:spacing w:line="14" w:lineRule="exact"/>
        <w:ind w:left="-792"/>
        <w:rPr>
          <w:rFonts w:ascii="Calibri" w:eastAsia="Times New Roman" w:hAnsi="Calibri"/>
          <w:caps/>
        </w:rPr>
      </w:pPr>
    </w:p>
    <w:p w14:paraId="3A949C54" w14:textId="77777777" w:rsidR="001F0E76" w:rsidRDefault="001F0E76" w:rsidP="001F0E76">
      <w:pPr>
        <w:pStyle w:val="Normal3"/>
        <w:spacing w:after="0" w:line="240" w:lineRule="auto"/>
        <w:ind w:left="-907"/>
        <w:sectPr w:rsidR="001F0E76" w:rsidSect="003615CB">
          <w:headerReference w:type="even" r:id="rId18"/>
          <w:headerReference w:type="default" r:id="rId19"/>
          <w:footerReference w:type="default" r:id="rId20"/>
          <w:headerReference w:type="first" r:id="rId21"/>
          <w:pgSz w:w="12240" w:h="15840"/>
          <w:pgMar w:top="1440" w:right="1440" w:bottom="1440" w:left="1440" w:header="720" w:footer="720" w:gutter="0"/>
          <w:pgNumType w:start="1"/>
          <w:cols w:space="720"/>
          <w:docGrid w:linePitch="360"/>
        </w:sectPr>
      </w:pPr>
      <w:bookmarkStart w:id="5" w:name="SECTION4"/>
      <w:bookmarkEnd w:id="5"/>
    </w:p>
    <w:p w14:paraId="723E147C" w14:textId="77777777" w:rsidR="00856F5A" w:rsidRDefault="00B00100" w:rsidP="00032250">
      <w:pPr>
        <w:pStyle w:val="Normal3"/>
        <w:spacing w:after="0" w:line="240" w:lineRule="auto"/>
        <w:ind w:left="-900"/>
        <w:rPr>
          <w:color w:val="767171" w:themeColor="background2" w:themeShade="80"/>
        </w:rPr>
      </w:pPr>
      <w:r>
        <w:rPr>
          <w:noProof/>
        </w:rPr>
        <w:lastRenderedPageBreak/>
        <mc:AlternateContent>
          <mc:Choice Requires="wps">
            <w:drawing>
              <wp:anchor distT="0" distB="0" distL="114300" distR="114300" simplePos="0" relativeHeight="251658244" behindDoc="0" locked="0" layoutInCell="1" allowOverlap="1" wp14:anchorId="796079F8" wp14:editId="05340C9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EC4EF7" id="Straight Connector 29"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" strokecolor="gray [1629]">
                <v:stroke dashstyle="dash" opacity="26214f" joinstyle="miter"/>
              </v:line>
            </w:pict>
          </mc:Fallback>
        </mc:AlternateContent>
      </w:r>
      <w:sdt>
        <w:sdtPr>
          <w:id w:val="59461334"/>
          <w:lock w:val="sdtContentLocked"/>
          <w:placeholder>
            <w:docPart w:val="5E63676D9F374CAE9D0AE4399CE26A60"/>
          </w:placeholder>
        </w:sdtPr>
        <w:sdtEndPr/>
        <w:sdtContent>
          <w:r>
            <w:t xml:space="preserve"> </w:t>
          </w:r>
        </w:sdtContent>
      </w:sdt>
    </w:p>
    <w:p w14:paraId="52A4CE4F" w14:textId="77777777" w:rsidR="00066DBA" w:rsidRPr="00856F5A" w:rsidRDefault="00066DBA" w:rsidP="00F651C0">
      <w:pPr>
        <w:spacing w:line="14" w:lineRule="exact"/>
        <w:ind w:left="-691" w:right="-518"/>
        <w:rPr>
          <w:rFonts w:asciiTheme="minorHAnsi" w:hAnsiTheme="minorHAnsi"/>
          <w:color w:val="767171" w:themeColor="background2" w:themeShade="80"/>
          <w:sz w:val="22"/>
          <w:szCs w:val="22"/>
        </w:rPr>
      </w:pPr>
    </w:p>
    <w:p w14:paraId="178B90E2" w14:textId="77777777" w:rsidR="00917788" w:rsidRDefault="00917788" w:rsidP="00370635">
      <w:pPr>
        <w:pStyle w:val="Normal3"/>
        <w:spacing w:after="0" w:line="240" w:lineRule="auto"/>
        <w:sectPr w:rsidR="00917788" w:rsidSect="003615CB">
          <w:footerReference w:type="default" r:id="rId22"/>
          <w:pgSz w:w="12240" w:h="15840"/>
          <w:pgMar w:top="1440" w:right="1440" w:bottom="1440" w:left="1440" w:header="720" w:footer="720" w:gutter="0"/>
          <w:pgNumType w:start="1"/>
          <w:cols w:space="720"/>
          <w:docGrid w:linePitch="360"/>
        </w:sectPr>
      </w:pPr>
    </w:p>
    <w:p w14:paraId="6041DBF5" w14:textId="77777777" w:rsidR="00856F5A" w:rsidRDefault="00856F5A" w:rsidP="00F651C0">
      <w:pPr>
        <w:spacing w:line="14" w:lineRule="exact"/>
        <w:ind w:left="-691" w:right="-518"/>
        <w:rPr>
          <w:rFonts w:asciiTheme="minorHAnsi" w:hAnsiTheme="minorHAnsi"/>
          <w:color w:val="767171" w:themeColor="background2" w:themeShade="80"/>
          <w:sz w:val="22"/>
          <w:szCs w:val="22"/>
        </w:rPr>
      </w:pPr>
    </w:p>
    <w:sdt>
      <w:sdtPr>
        <w:tag w:val="OPS_CORE_DATA_BLOCK"/>
        <w:id w:val="1427466280"/>
        <w:lock w:val="sdtContentLocked"/>
        <w:placeholder>
          <w:docPart w:val="DefaultPlaceholder_22675703"/>
        </w:placeholder>
        <w:group/>
      </w:sdtPr>
      <w:sdtEndPr/>
      <w:sdtContent>
        <w:sdt>
          <w:sdtPr>
            <w:tag w:val="OPS_CORE_SECTION_START_4"/>
            <w:id w:val="2104593355"/>
            <w:lock w:val="sdtContentLocked"/>
            <w:placeholder>
              <w:docPart w:val="F84EC7C53AF5489891A0116775004EA6"/>
            </w:placeholder>
          </w:sdtPr>
          <w:sdtEndPr/>
          <w:sdtContent>
            <w:p w14:paraId="59A02623" w14:textId="77777777" w:rsidR="00844A42" w:rsidRDefault="00B00100" w:rsidP="00F651C0">
              <w:pPr>
                <w:pStyle w:val="Normal3"/>
                <w:spacing w:after="0" w:line="14" w:lineRule="exact"/>
                <w:ind w:left="-691" w:right="-518"/>
              </w:pPr>
              <w:r>
                <w:t xml:space="preserve"> </w:t>
              </w:r>
            </w:p>
          </w:sdtContent>
        </w:sdt>
        <w:tbl>
          <w:tblPr>
            <w:tblStyle w:val="TableGrid340"/>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0C3959" w14:paraId="1552C449" w14:textId="77777777" w:rsidTr="003835A0">
            <w:tc>
              <w:tcPr>
                <w:tcW w:w="10615" w:type="dxa"/>
              </w:tcPr>
              <w:p w14:paraId="6FE3E846" w14:textId="77777777" w:rsidR="003835A0" w:rsidRDefault="00B00100" w:rsidP="00CD3311">
                <w:pPr>
                  <w:pStyle w:val="Heading3"/>
                  <w:outlineLvl w:val="2"/>
                  <w:rPr>
                    <w:rFonts w:asciiTheme="minorHAnsi" w:hAnsiTheme="minorHAnsi" w:cstheme="minorHAnsi"/>
                    <w:sz w:val="22"/>
                    <w:szCs w:val="22"/>
                  </w:rPr>
                </w:pPr>
                <w:bookmarkStart w:id="6" w:name="_Toc256000000_0"/>
                <w:bookmarkStart w:id="7" w:name="_Toc511651895_0"/>
                <w:bookmarkStart w:id="8" w:name="_Toc23930659"/>
                <w:r w:rsidRPr="00583780">
                  <w:t>DATASHEET</w:t>
                </w:r>
                <w:bookmarkEnd w:id="6"/>
                <w:bookmarkEnd w:id="7"/>
                <w:bookmarkEnd w:id="8"/>
              </w:p>
            </w:tc>
          </w:tr>
        </w:tbl>
        <w:p w14:paraId="2340EBEE" w14:textId="77777777" w:rsidR="003835A0" w:rsidRPr="003835A0" w:rsidRDefault="003835A0" w:rsidP="003835A0">
          <w:pPr>
            <w:ind w:left="-720"/>
            <w:rPr>
              <w:rFonts w:asciiTheme="minorHAnsi" w:hAnsiTheme="minorHAnsi" w:cstheme="minorHAnsi"/>
              <w:b/>
              <w:sz w:val="22"/>
              <w:szCs w:val="22"/>
            </w:rPr>
          </w:pPr>
        </w:p>
        <w:tbl>
          <w:tblPr>
            <w:tblStyle w:val="TableGrid42340"/>
            <w:tblW w:w="10620" w:type="dxa"/>
            <w:tblInd w:w="-750" w:type="dxa"/>
            <w:shd w:val="clear" w:color="auto" w:fill="F7F7F7"/>
            <w:tblLayout w:type="fixed"/>
            <w:tblLook w:val="04A0" w:firstRow="1" w:lastRow="0" w:firstColumn="1" w:lastColumn="0" w:noHBand="0" w:noVBand="1"/>
          </w:tblPr>
          <w:tblGrid>
            <w:gridCol w:w="10620"/>
          </w:tblGrid>
          <w:tr w:rsidR="000C3959" w14:paraId="1AA06E02" w14:textId="77777777" w:rsidTr="00094ECE">
            <w:trPr>
              <w:trHeight w:val="432"/>
            </w:trPr>
            <w:tc>
              <w:tcPr>
                <w:tcW w:w="10620" w:type="dxa"/>
                <w:tcBorders>
                  <w:top w:val="nil"/>
                  <w:left w:val="single" w:sz="24" w:space="0" w:color="BFBFBF"/>
                  <w:bottom w:val="nil"/>
                  <w:right w:val="nil"/>
                </w:tcBorders>
                <w:shd w:val="clear" w:color="auto" w:fill="F2F2F2"/>
                <w:vAlign w:val="center"/>
                <w:hideMark/>
              </w:tcPr>
              <w:p w14:paraId="0CA7C0E9" w14:textId="77777777" w:rsidR="00094ECE" w:rsidRPr="007D4E7E" w:rsidRDefault="00B00100" w:rsidP="00370635">
                <w:pPr>
                  <w:pStyle w:val="Normal102"/>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14:paraId="17A90185" w14:textId="77777777" w:rsidR="003615CB" w:rsidRDefault="003615CB" w:rsidP="00B20DDF">
          <w:pPr>
            <w:shd w:val="clear" w:color="auto" w:fill="F7F7F7"/>
            <w:spacing w:line="14" w:lineRule="exact"/>
            <w:ind w:left="-691" w:right="29"/>
            <w:rPr>
              <w:rFonts w:asciiTheme="minorHAnsi" w:hAnsiTheme="minorHAnsi"/>
              <w:noProof/>
              <w:sz w:val="22"/>
              <w:szCs w:val="22"/>
            </w:rPr>
          </w:pPr>
        </w:p>
        <w:tbl>
          <w:tblPr>
            <w:tblStyle w:val="TableGrid340"/>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0C3959" w14:paraId="6796B531" w14:textId="77777777" w:rsidTr="00586CD3">
            <w:trPr>
              <w:trHeight w:val="20"/>
            </w:trPr>
            <w:tc>
              <w:tcPr>
                <w:tcW w:w="10620" w:type="dxa"/>
                <w:gridSpan w:val="3"/>
                <w:tcBorders>
                  <w:top w:val="nil"/>
                  <w:right w:val="nil"/>
                </w:tcBorders>
                <w:shd w:val="clear" w:color="auto" w:fill="F7F7F7"/>
                <w:vAlign w:val="bottom"/>
              </w:tcPr>
              <w:p w14:paraId="49AC0709" w14:textId="77777777" w:rsidR="00586CD3" w:rsidRPr="00100759" w:rsidRDefault="00B00100" w:rsidP="00586CD3">
                <w:pPr>
                  <w:spacing w:line="14" w:lineRule="exact"/>
                  <w:rPr>
                    <w:rFonts w:asciiTheme="minorHAnsi" w:hAnsiTheme="minorHAnsi"/>
                    <w:color w:val="F7F7F7"/>
                    <w:sz w:val="22"/>
                    <w:szCs w:val="22"/>
                  </w:rPr>
                </w:pPr>
                <w:r w:rsidRPr="00100759">
                  <w:rPr>
                    <w:rFonts w:asciiTheme="minorHAnsi" w:hAnsiTheme="minorHAnsi"/>
                    <w:color w:val="F7F7F7"/>
                    <w:sz w:val="22"/>
                    <w:szCs w:val="22"/>
                  </w:rPr>
                  <w:t>BASIC_INFO_TABLE</w:t>
                </w:r>
              </w:p>
            </w:tc>
          </w:tr>
          <w:tr w:rsidR="000C3959" w14:paraId="193F8A05" w14:textId="77777777" w:rsidTr="00D83CCD">
            <w:trPr>
              <w:trHeight w:val="432"/>
            </w:trPr>
            <w:tc>
              <w:tcPr>
                <w:tcW w:w="2340" w:type="dxa"/>
                <w:tcBorders>
                  <w:top w:val="nil"/>
                  <w:bottom w:val="nil"/>
                </w:tcBorders>
                <w:shd w:val="clear" w:color="auto" w:fill="F7F7F7"/>
                <w:vAlign w:val="center"/>
              </w:tcPr>
              <w:p w14:paraId="1BB1F93C" w14:textId="77777777" w:rsidR="00586CD3" w:rsidRPr="00ED066B" w:rsidRDefault="00B00100"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Country(ies)</w:t>
                </w:r>
              </w:p>
            </w:tc>
            <w:tc>
              <w:tcPr>
                <w:tcW w:w="8280" w:type="dxa"/>
                <w:gridSpan w:val="2"/>
                <w:tcBorders>
                  <w:top w:val="nil"/>
                  <w:bottom w:val="nil"/>
                  <w:right w:val="nil"/>
                </w:tcBorders>
                <w:shd w:val="clear" w:color="auto" w:fill="F7F7F7"/>
                <w:vAlign w:val="center"/>
              </w:tcPr>
              <w:p w14:paraId="15B343DF" w14:textId="77777777" w:rsidR="00586CD3" w:rsidRPr="00ED066B" w:rsidRDefault="00B00100"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Project Name</w:t>
                </w:r>
              </w:p>
            </w:tc>
          </w:tr>
          <w:tr w:rsidR="000C3959" w14:paraId="21E9069A" w14:textId="77777777" w:rsidTr="00D83CCD">
            <w:trPr>
              <w:trHeight w:val="432"/>
            </w:trPr>
            <w:tc>
              <w:tcPr>
                <w:tcW w:w="2340" w:type="dxa"/>
                <w:tcBorders>
                  <w:top w:val="nil"/>
                  <w:bottom w:val="single" w:sz="4" w:space="0" w:color="D9D9D9"/>
                </w:tcBorders>
                <w:shd w:val="clear" w:color="auto" w:fill="F7F7F7"/>
                <w:vAlign w:val="center"/>
              </w:tcPr>
              <w:p w14:paraId="359EAAA6" w14:textId="77777777" w:rsidR="00586CD3" w:rsidRPr="00ED066B" w:rsidRDefault="00B00100" w:rsidP="00873D21">
                <w:pPr>
                  <w:ind w:right="90"/>
                  <w:rPr>
                    <w:rFonts w:asciiTheme="minorHAnsi" w:hAnsiTheme="minorHAnsi" w:cstheme="minorHAnsi"/>
                    <w:sz w:val="22"/>
                    <w:szCs w:val="22"/>
                  </w:rPr>
                </w:pPr>
                <w:r>
                  <w:rPr>
                    <w:rFonts w:asciiTheme="minorHAnsi" w:hAnsiTheme="minorHAnsi" w:cstheme="minorHAnsi"/>
                    <w:noProof/>
                    <w:sz w:val="22"/>
                    <w:szCs w:val="22"/>
                  </w:rPr>
                  <w:t>Africa, Benin, Gambia, The, Niger, Nigeria, Togo</w:t>
                </w:r>
              </w:p>
            </w:tc>
            <w:tc>
              <w:tcPr>
                <w:tcW w:w="8280" w:type="dxa"/>
                <w:gridSpan w:val="2"/>
                <w:tcBorders>
                  <w:top w:val="nil"/>
                  <w:bottom w:val="single" w:sz="4" w:space="0" w:color="D9D9D9"/>
                  <w:right w:val="nil"/>
                </w:tcBorders>
                <w:shd w:val="clear" w:color="auto" w:fill="F7F7F7"/>
                <w:vAlign w:val="center"/>
              </w:tcPr>
              <w:p w14:paraId="23056B10" w14:textId="77777777" w:rsidR="00586CD3" w:rsidRPr="00ED066B" w:rsidRDefault="00B00100" w:rsidP="00873D21">
                <w:pPr>
                  <w:ind w:right="90"/>
                  <w:rPr>
                    <w:rFonts w:asciiTheme="minorHAnsi" w:hAnsiTheme="minorHAnsi" w:cstheme="minorHAnsi"/>
                    <w:noProof/>
                    <w:sz w:val="22"/>
                    <w:szCs w:val="22"/>
                  </w:rPr>
                </w:pPr>
                <w:r>
                  <w:rPr>
                    <w:rFonts w:asciiTheme="minorHAnsi" w:hAnsiTheme="minorHAnsi" w:cstheme="minorHAnsi"/>
                    <w:noProof/>
                    <w:sz w:val="22"/>
                    <w:szCs w:val="22"/>
                  </w:rPr>
                  <w:t>Second Africa Higher Education Centers of Excellence for Development Impact</w:t>
                </w:r>
              </w:p>
            </w:tc>
          </w:tr>
          <w:tr w:rsidR="000C3959" w14:paraId="1BAD78AB" w14:textId="77777777" w:rsidTr="00D83CCD">
            <w:trPr>
              <w:trHeight w:val="432"/>
            </w:trPr>
            <w:tc>
              <w:tcPr>
                <w:tcW w:w="2340" w:type="dxa"/>
                <w:tcBorders>
                  <w:top w:val="single" w:sz="4" w:space="0" w:color="D9D9D9"/>
                  <w:bottom w:val="nil"/>
                </w:tcBorders>
                <w:shd w:val="clear" w:color="auto" w:fill="F7F7F7"/>
                <w:vAlign w:val="center"/>
              </w:tcPr>
              <w:p w14:paraId="03AF07DB" w14:textId="77777777" w:rsidR="00586CD3" w:rsidRPr="00ED066B" w:rsidRDefault="00B00100"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Project ID</w:t>
                </w:r>
              </w:p>
            </w:tc>
            <w:tc>
              <w:tcPr>
                <w:tcW w:w="2610" w:type="dxa"/>
                <w:tcBorders>
                  <w:top w:val="single" w:sz="4" w:space="0" w:color="D9D9D9"/>
                  <w:bottom w:val="nil"/>
                </w:tcBorders>
                <w:shd w:val="clear" w:color="auto" w:fill="F7F7F7"/>
                <w:vAlign w:val="center"/>
              </w:tcPr>
              <w:p w14:paraId="6CCD2217" w14:textId="77777777" w:rsidR="00586CD3" w:rsidRPr="00ED066B" w:rsidRDefault="00B00100"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Financing Instrument</w:t>
                </w:r>
              </w:p>
            </w:tc>
            <w:tc>
              <w:tcPr>
                <w:tcW w:w="5670" w:type="dxa"/>
                <w:tcBorders>
                  <w:top w:val="single" w:sz="4" w:space="0" w:color="D9D9D9"/>
                  <w:bottom w:val="nil"/>
                  <w:right w:val="nil"/>
                </w:tcBorders>
                <w:shd w:val="clear" w:color="auto" w:fill="F7F7F7"/>
                <w:vAlign w:val="center"/>
              </w:tcPr>
              <w:p w14:paraId="14A1BBC7" w14:textId="77777777" w:rsidR="00586CD3" w:rsidRPr="00ED066B" w:rsidRDefault="00B00100"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Environmental Assessment Category</w:t>
                </w:r>
              </w:p>
            </w:tc>
          </w:tr>
          <w:tr w:rsidR="000C3959" w14:paraId="4EB7A5B8" w14:textId="77777777" w:rsidTr="00D83CCD">
            <w:trPr>
              <w:trHeight w:val="432"/>
            </w:trPr>
            <w:tc>
              <w:tcPr>
                <w:tcW w:w="2340" w:type="dxa"/>
                <w:tcBorders>
                  <w:top w:val="nil"/>
                  <w:bottom w:val="single" w:sz="4" w:space="0" w:color="D9D9D9"/>
                </w:tcBorders>
                <w:shd w:val="clear" w:color="auto" w:fill="F7F7F7"/>
                <w:vAlign w:val="center"/>
              </w:tcPr>
              <w:p w14:paraId="68FAF483" w14:textId="77777777" w:rsidR="00586CD3" w:rsidRPr="00ED066B" w:rsidRDefault="00B00100" w:rsidP="00873D21">
                <w:pPr>
                  <w:ind w:right="90"/>
                  <w:rPr>
                    <w:rFonts w:asciiTheme="minorHAnsi" w:hAnsiTheme="minorHAnsi" w:cstheme="minorHAnsi"/>
                    <w:sz w:val="22"/>
                    <w:szCs w:val="22"/>
                  </w:rPr>
                </w:pPr>
                <w:r>
                  <w:rPr>
                    <w:rFonts w:asciiTheme="minorHAnsi" w:hAnsiTheme="minorHAnsi" w:cstheme="minorHAnsi"/>
                    <w:bCs/>
                    <w:noProof/>
                    <w:sz w:val="22"/>
                    <w:szCs w:val="22"/>
                  </w:rPr>
                  <w:t>P169064</w:t>
                </w:r>
              </w:p>
            </w:tc>
            <w:tc>
              <w:tcPr>
                <w:tcW w:w="2610" w:type="dxa"/>
                <w:tcBorders>
                  <w:top w:val="nil"/>
                  <w:bottom w:val="single" w:sz="4" w:space="0" w:color="D9D9D9"/>
                </w:tcBorders>
                <w:shd w:val="clear" w:color="auto" w:fill="F7F7F7"/>
                <w:vAlign w:val="center"/>
              </w:tcPr>
              <w:p w14:paraId="7E832EDC" w14:textId="77777777" w:rsidR="00586CD3" w:rsidRPr="00ED066B" w:rsidRDefault="00B00100" w:rsidP="00873D21">
                <w:pPr>
                  <w:ind w:right="90"/>
                  <w:rPr>
                    <w:rFonts w:asciiTheme="minorHAnsi" w:hAnsiTheme="minorHAnsi" w:cstheme="minorHAnsi"/>
                    <w:noProof/>
                    <w:sz w:val="22"/>
                    <w:szCs w:val="22"/>
                  </w:rPr>
                </w:pPr>
                <w:r w:rsidRPr="00ED066B">
                  <w:rPr>
                    <w:rFonts w:asciiTheme="minorHAnsi" w:hAnsiTheme="minorHAnsi" w:cstheme="minorHAnsi"/>
                    <w:noProof/>
                    <w:sz w:val="22"/>
                    <w:szCs w:val="22"/>
                  </w:rPr>
                  <w:t>Investment Project Financing</w:t>
                </w:r>
              </w:p>
            </w:tc>
            <w:tc>
              <w:tcPr>
                <w:tcW w:w="5670" w:type="dxa"/>
                <w:tcBorders>
                  <w:top w:val="nil"/>
                  <w:bottom w:val="single" w:sz="4" w:space="0" w:color="D9D9D9"/>
                  <w:right w:val="nil"/>
                </w:tcBorders>
                <w:shd w:val="clear" w:color="auto" w:fill="F7F7F7"/>
                <w:vAlign w:val="center"/>
              </w:tcPr>
              <w:p w14:paraId="09A9B5FF" w14:textId="77777777" w:rsidR="00586CD3" w:rsidRPr="00ED066B" w:rsidRDefault="00B00100" w:rsidP="00873D21">
                <w:pPr>
                  <w:ind w:right="90"/>
                  <w:rPr>
                    <w:rFonts w:asciiTheme="minorHAnsi" w:hAnsiTheme="minorHAnsi" w:cstheme="minorHAnsi"/>
                    <w:noProof/>
                    <w:sz w:val="22"/>
                    <w:szCs w:val="22"/>
                  </w:rPr>
                </w:pPr>
                <w:r>
                  <w:rPr>
                    <w:rFonts w:asciiTheme="minorHAnsi" w:hAnsiTheme="minorHAnsi"/>
                    <w:noProof/>
                    <w:sz w:val="22"/>
                    <w:szCs w:val="22"/>
                  </w:rPr>
                  <w:t>B-Partial Assessment</w:t>
                </w:r>
              </w:p>
            </w:tc>
          </w:tr>
        </w:tbl>
        <w:p w14:paraId="765D5284" w14:textId="77777777" w:rsidR="00586CD3" w:rsidRDefault="00586CD3" w:rsidP="00B816A4">
          <w:pPr>
            <w:shd w:val="clear" w:color="auto" w:fill="F7F7F7"/>
            <w:ind w:left="-691" w:right="29"/>
            <w:rPr>
              <w:rFonts w:asciiTheme="minorHAnsi" w:hAnsiTheme="minorHAnsi"/>
              <w:noProof/>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0C3959" w14:paraId="54E2ACA4" w14:textId="77777777" w:rsidTr="00B93C86">
            <w:trPr>
              <w:trHeight w:val="432"/>
            </w:trPr>
            <w:tc>
              <w:tcPr>
                <w:tcW w:w="5000" w:type="pct"/>
                <w:gridSpan w:val="3"/>
                <w:tcBorders>
                  <w:top w:val="nil"/>
                  <w:left w:val="nil"/>
                  <w:right w:val="nil"/>
                </w:tcBorders>
                <w:shd w:val="clear" w:color="auto" w:fill="F7F7F7"/>
              </w:tcPr>
              <w:p w14:paraId="75338783" w14:textId="77777777" w:rsidR="00B93C86" w:rsidRPr="00F90F34" w:rsidRDefault="00B00100" w:rsidP="00272DC8">
                <w:pPr>
                  <w:pStyle w:val="Normal15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0C3959" w14:paraId="6C97FD0C" w14:textId="77777777" w:rsidTr="00253068">
            <w:trPr>
              <w:trHeight w:val="432"/>
            </w:trPr>
            <w:tc>
              <w:tcPr>
                <w:tcW w:w="2458" w:type="pct"/>
                <w:gridSpan w:val="2"/>
                <w:tcBorders>
                  <w:left w:val="nil"/>
                </w:tcBorders>
                <w:shd w:val="clear" w:color="auto" w:fill="F7F7F7"/>
              </w:tcPr>
              <w:p w14:paraId="1705F9C1" w14:textId="28A889F9"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E67BC1" w:rsidRPr="00E67BC1">
                  <w:rPr>
                    <w:rFonts w:ascii="Calibri" w:hAnsi="Calibri"/>
                    <w:noProof/>
                    <w:sz w:val="22"/>
                    <w:szCs w:val="22"/>
                  </w:rPr>
                  <w:fldChar w:fldCharType="begin"/>
                </w:r>
                <w:r w:rsidR="00E67BC1" w:rsidRPr="00E67BC1">
                  <w:rPr>
                    <w:rFonts w:ascii="Calibri" w:hAnsi="Calibri"/>
                    <w:noProof/>
                    <w:sz w:val="22"/>
                    <w:szCs w:val="22"/>
                  </w:rPr>
                  <w:instrText xml:space="preserve"> IF </w:instrText>
                </w:r>
                <w:r w:rsidR="008518D0">
                  <w:rPr>
                    <w:rFonts w:ascii="Calibri" w:hAnsi="Calibri"/>
                    <w:noProof/>
                    <w:sz w:val="22"/>
                    <w:szCs w:val="22"/>
                  </w:rPr>
                  <w:instrText>N</w:instrText>
                </w:r>
                <w:r w:rsidR="00E67BC1" w:rsidRPr="00E67BC1">
                  <w:rPr>
                    <w:rFonts w:ascii="Calibri" w:hAnsi="Calibri"/>
                    <w:noProof/>
                    <w:sz w:val="22"/>
                    <w:szCs w:val="22"/>
                  </w:rPr>
                  <w:instrText xml:space="preserve"> ="Y" </w:instrText>
                </w:r>
                <w:r w:rsidR="00ED1773">
                  <w:rPr>
                    <w:rFonts w:ascii="Segoe UI Symbol" w:hAnsi="Segoe UI Symbol" w:cs="Segoe UI Symbol"/>
                    <w:b/>
                    <w:noProof/>
                    <w:sz w:val="22"/>
                    <w:szCs w:val="22"/>
                  </w:rPr>
                  <w:instrText>✓</w:instrText>
                </w:r>
                <w:r w:rsidR="00E67BC1" w:rsidRPr="00E67BC1">
                  <w:rPr>
                    <w:rFonts w:ascii="Calibri" w:hAnsi="Calibri"/>
                    <w:noProof/>
                    <w:sz w:val="22"/>
                    <w:szCs w:val="22"/>
                  </w:rPr>
                  <w:instrText xml:space="preserve"> "  "    \* MERGEFORMAT </w:instrText>
                </w:r>
                <w:r w:rsidR="00E67BC1" w:rsidRPr="00E67BC1">
                  <w:rPr>
                    <w:rFonts w:ascii="Calibri" w:hAnsi="Calibri"/>
                    <w:noProof/>
                    <w:sz w:val="22"/>
                    <w:szCs w:val="22"/>
                  </w:rPr>
                  <w:fldChar w:fldCharType="separate"/>
                </w:r>
                <w:r w:rsidR="00552983" w:rsidRPr="00E67BC1">
                  <w:rPr>
                    <w:rFonts w:ascii="Calibri" w:hAnsi="Calibri"/>
                    <w:noProof/>
                    <w:sz w:val="22"/>
                    <w:szCs w:val="22"/>
                  </w:rPr>
                  <w:t xml:space="preserve">  </w:t>
                </w:r>
                <w:r w:rsidR="00E67BC1"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763105"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5B4B2359" w14:textId="44787BEB"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B16379" w:rsidRPr="00B16379">
                  <w:rPr>
                    <w:rFonts w:ascii="Calibri" w:hAnsi="Calibri"/>
                    <w:noProof/>
                    <w:sz w:val="22"/>
                    <w:szCs w:val="22"/>
                  </w:rPr>
                  <w:fldChar w:fldCharType="begin"/>
                </w:r>
                <w:r w:rsidR="00B16379" w:rsidRPr="00B16379">
                  <w:rPr>
                    <w:rFonts w:ascii="Calibri" w:hAnsi="Calibri"/>
                    <w:noProof/>
                    <w:sz w:val="22"/>
                    <w:szCs w:val="22"/>
                  </w:rPr>
                  <w:instrText xml:space="preserve"> IF </w:instrText>
                </w:r>
                <w:r w:rsidR="00B70488">
                  <w:rPr>
                    <w:rFonts w:ascii="Calibri" w:hAnsi="Calibri"/>
                    <w:noProof/>
                    <w:sz w:val="22"/>
                    <w:szCs w:val="22"/>
                  </w:rPr>
                  <w:instrText>""</w:instrText>
                </w:r>
                <w:r w:rsidR="00B16379" w:rsidRPr="00B16379">
                  <w:rPr>
                    <w:rFonts w:ascii="Calibri" w:hAnsi="Calibri"/>
                    <w:noProof/>
                    <w:sz w:val="22"/>
                    <w:szCs w:val="22"/>
                  </w:rPr>
                  <w:instrText xml:space="preserve"> ="Y" </w:instrText>
                </w:r>
                <w:r w:rsidR="00B16379">
                  <w:rPr>
                    <w:rFonts w:ascii="Segoe UI Symbol" w:hAnsi="Segoe UI Symbol"/>
                    <w:b/>
                    <w:noProof/>
                    <w:sz w:val="22"/>
                    <w:szCs w:val="22"/>
                  </w:rPr>
                  <w:instrText>✓</w:instrText>
                </w:r>
                <w:r w:rsidR="00B16379" w:rsidRPr="00B16379">
                  <w:rPr>
                    <w:rFonts w:ascii="Calibri" w:hAnsi="Calibri"/>
                    <w:noProof/>
                    <w:sz w:val="22"/>
                    <w:szCs w:val="22"/>
                  </w:rPr>
                  <w:instrText xml:space="preserve"> "  "    \* MERGEFORMAT </w:instrText>
                </w:r>
                <w:r w:rsidR="00B16379" w:rsidRPr="00B16379">
                  <w:rPr>
                    <w:rFonts w:ascii="Calibri" w:hAnsi="Calibri"/>
                    <w:noProof/>
                    <w:sz w:val="22"/>
                    <w:szCs w:val="22"/>
                  </w:rPr>
                  <w:fldChar w:fldCharType="separate"/>
                </w:r>
                <w:r w:rsidR="00552983" w:rsidRPr="00B16379">
                  <w:rPr>
                    <w:rFonts w:ascii="Calibri" w:hAnsi="Calibri"/>
                    <w:noProof/>
                    <w:sz w:val="22"/>
                    <w:szCs w:val="22"/>
                  </w:rPr>
                  <w:t xml:space="preserve">  </w:t>
                </w:r>
                <w:r w:rsidR="00B16379"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0C3959" w14:paraId="7E145A68" w14:textId="77777777" w:rsidTr="00253068">
            <w:trPr>
              <w:trHeight w:val="432"/>
            </w:trPr>
            <w:tc>
              <w:tcPr>
                <w:tcW w:w="2458" w:type="pct"/>
                <w:gridSpan w:val="2"/>
                <w:tcBorders>
                  <w:left w:val="nil"/>
                </w:tcBorders>
                <w:shd w:val="clear" w:color="auto" w:fill="F7F7F7"/>
              </w:tcPr>
              <w:p w14:paraId="1DD3AEE5" w14:textId="104C1EED"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F473AD" w:rsidRPr="00F473AD">
                  <w:rPr>
                    <w:rFonts w:ascii="Calibri" w:hAnsi="Calibri"/>
                    <w:noProof/>
                    <w:sz w:val="22"/>
                    <w:szCs w:val="22"/>
                  </w:rPr>
                  <w:fldChar w:fldCharType="begin"/>
                </w:r>
                <w:r w:rsidR="00F473AD" w:rsidRPr="00F473AD">
                  <w:rPr>
                    <w:rFonts w:ascii="Calibri" w:hAnsi="Calibri"/>
                    <w:noProof/>
                    <w:sz w:val="22"/>
                    <w:szCs w:val="22"/>
                  </w:rPr>
                  <w:instrText xml:space="preserve"> IF </w:instrText>
                </w:r>
                <w:r w:rsidR="005D1FD6">
                  <w:rPr>
                    <w:rFonts w:ascii="Calibri" w:hAnsi="Calibri"/>
                    <w:noProof/>
                    <w:sz w:val="22"/>
                    <w:szCs w:val="22"/>
                  </w:rPr>
                  <w:instrText>""</w:instrText>
                </w:r>
                <w:r w:rsidR="00F473AD" w:rsidRPr="00F473AD">
                  <w:rPr>
                    <w:rFonts w:ascii="Calibri" w:hAnsi="Calibri"/>
                    <w:noProof/>
                    <w:sz w:val="22"/>
                    <w:szCs w:val="22"/>
                  </w:rPr>
                  <w:instrText xml:space="preserve"> ="Y" </w:instrText>
                </w:r>
                <w:r w:rsidR="00F473AD">
                  <w:rPr>
                    <w:rFonts w:ascii="Segoe UI Symbol" w:hAnsi="Segoe UI Symbol" w:cs="Segoe UI Symbol"/>
                    <w:b/>
                    <w:noProof/>
                    <w:sz w:val="22"/>
                    <w:szCs w:val="22"/>
                  </w:rPr>
                  <w:instrText>✓</w:instrText>
                </w:r>
                <w:r w:rsidR="00F473AD" w:rsidRPr="00F473AD">
                  <w:rPr>
                    <w:rFonts w:ascii="Calibri" w:hAnsi="Calibri"/>
                    <w:noProof/>
                    <w:sz w:val="22"/>
                    <w:szCs w:val="22"/>
                  </w:rPr>
                  <w:instrText xml:space="preserve"> "  "    \* MERGEFORMAT </w:instrText>
                </w:r>
                <w:r w:rsidR="00F473AD" w:rsidRPr="00F473AD">
                  <w:rPr>
                    <w:rFonts w:ascii="Calibri" w:hAnsi="Calibri"/>
                    <w:noProof/>
                    <w:sz w:val="22"/>
                    <w:szCs w:val="22"/>
                  </w:rPr>
                  <w:fldChar w:fldCharType="separate"/>
                </w:r>
                <w:r w:rsidR="00552983" w:rsidRPr="00F473AD">
                  <w:rPr>
                    <w:rFonts w:ascii="Calibri" w:hAnsi="Calibri"/>
                    <w:noProof/>
                    <w:sz w:val="22"/>
                    <w:szCs w:val="22"/>
                  </w:rPr>
                  <w:t xml:space="preserve">  </w:t>
                </w:r>
                <w:r w:rsidR="00F473AD"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5CE952A5" w14:textId="3317C3D7"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4B3D9D" w:rsidRPr="004B3D9D">
                  <w:rPr>
                    <w:rFonts w:ascii="Calibri" w:hAnsi="Calibri"/>
                    <w:noProof/>
                    <w:sz w:val="22"/>
                    <w:szCs w:val="22"/>
                  </w:rPr>
                  <w:fldChar w:fldCharType="begin"/>
                </w:r>
                <w:r w:rsidR="004B3D9D" w:rsidRPr="004B3D9D">
                  <w:rPr>
                    <w:rFonts w:ascii="Calibri" w:hAnsi="Calibri"/>
                    <w:noProof/>
                    <w:sz w:val="22"/>
                    <w:szCs w:val="22"/>
                  </w:rPr>
                  <w:instrText xml:space="preserve"> IF </w:instrText>
                </w:r>
                <w:r w:rsidR="00B70488">
                  <w:rPr>
                    <w:rFonts w:ascii="Calibri" w:hAnsi="Calibri"/>
                    <w:noProof/>
                    <w:sz w:val="22"/>
                    <w:szCs w:val="22"/>
                  </w:rPr>
                  <w:instrText>Y</w:instrText>
                </w:r>
                <w:r w:rsidR="004B3D9D" w:rsidRPr="004B3D9D">
                  <w:rPr>
                    <w:rFonts w:ascii="Calibri" w:hAnsi="Calibri"/>
                    <w:noProof/>
                    <w:sz w:val="22"/>
                    <w:szCs w:val="22"/>
                  </w:rPr>
                  <w:instrText xml:space="preserve"> ="Y" </w:instrText>
                </w:r>
                <w:r w:rsidR="004B3D9D">
                  <w:rPr>
                    <w:rFonts w:ascii="Segoe UI Symbol" w:hAnsi="Segoe UI Symbol" w:cs="Segoe UI Symbol"/>
                    <w:b/>
                    <w:noProof/>
                    <w:sz w:val="22"/>
                    <w:szCs w:val="22"/>
                  </w:rPr>
                  <w:instrText>✓</w:instrText>
                </w:r>
                <w:r w:rsidR="004B3D9D" w:rsidRPr="004B3D9D">
                  <w:rPr>
                    <w:rFonts w:ascii="Calibri" w:hAnsi="Calibri"/>
                    <w:noProof/>
                    <w:sz w:val="22"/>
                    <w:szCs w:val="22"/>
                  </w:rPr>
                  <w:instrText xml:space="preserve"> "  "    \* MERGEFORMAT </w:instrText>
                </w:r>
                <w:r w:rsidR="004B3D9D" w:rsidRPr="004B3D9D">
                  <w:rPr>
                    <w:rFonts w:ascii="Calibri" w:hAnsi="Calibri"/>
                    <w:noProof/>
                    <w:sz w:val="22"/>
                    <w:szCs w:val="22"/>
                  </w:rPr>
                  <w:fldChar w:fldCharType="separate"/>
                </w:r>
                <w:r w:rsidR="00552983" w:rsidRPr="00552983">
                  <w:rPr>
                    <w:rFonts w:ascii="Segoe UI Symbol" w:hAnsi="Segoe UI Symbol" w:cs="Segoe UI Symbol"/>
                    <w:noProof/>
                    <w:sz w:val="22"/>
                    <w:szCs w:val="22"/>
                  </w:rPr>
                  <w:t>✓</w:t>
                </w:r>
                <w:r w:rsidR="004B3D9D" w:rsidRPr="004B3D9D">
                  <w:rPr>
                    <w:rFonts w:ascii="Calibri" w:hAnsi="Calibri"/>
                    <w:noProof/>
                    <w:sz w:val="22"/>
                    <w:szCs w:val="22"/>
                  </w:rPr>
                  <w:fldChar w:fldCharType="end"/>
                </w:r>
                <w:r w:rsidRPr="00F90F34">
                  <w:rPr>
                    <w:rFonts w:ascii="Calibri" w:hAnsi="Calibri"/>
                    <w:noProof/>
                    <w:sz w:val="22"/>
                    <w:szCs w:val="22"/>
                  </w:rPr>
                  <w:t>] Fragile State(s)</w:t>
                </w:r>
              </w:p>
            </w:tc>
          </w:tr>
          <w:tr w:rsidR="000C3959" w14:paraId="4D481754" w14:textId="77777777" w:rsidTr="00253068">
            <w:trPr>
              <w:trHeight w:val="432"/>
            </w:trPr>
            <w:tc>
              <w:tcPr>
                <w:tcW w:w="2458" w:type="pct"/>
                <w:gridSpan w:val="2"/>
                <w:tcBorders>
                  <w:left w:val="nil"/>
                </w:tcBorders>
                <w:shd w:val="clear" w:color="auto" w:fill="F7F7F7"/>
              </w:tcPr>
              <w:p w14:paraId="6DDD3925" w14:textId="14762BC7" w:rsidR="00B93C86" w:rsidRPr="00F90F34" w:rsidRDefault="00B00100" w:rsidP="00272DC8">
                <w:pPr>
                  <w:pStyle w:val="Normal159"/>
                  <w:spacing w:before="60"/>
                  <w:rPr>
                    <w:rFonts w:ascii="Calibri" w:hAnsi="Calibri"/>
                    <w:b/>
                    <w:sz w:val="22"/>
                    <w:szCs w:val="22"/>
                  </w:rPr>
                </w:pPr>
                <w:r w:rsidRPr="00F90F34">
                  <w:rPr>
                    <w:rFonts w:ascii="Calibri" w:hAnsi="Calibri"/>
                    <w:sz w:val="22"/>
                    <w:szCs w:val="22"/>
                  </w:rPr>
                  <w:t>[</w:t>
                </w:r>
                <w:r w:rsidR="00CF42DA" w:rsidRPr="00CF42DA">
                  <w:rPr>
                    <w:rFonts w:ascii="Calibri" w:hAnsi="Calibri"/>
                    <w:sz w:val="22"/>
                    <w:szCs w:val="22"/>
                  </w:rPr>
                  <w:fldChar w:fldCharType="begin"/>
                </w:r>
                <w:r w:rsidR="00CF42DA" w:rsidRPr="00CF42DA">
                  <w:rPr>
                    <w:rFonts w:ascii="Calibri" w:hAnsi="Calibri"/>
                    <w:sz w:val="22"/>
                    <w:szCs w:val="22"/>
                  </w:rPr>
                  <w:instrText xml:space="preserve"> IF </w:instrText>
                </w:r>
                <w:r w:rsidR="005D1FD6">
                  <w:rPr>
                    <w:rFonts w:ascii="Calibri" w:hAnsi="Calibri"/>
                    <w:noProof/>
                    <w:sz w:val="22"/>
                    <w:szCs w:val="22"/>
                  </w:rPr>
                  <w:instrText>Y</w:instrText>
                </w:r>
                <w:r w:rsidR="00CF42DA" w:rsidRPr="00CF42DA">
                  <w:rPr>
                    <w:rFonts w:ascii="Calibri" w:hAnsi="Calibri"/>
                    <w:sz w:val="22"/>
                    <w:szCs w:val="22"/>
                  </w:rPr>
                  <w:instrText xml:space="preserve"> ="Y" </w:instrText>
                </w:r>
                <w:r w:rsidR="00CF42DA">
                  <w:rPr>
                    <w:rFonts w:ascii="Segoe UI Symbol" w:hAnsi="Segoe UI Symbol" w:cs="Segoe UI Symbol"/>
                    <w:b/>
                    <w:sz w:val="22"/>
                    <w:szCs w:val="22"/>
                  </w:rPr>
                  <w:instrText>✓</w:instrText>
                </w:r>
                <w:r w:rsidR="00CF42DA" w:rsidRPr="00CF42DA">
                  <w:rPr>
                    <w:rFonts w:ascii="Calibri" w:hAnsi="Calibri"/>
                    <w:sz w:val="22"/>
                    <w:szCs w:val="22"/>
                  </w:rPr>
                  <w:instrText xml:space="preserve"> "  "    \* MERGEFORMAT </w:instrText>
                </w:r>
                <w:r w:rsidR="00CF42DA" w:rsidRPr="00CF42DA">
                  <w:rPr>
                    <w:rFonts w:ascii="Calibri" w:hAnsi="Calibri"/>
                    <w:sz w:val="22"/>
                    <w:szCs w:val="22"/>
                  </w:rPr>
                  <w:fldChar w:fldCharType="separate"/>
                </w:r>
                <w:r w:rsidR="00552983" w:rsidRPr="00552983">
                  <w:rPr>
                    <w:rFonts w:ascii="Segoe UI Symbol" w:hAnsi="Segoe UI Symbol" w:cs="Segoe UI Symbol"/>
                    <w:noProof/>
                    <w:sz w:val="22"/>
                    <w:szCs w:val="22"/>
                  </w:rPr>
                  <w:t>✓</w:t>
                </w:r>
                <w:r w:rsidR="00CF42DA" w:rsidRPr="00CF42DA">
                  <w:rPr>
                    <w:rFonts w:ascii="Calibri" w:hAnsi="Calibri"/>
                    <w:sz w:val="22"/>
                    <w:szCs w:val="22"/>
                  </w:rPr>
                  <w:fldChar w:fldCharType="end"/>
                </w:r>
                <w:r w:rsidRPr="00F90F34">
                  <w:rPr>
                    <w:rFonts w:ascii="Calibri" w:hAnsi="Calibri"/>
                    <w:sz w:val="22"/>
                    <w:szCs w:val="22"/>
                  </w:rPr>
                  <w:t xml:space="preserve">] </w:t>
                </w:r>
                <w:r w:rsidR="0017663E">
                  <w:rPr>
                    <w:rFonts w:ascii="Calibri" w:hAnsi="Calibri"/>
                    <w:noProof/>
                    <w:sz w:val="22"/>
                    <w:szCs w:val="22"/>
                  </w:rPr>
                  <w:t>Disbursement-l</w:t>
                </w:r>
                <w:r w:rsidRPr="00F90F34">
                  <w:rPr>
                    <w:rFonts w:ascii="Calibri" w:hAnsi="Calibri"/>
                    <w:noProof/>
                    <w:sz w:val="22"/>
                    <w:szCs w:val="22"/>
                  </w:rPr>
                  <w:t>inked Indicators (DLIs)</w:t>
                </w:r>
              </w:p>
            </w:tc>
            <w:tc>
              <w:tcPr>
                <w:tcW w:w="2542" w:type="pct"/>
                <w:tcBorders>
                  <w:right w:val="nil"/>
                </w:tcBorders>
                <w:shd w:val="clear" w:color="auto" w:fill="F7F7F7"/>
              </w:tcPr>
              <w:p w14:paraId="5AE639E6" w14:textId="2DB072F4"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327072" w:rsidRPr="00327072">
                  <w:rPr>
                    <w:rFonts w:ascii="Calibri" w:hAnsi="Calibri"/>
                    <w:noProof/>
                    <w:sz w:val="22"/>
                    <w:szCs w:val="22"/>
                  </w:rPr>
                  <w:fldChar w:fldCharType="begin"/>
                </w:r>
                <w:r w:rsidR="00327072" w:rsidRPr="00327072">
                  <w:rPr>
                    <w:rFonts w:ascii="Calibri" w:hAnsi="Calibri"/>
                    <w:noProof/>
                    <w:sz w:val="22"/>
                    <w:szCs w:val="22"/>
                  </w:rPr>
                  <w:instrText xml:space="preserve"> IF </w:instrText>
                </w:r>
                <w:r w:rsidR="00B70488">
                  <w:rPr>
                    <w:rFonts w:ascii="Calibri" w:hAnsi="Calibri"/>
                    <w:noProof/>
                    <w:sz w:val="22"/>
                    <w:szCs w:val="22"/>
                  </w:rPr>
                  <w:instrText>""</w:instrText>
                </w:r>
                <w:r w:rsidR="00327072" w:rsidRPr="00327072">
                  <w:rPr>
                    <w:rFonts w:ascii="Calibri" w:hAnsi="Calibri"/>
                    <w:noProof/>
                    <w:sz w:val="22"/>
                    <w:szCs w:val="22"/>
                  </w:rPr>
                  <w:instrText xml:space="preserve"> ="Y" </w:instrText>
                </w:r>
                <w:r w:rsidR="00327072">
                  <w:rPr>
                    <w:rFonts w:ascii="Segoe UI Symbol" w:hAnsi="Segoe UI Symbol" w:cs="Segoe UI Symbol"/>
                    <w:b/>
                    <w:noProof/>
                    <w:sz w:val="22"/>
                    <w:szCs w:val="22"/>
                  </w:rPr>
                  <w:instrText>✓</w:instrText>
                </w:r>
                <w:r w:rsidR="00327072" w:rsidRPr="00327072">
                  <w:rPr>
                    <w:rFonts w:ascii="Calibri" w:hAnsi="Calibri"/>
                    <w:noProof/>
                    <w:sz w:val="22"/>
                    <w:szCs w:val="22"/>
                  </w:rPr>
                  <w:instrText xml:space="preserve"> "  "    \* MERGEFORMAT </w:instrText>
                </w:r>
                <w:r w:rsidR="00327072" w:rsidRPr="00327072">
                  <w:rPr>
                    <w:rFonts w:ascii="Calibri" w:hAnsi="Calibri"/>
                    <w:noProof/>
                    <w:sz w:val="22"/>
                    <w:szCs w:val="22"/>
                  </w:rPr>
                  <w:fldChar w:fldCharType="separate"/>
                </w:r>
                <w:r w:rsidR="00552983" w:rsidRPr="00327072">
                  <w:rPr>
                    <w:rFonts w:ascii="Calibri" w:hAnsi="Calibri"/>
                    <w:noProof/>
                    <w:sz w:val="22"/>
                    <w:szCs w:val="22"/>
                  </w:rPr>
                  <w:t xml:space="preserve">  </w:t>
                </w:r>
                <w:r w:rsidR="00327072"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0C3959" w14:paraId="08321167" w14:textId="77777777" w:rsidTr="00253068">
            <w:trPr>
              <w:trHeight w:val="432"/>
            </w:trPr>
            <w:tc>
              <w:tcPr>
                <w:tcW w:w="2458" w:type="pct"/>
                <w:gridSpan w:val="2"/>
                <w:tcBorders>
                  <w:left w:val="nil"/>
                </w:tcBorders>
                <w:shd w:val="clear" w:color="auto" w:fill="F7F7F7"/>
              </w:tcPr>
              <w:p w14:paraId="61B3C522" w14:textId="0211FAE0" w:rsidR="00B93C86" w:rsidRPr="00F90F34" w:rsidRDefault="00B00100" w:rsidP="00272DC8">
                <w:pPr>
                  <w:pStyle w:val="Normal159"/>
                  <w:spacing w:before="60"/>
                  <w:rPr>
                    <w:rFonts w:ascii="Calibri" w:hAnsi="Calibri"/>
                    <w:b/>
                    <w:sz w:val="22"/>
                    <w:szCs w:val="22"/>
                  </w:rPr>
                </w:pPr>
                <w:r w:rsidRPr="00F90F34">
                  <w:rPr>
                    <w:rFonts w:ascii="Calibri" w:hAnsi="Calibri"/>
                    <w:sz w:val="22"/>
                    <w:szCs w:val="22"/>
                  </w:rPr>
                  <w:t>[</w:t>
                </w:r>
                <w:r w:rsidR="00556526" w:rsidRPr="00556526">
                  <w:rPr>
                    <w:rFonts w:ascii="Calibri" w:hAnsi="Calibri"/>
                    <w:sz w:val="22"/>
                    <w:szCs w:val="22"/>
                  </w:rPr>
                  <w:fldChar w:fldCharType="begin"/>
                </w:r>
                <w:r w:rsidR="00556526" w:rsidRPr="00556526">
                  <w:rPr>
                    <w:rFonts w:ascii="Calibri" w:hAnsi="Calibri"/>
                    <w:sz w:val="22"/>
                    <w:szCs w:val="22"/>
                  </w:rPr>
                  <w:instrText xml:space="preserve"> IF </w:instrText>
                </w:r>
                <w:r w:rsidR="000A01B8">
                  <w:rPr>
                    <w:rFonts w:ascii="Calibri" w:hAnsi="Calibri"/>
                    <w:sz w:val="22"/>
                    <w:szCs w:val="22"/>
                  </w:rPr>
                  <w:instrText>""</w:instrText>
                </w:r>
                <w:r w:rsidR="00556526" w:rsidRPr="00556526">
                  <w:rPr>
                    <w:rFonts w:ascii="Calibri" w:hAnsi="Calibri"/>
                    <w:sz w:val="22"/>
                    <w:szCs w:val="22"/>
                  </w:rPr>
                  <w:instrText xml:space="preserve"> ="Y" </w:instrText>
                </w:r>
                <w:r w:rsidR="00556526">
                  <w:rPr>
                    <w:rFonts w:ascii="Segoe UI Symbol" w:hAnsi="Segoe UI Symbol" w:cs="Segoe UI Symbol"/>
                    <w:b/>
                    <w:sz w:val="22"/>
                    <w:szCs w:val="22"/>
                  </w:rPr>
                  <w:instrText>✓</w:instrText>
                </w:r>
                <w:r w:rsidR="00556526" w:rsidRPr="00556526">
                  <w:rPr>
                    <w:rFonts w:ascii="Calibri" w:hAnsi="Calibri"/>
                    <w:sz w:val="22"/>
                    <w:szCs w:val="22"/>
                  </w:rPr>
                  <w:instrText xml:space="preserve"> "  "    \* MERGEFORMAT </w:instrText>
                </w:r>
                <w:r w:rsidR="00556526" w:rsidRPr="00556526">
                  <w:rPr>
                    <w:rFonts w:ascii="Calibri" w:hAnsi="Calibri"/>
                    <w:sz w:val="22"/>
                    <w:szCs w:val="22"/>
                  </w:rPr>
                  <w:fldChar w:fldCharType="separate"/>
                </w:r>
                <w:r w:rsidR="00552983" w:rsidRPr="00556526">
                  <w:rPr>
                    <w:rFonts w:ascii="Calibri" w:hAnsi="Calibri"/>
                    <w:noProof/>
                    <w:sz w:val="22"/>
                    <w:szCs w:val="22"/>
                  </w:rPr>
                  <w:t xml:space="preserve">  </w:t>
                </w:r>
                <w:r w:rsidR="00556526"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489E9E77" w14:textId="6F443E95"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ED518D" w:rsidRPr="00ED518D">
                  <w:rPr>
                    <w:rFonts w:ascii="Calibri" w:hAnsi="Calibri"/>
                    <w:noProof/>
                    <w:sz w:val="22"/>
                    <w:szCs w:val="22"/>
                  </w:rPr>
                  <w:fldChar w:fldCharType="begin"/>
                </w:r>
                <w:r w:rsidR="00ED518D" w:rsidRPr="00ED518D">
                  <w:rPr>
                    <w:rFonts w:ascii="Calibri" w:hAnsi="Calibri"/>
                    <w:noProof/>
                    <w:sz w:val="22"/>
                    <w:szCs w:val="22"/>
                  </w:rPr>
                  <w:instrText xml:space="preserve"> IF </w:instrText>
                </w:r>
                <w:r w:rsidR="00B70488">
                  <w:rPr>
                    <w:rFonts w:ascii="Calibri" w:hAnsi="Calibri"/>
                    <w:noProof/>
                    <w:sz w:val="22"/>
                    <w:szCs w:val="22"/>
                  </w:rPr>
                  <w:instrText>""</w:instrText>
                </w:r>
                <w:r w:rsidR="00ED518D" w:rsidRPr="00ED518D">
                  <w:rPr>
                    <w:rFonts w:ascii="Calibri" w:hAnsi="Calibri"/>
                    <w:noProof/>
                    <w:sz w:val="22"/>
                    <w:szCs w:val="22"/>
                  </w:rPr>
                  <w:instrText xml:space="preserve"> ="Y" </w:instrText>
                </w:r>
                <w:r w:rsidR="00ED518D">
                  <w:rPr>
                    <w:rFonts w:ascii="Segoe UI Symbol" w:hAnsi="Segoe UI Symbol" w:cs="Segoe UI Symbol"/>
                    <w:b/>
                    <w:noProof/>
                    <w:sz w:val="22"/>
                    <w:szCs w:val="22"/>
                  </w:rPr>
                  <w:instrText>✓</w:instrText>
                </w:r>
                <w:r w:rsidR="00ED518D" w:rsidRPr="00ED518D">
                  <w:rPr>
                    <w:rFonts w:ascii="Calibri" w:hAnsi="Calibri"/>
                    <w:noProof/>
                    <w:sz w:val="22"/>
                    <w:szCs w:val="22"/>
                  </w:rPr>
                  <w:instrText xml:space="preserve"> "  "    \* MERGEFORMAT </w:instrText>
                </w:r>
                <w:r w:rsidR="00ED518D" w:rsidRPr="00ED518D">
                  <w:rPr>
                    <w:rFonts w:ascii="Calibri" w:hAnsi="Calibri"/>
                    <w:noProof/>
                    <w:sz w:val="22"/>
                    <w:szCs w:val="22"/>
                  </w:rPr>
                  <w:fldChar w:fldCharType="separate"/>
                </w:r>
                <w:r w:rsidR="00552983" w:rsidRPr="00ED518D">
                  <w:rPr>
                    <w:rFonts w:ascii="Calibri" w:hAnsi="Calibri"/>
                    <w:noProof/>
                    <w:sz w:val="22"/>
                    <w:szCs w:val="22"/>
                  </w:rPr>
                  <w:t xml:space="preserve">  </w:t>
                </w:r>
                <w:r w:rsidR="00ED518D" w:rsidRPr="00ED518D">
                  <w:rPr>
                    <w:rFonts w:ascii="Calibri" w:hAnsi="Calibri"/>
                    <w:noProof/>
                    <w:sz w:val="22"/>
                    <w:szCs w:val="22"/>
                  </w:rPr>
                  <w:fldChar w:fldCharType="end"/>
                </w:r>
                <w:r w:rsidRPr="00F90F34">
                  <w:rPr>
                    <w:rFonts w:ascii="Calibri" w:hAnsi="Calibri"/>
                    <w:noProof/>
                    <w:sz w:val="22"/>
                    <w:szCs w:val="22"/>
                  </w:rPr>
                  <w:t xml:space="preserve">] Fragile within a </w:t>
                </w:r>
                <w:r w:rsidR="0017663E">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0C3959" w14:paraId="33D85B04" w14:textId="77777777" w:rsidTr="009162F2">
            <w:trPr>
              <w:trHeight w:val="432"/>
            </w:trPr>
            <w:tc>
              <w:tcPr>
                <w:tcW w:w="2458" w:type="pct"/>
                <w:gridSpan w:val="2"/>
                <w:tcBorders>
                  <w:left w:val="nil"/>
                </w:tcBorders>
                <w:shd w:val="clear" w:color="auto" w:fill="F7F7F7"/>
                <w:vAlign w:val="center"/>
              </w:tcPr>
              <w:p w14:paraId="03D24B8D" w14:textId="541B5FB6" w:rsidR="00B93C86" w:rsidRPr="00F90F34" w:rsidRDefault="00B00100" w:rsidP="009162F2">
                <w:pPr>
                  <w:pStyle w:val="Normal159"/>
                  <w:rPr>
                    <w:rFonts w:ascii="Calibri" w:hAnsi="Calibri"/>
                    <w:b/>
                    <w:sz w:val="22"/>
                    <w:szCs w:val="22"/>
                  </w:rPr>
                </w:pPr>
                <w:r w:rsidRPr="00F90F34">
                  <w:rPr>
                    <w:rFonts w:ascii="Calibri" w:hAnsi="Calibri"/>
                    <w:sz w:val="22"/>
                    <w:szCs w:val="22"/>
                  </w:rPr>
                  <w:t>[</w:t>
                </w:r>
                <w:r w:rsidR="008D5E8F" w:rsidRPr="008D5E8F">
                  <w:rPr>
                    <w:rFonts w:ascii="Calibri" w:hAnsi="Calibri"/>
                    <w:sz w:val="22"/>
                    <w:szCs w:val="22"/>
                  </w:rPr>
                  <w:fldChar w:fldCharType="begin"/>
                </w:r>
                <w:r w:rsidR="008D5E8F" w:rsidRPr="008D5E8F">
                  <w:rPr>
                    <w:rFonts w:ascii="Calibri" w:hAnsi="Calibri"/>
                    <w:sz w:val="22"/>
                    <w:szCs w:val="22"/>
                  </w:rPr>
                  <w:instrText xml:space="preserve"> IF </w:instrText>
                </w:r>
                <w:r w:rsidR="000A01B8">
                  <w:rPr>
                    <w:rFonts w:ascii="Calibri" w:hAnsi="Calibri"/>
                    <w:sz w:val="22"/>
                    <w:szCs w:val="22"/>
                  </w:rPr>
                  <w:instrText>""</w:instrText>
                </w:r>
                <w:r w:rsidR="008D5E8F" w:rsidRPr="008D5E8F">
                  <w:rPr>
                    <w:rFonts w:ascii="Calibri" w:hAnsi="Calibri"/>
                    <w:sz w:val="22"/>
                    <w:szCs w:val="22"/>
                  </w:rPr>
                  <w:instrText xml:space="preserve"> ="Y" </w:instrText>
                </w:r>
                <w:r w:rsidR="008D5E8F">
                  <w:rPr>
                    <w:rFonts w:ascii="Segoe UI Symbol" w:hAnsi="Segoe UI Symbol" w:cs="Segoe UI Symbol"/>
                    <w:b/>
                    <w:sz w:val="22"/>
                    <w:szCs w:val="22"/>
                  </w:rPr>
                  <w:instrText>✓</w:instrText>
                </w:r>
                <w:r w:rsidR="008D5E8F" w:rsidRPr="008D5E8F">
                  <w:rPr>
                    <w:rFonts w:ascii="Calibri" w:hAnsi="Calibri"/>
                    <w:sz w:val="22"/>
                    <w:szCs w:val="22"/>
                  </w:rPr>
                  <w:instrText xml:space="preserve"> "  "    \* MERGEFORMAT </w:instrText>
                </w:r>
                <w:r w:rsidR="008D5E8F" w:rsidRPr="008D5E8F">
                  <w:rPr>
                    <w:rFonts w:ascii="Calibri" w:hAnsi="Calibri"/>
                    <w:sz w:val="22"/>
                    <w:szCs w:val="22"/>
                  </w:rPr>
                  <w:fldChar w:fldCharType="separate"/>
                </w:r>
                <w:r w:rsidR="00552983" w:rsidRPr="008D5E8F">
                  <w:rPr>
                    <w:rFonts w:ascii="Calibri" w:hAnsi="Calibri"/>
                    <w:noProof/>
                    <w:sz w:val="22"/>
                    <w:szCs w:val="22"/>
                  </w:rPr>
                  <w:t xml:space="preserve">  </w:t>
                </w:r>
                <w:r w:rsidR="008D5E8F"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35A91D5D" w14:textId="2267FA26"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A20667" w:rsidRPr="00A20667">
                  <w:rPr>
                    <w:rFonts w:ascii="Calibri" w:hAnsi="Calibri"/>
                    <w:noProof/>
                    <w:sz w:val="22"/>
                    <w:szCs w:val="22"/>
                  </w:rPr>
                  <w:fldChar w:fldCharType="begin"/>
                </w:r>
                <w:r w:rsidR="00A20667" w:rsidRPr="00A20667">
                  <w:rPr>
                    <w:rFonts w:ascii="Calibri" w:hAnsi="Calibri"/>
                    <w:noProof/>
                    <w:sz w:val="22"/>
                    <w:szCs w:val="22"/>
                  </w:rPr>
                  <w:instrText xml:space="preserve"> IF </w:instrText>
                </w:r>
                <w:r w:rsidR="00B70488">
                  <w:rPr>
                    <w:rFonts w:ascii="Calibri" w:hAnsi="Calibri"/>
                    <w:noProof/>
                    <w:sz w:val="22"/>
                    <w:szCs w:val="22"/>
                  </w:rPr>
                  <w:instrText>""</w:instrText>
                </w:r>
                <w:r w:rsidR="00A20667" w:rsidRPr="00A20667">
                  <w:rPr>
                    <w:rFonts w:ascii="Calibri" w:hAnsi="Calibri"/>
                    <w:noProof/>
                    <w:sz w:val="22"/>
                    <w:szCs w:val="22"/>
                  </w:rPr>
                  <w:instrText xml:space="preserve"> ="Y" </w:instrText>
                </w:r>
                <w:r w:rsidR="00A20667">
                  <w:rPr>
                    <w:rFonts w:ascii="Segoe UI Symbol" w:hAnsi="Segoe UI Symbol" w:cs="Segoe UI Symbol"/>
                    <w:b/>
                    <w:noProof/>
                    <w:sz w:val="22"/>
                    <w:szCs w:val="22"/>
                  </w:rPr>
                  <w:instrText>✓</w:instrText>
                </w:r>
                <w:r w:rsidR="00A20667" w:rsidRPr="00A20667">
                  <w:rPr>
                    <w:rFonts w:ascii="Calibri" w:hAnsi="Calibri"/>
                    <w:noProof/>
                    <w:sz w:val="22"/>
                    <w:szCs w:val="22"/>
                  </w:rPr>
                  <w:instrText xml:space="preserve"> "  "    \* MERGEFORMAT </w:instrText>
                </w:r>
                <w:r w:rsidR="00A20667" w:rsidRPr="00A20667">
                  <w:rPr>
                    <w:rFonts w:ascii="Calibri" w:hAnsi="Calibri"/>
                    <w:noProof/>
                    <w:sz w:val="22"/>
                    <w:szCs w:val="22"/>
                  </w:rPr>
                  <w:fldChar w:fldCharType="separate"/>
                </w:r>
                <w:r w:rsidR="00552983" w:rsidRPr="00A20667">
                  <w:rPr>
                    <w:rFonts w:ascii="Calibri" w:hAnsi="Calibri"/>
                    <w:noProof/>
                    <w:sz w:val="22"/>
                    <w:szCs w:val="22"/>
                  </w:rPr>
                  <w:t xml:space="preserve">  </w:t>
                </w:r>
                <w:r w:rsidR="00A20667"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0C3959" w14:paraId="6536EF6F" w14:textId="77777777" w:rsidTr="00253068">
            <w:trPr>
              <w:trHeight w:val="432"/>
            </w:trPr>
            <w:tc>
              <w:tcPr>
                <w:tcW w:w="2458" w:type="pct"/>
                <w:gridSpan w:val="2"/>
                <w:tcBorders>
                  <w:left w:val="nil"/>
                </w:tcBorders>
                <w:shd w:val="clear" w:color="auto" w:fill="F7F7F7"/>
              </w:tcPr>
              <w:p w14:paraId="0E288751" w14:textId="53CCE85B" w:rsidR="00B93C86" w:rsidRPr="00F90F34" w:rsidRDefault="00B00100" w:rsidP="00272DC8">
                <w:pPr>
                  <w:pStyle w:val="Normal159"/>
                  <w:spacing w:before="60"/>
                  <w:rPr>
                    <w:rFonts w:ascii="Calibri" w:hAnsi="Calibri"/>
                    <w:b/>
                    <w:sz w:val="22"/>
                    <w:szCs w:val="22"/>
                  </w:rPr>
                </w:pPr>
                <w:r w:rsidRPr="00F90F34">
                  <w:rPr>
                    <w:rFonts w:ascii="Calibri" w:hAnsi="Calibri"/>
                    <w:sz w:val="22"/>
                    <w:szCs w:val="22"/>
                  </w:rPr>
                  <w:t>[</w:t>
                </w:r>
                <w:r w:rsidR="004826C5" w:rsidRPr="00A9217D">
                  <w:rPr>
                    <w:rFonts w:ascii="Calibri" w:hAnsi="Calibri"/>
                    <w:sz w:val="22"/>
                    <w:szCs w:val="22"/>
                  </w:rPr>
                  <w:fldChar w:fldCharType="begin"/>
                </w:r>
                <w:r w:rsidR="004826C5" w:rsidRPr="00A9217D">
                  <w:rPr>
                    <w:rFonts w:ascii="Calibri" w:hAnsi="Calibri"/>
                    <w:sz w:val="22"/>
                    <w:szCs w:val="22"/>
                  </w:rPr>
                  <w:instrText xml:space="preserve"> IF </w:instrText>
                </w:r>
                <w:r w:rsidR="000A01B8">
                  <w:rPr>
                    <w:rFonts w:ascii="Calibri" w:hAnsi="Calibri"/>
                    <w:noProof/>
                    <w:sz w:val="22"/>
                    <w:szCs w:val="22"/>
                  </w:rPr>
                  <w:instrText>N</w:instrText>
                </w:r>
                <w:r w:rsidR="004826C5" w:rsidRPr="00A9217D">
                  <w:rPr>
                    <w:rFonts w:ascii="Calibri" w:hAnsi="Calibri"/>
                    <w:sz w:val="22"/>
                    <w:szCs w:val="22"/>
                  </w:rPr>
                  <w:instrText xml:space="preserve"> ="Y" </w:instrText>
                </w:r>
                <w:r w:rsidR="00A9217D">
                  <w:rPr>
                    <w:rFonts w:ascii="Segoe UI Symbol" w:hAnsi="Segoe UI Symbol" w:cs="Segoe UI Symbol"/>
                    <w:b/>
                    <w:sz w:val="22"/>
                    <w:szCs w:val="22"/>
                  </w:rPr>
                  <w:instrText>✓</w:instrText>
                </w:r>
                <w:r w:rsidR="004826C5" w:rsidRPr="00A9217D">
                  <w:rPr>
                    <w:rFonts w:ascii="Calibri" w:hAnsi="Calibri"/>
                    <w:sz w:val="22"/>
                    <w:szCs w:val="22"/>
                  </w:rPr>
                  <w:instrText xml:space="preserve"> "  "    \* MERGEFORMAT </w:instrText>
                </w:r>
                <w:r w:rsidR="004826C5" w:rsidRPr="00A9217D">
                  <w:rPr>
                    <w:rFonts w:ascii="Calibri" w:hAnsi="Calibri"/>
                    <w:sz w:val="22"/>
                    <w:szCs w:val="22"/>
                  </w:rPr>
                  <w:fldChar w:fldCharType="separate"/>
                </w:r>
                <w:r w:rsidR="00552983" w:rsidRPr="00A9217D">
                  <w:rPr>
                    <w:rFonts w:ascii="Calibri" w:hAnsi="Calibri"/>
                    <w:noProof/>
                    <w:sz w:val="22"/>
                    <w:szCs w:val="22"/>
                  </w:rPr>
                  <w:t xml:space="preserve">  </w:t>
                </w:r>
                <w:r w:rsidR="004826C5"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43DBE041" w14:textId="0D3A39E2" w:rsidR="00B93C86" w:rsidRPr="00F90F34" w:rsidRDefault="00B00100" w:rsidP="00272DC8">
                <w:pPr>
                  <w:pStyle w:val="Normal159"/>
                  <w:spacing w:before="60"/>
                  <w:rPr>
                    <w:rFonts w:ascii="Calibri" w:hAnsi="Calibri"/>
                    <w:noProof/>
                    <w:sz w:val="22"/>
                    <w:szCs w:val="22"/>
                  </w:rPr>
                </w:pPr>
                <w:r w:rsidRPr="00F90F34">
                  <w:rPr>
                    <w:rFonts w:ascii="Calibri" w:hAnsi="Calibri"/>
                    <w:noProof/>
                    <w:sz w:val="22"/>
                    <w:szCs w:val="22"/>
                  </w:rPr>
                  <w:t>[</w:t>
                </w:r>
                <w:r w:rsidR="00946E23" w:rsidRPr="00946E23">
                  <w:rPr>
                    <w:rFonts w:ascii="Calibri" w:hAnsi="Calibri"/>
                    <w:noProof/>
                    <w:sz w:val="22"/>
                    <w:szCs w:val="22"/>
                  </w:rPr>
                  <w:fldChar w:fldCharType="begin"/>
                </w:r>
                <w:r w:rsidR="00946E23" w:rsidRPr="00946E23">
                  <w:rPr>
                    <w:rFonts w:ascii="Calibri" w:hAnsi="Calibri"/>
                    <w:noProof/>
                    <w:sz w:val="22"/>
                    <w:szCs w:val="22"/>
                  </w:rPr>
                  <w:instrText xml:space="preserve"> IF </w:instrText>
                </w:r>
                <w:r w:rsidR="00B70488">
                  <w:rPr>
                    <w:rFonts w:ascii="Calibri" w:hAnsi="Calibri"/>
                    <w:noProof/>
                    <w:sz w:val="22"/>
                    <w:szCs w:val="22"/>
                  </w:rPr>
                  <w:instrText>""</w:instrText>
                </w:r>
                <w:r w:rsidR="00946E23" w:rsidRPr="00946E23">
                  <w:rPr>
                    <w:rFonts w:ascii="Calibri" w:hAnsi="Calibri"/>
                    <w:noProof/>
                    <w:sz w:val="22"/>
                    <w:szCs w:val="22"/>
                  </w:rPr>
                  <w:instrText xml:space="preserve"> ="Y" </w:instrText>
                </w:r>
                <w:r w:rsidR="001C3250">
                  <w:rPr>
                    <w:rFonts w:ascii="Segoe UI Symbol" w:hAnsi="Segoe UI Symbol" w:cs="Segoe UI Symbol"/>
                    <w:b/>
                    <w:noProof/>
                    <w:sz w:val="22"/>
                    <w:szCs w:val="22"/>
                  </w:rPr>
                  <w:instrText>✓</w:instrText>
                </w:r>
                <w:r w:rsidR="00946E23" w:rsidRPr="00946E23">
                  <w:rPr>
                    <w:rFonts w:ascii="Calibri" w:hAnsi="Calibri"/>
                    <w:noProof/>
                    <w:sz w:val="22"/>
                    <w:szCs w:val="22"/>
                  </w:rPr>
                  <w:instrText xml:space="preserve"> "  "    \* MERGEFORMAT </w:instrText>
                </w:r>
                <w:r w:rsidR="00946E23" w:rsidRPr="00946E23">
                  <w:rPr>
                    <w:rFonts w:ascii="Calibri" w:hAnsi="Calibri"/>
                    <w:noProof/>
                    <w:sz w:val="22"/>
                    <w:szCs w:val="22"/>
                  </w:rPr>
                  <w:fldChar w:fldCharType="separate"/>
                </w:r>
                <w:r w:rsidR="00552983" w:rsidRPr="00946E23">
                  <w:rPr>
                    <w:rFonts w:ascii="Calibri" w:hAnsi="Calibri"/>
                    <w:noProof/>
                    <w:sz w:val="22"/>
                    <w:szCs w:val="22"/>
                  </w:rPr>
                  <w:t xml:space="preserve">  </w:t>
                </w:r>
                <w:r w:rsidR="00946E23"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3F7F6B">
                  <w:rPr>
                    <w:rFonts w:ascii="Calibri" w:hAnsi="Calibri"/>
                    <w:noProof/>
                    <w:sz w:val="22"/>
                    <w:szCs w:val="22"/>
                  </w:rPr>
                  <w:t>an-made D</w:t>
                </w:r>
                <w:r w:rsidRPr="00F90F34">
                  <w:rPr>
                    <w:rFonts w:ascii="Calibri" w:hAnsi="Calibri"/>
                    <w:noProof/>
                    <w:sz w:val="22"/>
                    <w:szCs w:val="22"/>
                  </w:rPr>
                  <w:t>isaster</w:t>
                </w:r>
              </w:p>
            </w:tc>
          </w:tr>
          <w:tr w:rsidR="000C3959" w14:paraId="2ECB38A7" w14:textId="77777777" w:rsidTr="00253068">
            <w:trPr>
              <w:trHeight w:val="432"/>
            </w:trPr>
            <w:tc>
              <w:tcPr>
                <w:tcW w:w="2458" w:type="pct"/>
                <w:gridSpan w:val="3"/>
                <w:tcBorders>
                  <w:left w:val="nil"/>
                  <w:bottom w:val="single" w:sz="4" w:space="0" w:color="D9D9D9"/>
                  <w:right w:val="nil"/>
                </w:tcBorders>
                <w:shd w:val="clear" w:color="auto" w:fill="F7F7F7"/>
              </w:tcPr>
              <w:p w14:paraId="078C5CA7" w14:textId="651EE1CC" w:rsidR="00B93C86" w:rsidRPr="00F90F34" w:rsidRDefault="00B00100" w:rsidP="00272DC8">
                <w:pPr>
                  <w:pStyle w:val="Normal159"/>
                  <w:spacing w:before="60"/>
                  <w:rPr>
                    <w:rFonts w:ascii="Calibri" w:hAnsi="Calibri"/>
                    <w:b/>
                    <w:sz w:val="22"/>
                    <w:szCs w:val="22"/>
                  </w:rPr>
                </w:pPr>
                <w:r w:rsidRPr="00F90F34">
                  <w:rPr>
                    <w:rFonts w:ascii="Calibri" w:hAnsi="Calibri"/>
                    <w:noProof/>
                    <w:sz w:val="22"/>
                    <w:szCs w:val="22"/>
                  </w:rPr>
                  <w:t>[</w:t>
                </w:r>
                <w:r w:rsidR="00525227" w:rsidRPr="00525227">
                  <w:rPr>
                    <w:rFonts w:ascii="Calibri" w:hAnsi="Calibri"/>
                    <w:noProof/>
                    <w:sz w:val="22"/>
                    <w:szCs w:val="22"/>
                  </w:rPr>
                  <w:fldChar w:fldCharType="begin"/>
                </w:r>
                <w:r w:rsidR="00525227" w:rsidRPr="00525227">
                  <w:rPr>
                    <w:rFonts w:ascii="Calibri" w:hAnsi="Calibri"/>
                    <w:noProof/>
                    <w:sz w:val="22"/>
                    <w:szCs w:val="22"/>
                  </w:rPr>
                  <w:instrText xml:space="preserve"> IF </w:instrText>
                </w:r>
                <w:r w:rsidR="000C095C">
                  <w:rPr>
                    <w:rFonts w:ascii="Calibri" w:hAnsi="Calibri"/>
                    <w:noProof/>
                    <w:sz w:val="22"/>
                    <w:szCs w:val="22"/>
                  </w:rPr>
                  <w:instrText>""</w:instrText>
                </w:r>
                <w:r w:rsidR="00525227" w:rsidRPr="00525227">
                  <w:rPr>
                    <w:rFonts w:ascii="Calibri" w:hAnsi="Calibri"/>
                    <w:noProof/>
                    <w:sz w:val="22"/>
                    <w:szCs w:val="22"/>
                  </w:rPr>
                  <w:instrText xml:space="preserve"> ="Y" </w:instrText>
                </w:r>
                <w:r w:rsidR="00525227">
                  <w:rPr>
                    <w:rFonts w:ascii="Segoe UI Symbol" w:hAnsi="Segoe UI Symbol" w:cs="Segoe UI Symbol"/>
                    <w:b/>
                    <w:noProof/>
                    <w:sz w:val="22"/>
                    <w:szCs w:val="22"/>
                  </w:rPr>
                  <w:instrText>✓</w:instrText>
                </w:r>
                <w:r w:rsidR="00525227" w:rsidRPr="00525227">
                  <w:rPr>
                    <w:rFonts w:ascii="Calibri" w:hAnsi="Calibri"/>
                    <w:noProof/>
                    <w:sz w:val="22"/>
                    <w:szCs w:val="22"/>
                  </w:rPr>
                  <w:instrText xml:space="preserve"> "  "    \* MERGEFORMAT </w:instrText>
                </w:r>
                <w:r w:rsidR="00525227" w:rsidRPr="00525227">
                  <w:rPr>
                    <w:rFonts w:ascii="Calibri" w:hAnsi="Calibri"/>
                    <w:noProof/>
                    <w:sz w:val="22"/>
                    <w:szCs w:val="22"/>
                  </w:rPr>
                  <w:fldChar w:fldCharType="separate"/>
                </w:r>
                <w:r w:rsidR="00552983" w:rsidRPr="00525227">
                  <w:rPr>
                    <w:rFonts w:ascii="Calibri" w:hAnsi="Calibri"/>
                    <w:noProof/>
                    <w:sz w:val="22"/>
                    <w:szCs w:val="22"/>
                  </w:rPr>
                  <w:t xml:space="preserve">  </w:t>
                </w:r>
                <w:r w:rsidR="00525227"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r>
          <w:tr w:rsidR="000C3959" w14:paraId="2309FBEC" w14:textId="77777777" w:rsidTr="00272DC8">
            <w:trPr>
              <w:trHeight w:val="432"/>
            </w:trPr>
            <w:tc>
              <w:tcPr>
                <w:tcW w:w="5000" w:type="pct"/>
                <w:gridSpan w:val="3"/>
                <w:tcBorders>
                  <w:left w:val="nil"/>
                  <w:right w:val="nil"/>
                </w:tcBorders>
                <w:shd w:val="clear" w:color="auto" w:fill="F7F7F7"/>
              </w:tcPr>
              <w:p w14:paraId="45492B2B" w14:textId="77777777" w:rsidR="00272DC8" w:rsidRPr="00F90F34" w:rsidRDefault="00272DC8" w:rsidP="00272DC8">
                <w:pPr>
                  <w:pStyle w:val="Normal159"/>
                  <w:spacing w:before="60"/>
                  <w:rPr>
                    <w:rFonts w:ascii="Calibri" w:hAnsi="Calibri"/>
                    <w:noProof/>
                    <w:sz w:val="22"/>
                    <w:szCs w:val="22"/>
                  </w:rPr>
                </w:pPr>
              </w:p>
            </w:tc>
          </w:tr>
          <w:tr w:rsidR="000C3959" w14:paraId="0C41FF27" w14:textId="77777777" w:rsidTr="00477DC1">
            <w:trPr>
              <w:trHeight w:val="432"/>
            </w:trPr>
            <w:tc>
              <w:tcPr>
                <w:tcW w:w="1250" w:type="pct"/>
                <w:tcBorders>
                  <w:left w:val="nil"/>
                  <w:bottom w:val="nil"/>
                  <w:right w:val="single" w:sz="4" w:space="0" w:color="D9D9D9"/>
                </w:tcBorders>
                <w:shd w:val="clear" w:color="auto" w:fill="F7F7F7"/>
              </w:tcPr>
              <w:p w14:paraId="51124468" w14:textId="77777777" w:rsidR="00272DC8" w:rsidRPr="00F90F34" w:rsidRDefault="00B00100" w:rsidP="006F102A">
                <w:pPr>
                  <w:pStyle w:val="Normal159"/>
                  <w:spacing w:before="100" w:after="100"/>
                  <w:rPr>
                    <w:rFonts w:ascii="Calibri" w:hAnsi="Calibri"/>
                    <w:noProof/>
                    <w:sz w:val="22"/>
                    <w:szCs w:val="22"/>
                  </w:rPr>
                </w:pPr>
                <w:r w:rsidRPr="00F46123">
                  <w:rPr>
                    <w:rFonts w:asciiTheme="minorHAnsi" w:hAnsiTheme="minorHAnsi"/>
                    <w:color w:val="767171" w:themeColor="background2" w:themeShade="80"/>
                    <w:sz w:val="22"/>
                    <w:szCs w:val="22"/>
                  </w:rPr>
                  <w:t>Expected Approval Date</w:t>
                </w:r>
              </w:p>
            </w:tc>
            <w:tc>
              <w:tcPr>
                <w:tcW w:w="1208" w:type="pct"/>
                <w:gridSpan w:val="2"/>
                <w:tcBorders>
                  <w:left w:val="single" w:sz="4" w:space="0" w:color="D9D9D9"/>
                  <w:bottom w:val="nil"/>
                  <w:right w:val="nil"/>
                </w:tcBorders>
                <w:shd w:val="clear" w:color="auto" w:fill="F7F7F7"/>
              </w:tcPr>
              <w:p w14:paraId="44D7220C" w14:textId="77777777" w:rsidR="00272DC8" w:rsidRPr="00F90F34" w:rsidRDefault="00B00100" w:rsidP="006F102A">
                <w:pPr>
                  <w:pStyle w:val="Normal159"/>
                  <w:spacing w:before="100" w:after="100"/>
                  <w:rPr>
                    <w:rFonts w:ascii="Calibri" w:hAnsi="Calibri"/>
                    <w:noProof/>
                    <w:sz w:val="22"/>
                    <w:szCs w:val="22"/>
                  </w:rPr>
                </w:pPr>
                <w:r w:rsidRPr="00FE738F">
                  <w:rPr>
                    <w:rFonts w:ascii="Calibri" w:hAnsi="Calibri"/>
                    <w:color w:val="767171"/>
                    <w:sz w:val="22"/>
                    <w:szCs w:val="22"/>
                  </w:rPr>
                  <w:t>Expected Closing Date</w:t>
                </w:r>
              </w:p>
            </w:tc>
          </w:tr>
          <w:tr w:rsidR="000C3959" w14:paraId="037BB1C3" w14:textId="77777777" w:rsidTr="00477DC1">
            <w:trPr>
              <w:trHeight w:val="432"/>
            </w:trPr>
            <w:tc>
              <w:tcPr>
                <w:tcW w:w="1250" w:type="pct"/>
                <w:tcBorders>
                  <w:top w:val="nil"/>
                  <w:left w:val="nil"/>
                  <w:right w:val="single" w:sz="4" w:space="0" w:color="D9D9D9"/>
                </w:tcBorders>
                <w:shd w:val="clear" w:color="auto" w:fill="F7F7F7"/>
              </w:tcPr>
              <w:p w14:paraId="5AE63802" w14:textId="77777777" w:rsidR="005C3ACF" w:rsidRPr="00F46123" w:rsidRDefault="00B00100"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26-Nov-2019</w:t>
                </w:r>
              </w:p>
            </w:tc>
            <w:tc>
              <w:tcPr>
                <w:tcW w:w="1208" w:type="pct"/>
                <w:gridSpan w:val="2"/>
                <w:tcBorders>
                  <w:top w:val="nil"/>
                  <w:left w:val="single" w:sz="4" w:space="0" w:color="D9D9D9"/>
                  <w:right w:val="nil"/>
                </w:tcBorders>
                <w:shd w:val="clear" w:color="auto" w:fill="F7F7F7"/>
              </w:tcPr>
              <w:p w14:paraId="4CFF9172" w14:textId="77777777" w:rsidR="005C3ACF" w:rsidRPr="00F46123" w:rsidRDefault="00B00100"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30-Jun-2024</w:t>
                </w:r>
              </w:p>
            </w:tc>
          </w:tr>
          <w:tr w:rsidR="000C3959" w14:paraId="4EADEF87" w14:textId="77777777" w:rsidTr="00477DC1">
            <w:trPr>
              <w:trHeight w:val="432"/>
            </w:trPr>
            <w:tc>
              <w:tcPr>
                <w:tcW w:w="1250" w:type="pct"/>
                <w:gridSpan w:val="3"/>
                <w:tcBorders>
                  <w:left w:val="nil"/>
                  <w:bottom w:val="nil"/>
                  <w:right w:val="nil"/>
                </w:tcBorders>
                <w:shd w:val="clear" w:color="auto" w:fill="F7F7F7"/>
              </w:tcPr>
              <w:p w14:paraId="3B5F362B" w14:textId="77777777" w:rsidR="005C3ACF" w:rsidRDefault="00B00100" w:rsidP="006F102A">
                <w:pPr>
                  <w:pStyle w:val="Normal159"/>
                  <w:spacing w:before="100" w:after="100"/>
                  <w:rPr>
                    <w:rFonts w:asciiTheme="minorHAnsi" w:hAnsiTheme="minorHAnsi"/>
                    <w:sz w:val="22"/>
                    <w:szCs w:val="22"/>
                  </w:rPr>
                </w:pPr>
                <w:r w:rsidRPr="00FE738F">
                  <w:rPr>
                    <w:rFonts w:ascii="Calibri" w:hAnsi="Calibri"/>
                    <w:color w:val="767171"/>
                    <w:sz w:val="22"/>
                    <w:szCs w:val="22"/>
                  </w:rPr>
                  <w:t xml:space="preserve">Bank/IFC Collaboration   </w:t>
                </w:r>
              </w:p>
            </w:tc>
          </w:tr>
          <w:tr w:rsidR="000C3959" w14:paraId="630E79AA" w14:textId="77777777" w:rsidTr="00477DC1">
            <w:trPr>
              <w:trHeight w:val="432"/>
            </w:trPr>
            <w:tc>
              <w:tcPr>
                <w:tcW w:w="1250" w:type="pct"/>
                <w:gridSpan w:val="3"/>
                <w:tcBorders>
                  <w:top w:val="nil"/>
                  <w:left w:val="nil"/>
                  <w:right w:val="nil"/>
                </w:tcBorders>
                <w:shd w:val="clear" w:color="auto" w:fill="F7F7F7"/>
              </w:tcPr>
              <w:p w14:paraId="01CAFB11" w14:textId="77777777" w:rsidR="005C3ACF" w:rsidRPr="003B06A1" w:rsidRDefault="00B00100" w:rsidP="006F102A">
                <w:pPr>
                  <w:pStyle w:val="Normal159"/>
                  <w:spacing w:before="100" w:after="10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p w14:paraId="3D5E5B55" w14:textId="77777777" w:rsidR="003615CB" w:rsidRPr="003B06A1" w:rsidRDefault="003615CB" w:rsidP="00B816A4">
          <w:pPr>
            <w:shd w:val="clear" w:color="auto" w:fill="F7F7F7"/>
            <w:ind w:left="-691" w:right="29"/>
            <w:rPr>
              <w:rFonts w:asciiTheme="minorHAnsi" w:hAnsiTheme="minorHAnsi" w:cstheme="minorHAnsi"/>
              <w:sz w:val="22"/>
              <w:szCs w:val="22"/>
            </w:rPr>
          </w:pPr>
        </w:p>
        <w:tbl>
          <w:tblPr>
            <w:tblStyle w:val="TableGrid340"/>
            <w:tblW w:w="10602" w:type="dxa"/>
            <w:tblInd w:w="-702" w:type="dxa"/>
            <w:shd w:val="clear" w:color="auto" w:fill="F7F7F7"/>
            <w:tblLayout w:type="fixed"/>
            <w:tblLook w:val="04A0" w:firstRow="1" w:lastRow="0" w:firstColumn="1" w:lastColumn="0" w:noHBand="0" w:noVBand="1"/>
          </w:tblPr>
          <w:tblGrid>
            <w:gridCol w:w="10602"/>
          </w:tblGrid>
          <w:tr w:rsidR="000C3959" w14:paraId="7BD162F6" w14:textId="77777777" w:rsidTr="00C40572">
            <w:trPr>
              <w:trHeight w:val="117"/>
            </w:trPr>
            <w:tc>
              <w:tcPr>
                <w:tcW w:w="10602" w:type="dxa"/>
                <w:tcBorders>
                  <w:top w:val="nil"/>
                  <w:left w:val="nil"/>
                  <w:bottom w:val="nil"/>
                  <w:right w:val="nil"/>
                </w:tcBorders>
                <w:shd w:val="clear" w:color="auto" w:fill="F7F7F7"/>
                <w:hideMark/>
              </w:tcPr>
              <w:p w14:paraId="67E29DEC" w14:textId="77777777" w:rsidR="003615CB" w:rsidRDefault="00B00100" w:rsidP="00370635">
                <w:pPr>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Proposed Development Objective(s)</w:t>
                </w:r>
              </w:p>
            </w:tc>
          </w:tr>
        </w:tbl>
        <w:p w14:paraId="2ACE7DB7" w14:textId="77777777" w:rsidR="003615CB" w:rsidRPr="00C40572" w:rsidRDefault="003615CB" w:rsidP="00E7697C">
          <w:pPr>
            <w:keepNext/>
            <w:widowControl/>
            <w:shd w:val="clear" w:color="auto" w:fill="F7F7F7"/>
            <w:ind w:left="-677" w:right="29"/>
            <w:rPr>
              <w:rFonts w:asciiTheme="minorHAnsi" w:hAnsiTheme="minorHAnsi"/>
              <w:noProof/>
              <w:sz w:val="22"/>
              <w:szCs w:val="22"/>
            </w:rPr>
          </w:pPr>
        </w:p>
        <w:tbl>
          <w:tblPr>
            <w:tblStyle w:val="TableGrid340"/>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0C3959" w14:paraId="42B60369" w14:textId="77777777" w:rsidTr="00B816A4">
            <w:trPr>
              <w:trHeight w:val="144"/>
            </w:trPr>
            <w:tc>
              <w:tcPr>
                <w:tcW w:w="10602" w:type="dxa"/>
                <w:shd w:val="clear" w:color="auto" w:fill="F7F7F7"/>
                <w:hideMark/>
              </w:tcPr>
              <w:p w14:paraId="4EB9A32E" w14:textId="77777777" w:rsidR="003615CB" w:rsidRDefault="00B00100" w:rsidP="00873D21">
                <w:pPr>
                  <w:shd w:val="clear" w:color="auto" w:fill="F7F7F7"/>
                  <w:ind w:right="75"/>
                  <w:jc w:val="both"/>
                  <w:rPr>
                    <w:rFonts w:asciiTheme="minorHAnsi" w:hAnsiTheme="minorHAnsi"/>
                    <w:bCs/>
                    <w:color w:val="002060"/>
                    <w:sz w:val="22"/>
                    <w:szCs w:val="22"/>
                  </w:rPr>
                </w:pPr>
                <w:bookmarkStart w:id="9" w:name="_Hlk510795860_0"/>
                <w:bookmarkStart w:id="10" w:name="_Hlk510605095_0"/>
                <w:r w:rsidRPr="00501672">
                  <w:rPr>
                    <w:rFonts w:asciiTheme="minorHAnsi" w:hAnsiTheme="minorHAnsi"/>
                    <w:noProof/>
                    <w:sz w:val="22"/>
                    <w:szCs w:val="18"/>
                  </w:rPr>
                  <w:t>To improve quality, quantity and development impact of postgraduate education in selected universities through regional specialization and collaboration.</w:t>
                </w:r>
                <w:bookmarkEnd w:id="9"/>
              </w:p>
            </w:tc>
          </w:tr>
          <w:bookmarkEnd w:id="10"/>
        </w:tbl>
        <w:p w14:paraId="5BADBBF8" w14:textId="77777777" w:rsidR="003615CB" w:rsidRPr="00C40572" w:rsidRDefault="003615CB" w:rsidP="00E7697C">
          <w:pPr>
            <w:keepNext/>
            <w:widowControl/>
            <w:shd w:val="clear" w:color="auto" w:fill="F7F7F7"/>
            <w:ind w:left="-677" w:right="29"/>
            <w:rPr>
              <w:rFonts w:asciiTheme="minorHAnsi" w:hAnsiTheme="minorHAnsi"/>
              <w:color w:val="767171" w:themeColor="background2" w:themeShade="80"/>
              <w:sz w:val="22"/>
              <w:szCs w:val="22"/>
            </w:rPr>
          </w:pPr>
        </w:p>
        <w:tbl>
          <w:tblPr>
            <w:tblStyle w:val="TableGrid340"/>
            <w:tblW w:w="10602" w:type="dxa"/>
            <w:tblInd w:w="-702" w:type="dxa"/>
            <w:shd w:val="clear" w:color="auto" w:fill="F7F7F7"/>
            <w:tblLayout w:type="fixed"/>
            <w:tblLook w:val="04A0" w:firstRow="1" w:lastRow="0" w:firstColumn="1" w:lastColumn="0" w:noHBand="0" w:noVBand="1"/>
          </w:tblPr>
          <w:tblGrid>
            <w:gridCol w:w="10602"/>
          </w:tblGrid>
          <w:tr w:rsidR="000C3959" w14:paraId="2CEE24DE" w14:textId="77777777" w:rsidTr="00C40572">
            <w:trPr>
              <w:trHeight w:val="117"/>
            </w:trPr>
            <w:tc>
              <w:tcPr>
                <w:tcW w:w="10602" w:type="dxa"/>
                <w:tcBorders>
                  <w:top w:val="nil"/>
                  <w:left w:val="nil"/>
                  <w:bottom w:val="nil"/>
                  <w:right w:val="nil"/>
                </w:tcBorders>
                <w:shd w:val="clear" w:color="auto" w:fill="F7F7F7"/>
                <w:hideMark/>
              </w:tcPr>
              <w:p w14:paraId="3310F75B" w14:textId="77777777" w:rsidR="003615CB" w:rsidRDefault="00B00100" w:rsidP="00370635">
                <w:pPr>
                  <w:keepNext/>
                  <w:widowControl/>
                  <w:tabs>
                    <w:tab w:val="left" w:pos="3709"/>
                  </w:tabs>
                  <w:rPr>
                    <w:rFonts w:asciiTheme="minorHAnsi" w:hAnsiTheme="minorHAnsi"/>
                    <w:b/>
                    <w:color w:val="172D5F"/>
                    <w:sz w:val="22"/>
                    <w:szCs w:val="22"/>
                  </w:rPr>
                </w:pPr>
                <w:r>
                  <w:rPr>
                    <w:rFonts w:asciiTheme="minorHAnsi" w:hAnsiTheme="minorHAnsi"/>
                    <w:b/>
                    <w:color w:val="172D5F"/>
                    <w:sz w:val="22"/>
                    <w:szCs w:val="22"/>
                  </w:rPr>
                  <w:t>Components</w:t>
                </w:r>
              </w:p>
            </w:tc>
          </w:tr>
        </w:tbl>
        <w:p w14:paraId="47092513" w14:textId="77777777" w:rsidR="003615CB" w:rsidRPr="00C40572" w:rsidRDefault="003615CB"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0C3959" w14:paraId="75D03AB2" w14:textId="77777777" w:rsidTr="00B42F79">
            <w:trPr>
              <w:trHeight w:val="288"/>
            </w:trPr>
            <w:tc>
              <w:tcPr>
                <w:tcW w:w="8010" w:type="dxa"/>
                <w:tcBorders>
                  <w:bottom w:val="single" w:sz="12" w:space="0" w:color="D9D9D9"/>
                </w:tcBorders>
                <w:shd w:val="clear" w:color="auto" w:fill="F7F7F7"/>
                <w:hideMark/>
              </w:tcPr>
              <w:p w14:paraId="44E02E3B" w14:textId="77777777" w:rsidR="00030989" w:rsidRPr="00501672" w:rsidRDefault="00B00100" w:rsidP="00B42F79">
                <w:pPr>
                  <w:spacing w:after="60"/>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Component Name</w:t>
                </w:r>
                <w:r>
                  <w:rPr>
                    <w:rFonts w:asciiTheme="minorHAnsi" w:hAnsiTheme="minorHAnsi"/>
                    <w:b/>
                    <w:color w:val="7F7F7F" w:themeColor="text1" w:themeTint="80"/>
                    <w:sz w:val="22"/>
                    <w:szCs w:val="22"/>
                  </w:rPr>
                  <w:t xml:space="preserve"> </w:t>
                </w:r>
              </w:p>
            </w:tc>
            <w:tc>
              <w:tcPr>
                <w:tcW w:w="2340" w:type="dxa"/>
                <w:tcBorders>
                  <w:bottom w:val="single" w:sz="12" w:space="0" w:color="D9D9D9"/>
                </w:tcBorders>
                <w:shd w:val="clear" w:color="auto" w:fill="F7F7F7"/>
              </w:tcPr>
              <w:p w14:paraId="675A6F96" w14:textId="77777777" w:rsidR="00030989" w:rsidRDefault="00B00100" w:rsidP="00B42F79">
                <w:pPr>
                  <w:spacing w:after="60"/>
                  <w:jc w:val="right"/>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w:t>
                </w:r>
                <w:r>
                  <w:rPr>
                    <w:rFonts w:asciiTheme="minorHAnsi" w:hAnsiTheme="minorHAnsi"/>
                    <w:b/>
                    <w:color w:val="7F7F7F" w:themeColor="text1" w:themeTint="80"/>
                    <w:sz w:val="22"/>
                    <w:szCs w:val="22"/>
                  </w:rPr>
                  <w:t>ost</w:t>
                </w:r>
                <w:r w:rsidR="00263A6C">
                  <w:rPr>
                    <w:rFonts w:asciiTheme="minorHAnsi" w:hAnsiTheme="minorHAnsi"/>
                    <w:b/>
                    <w:color w:val="7F7F7F" w:themeColor="text1" w:themeTint="80"/>
                    <w:sz w:val="22"/>
                    <w:szCs w:val="22"/>
                  </w:rPr>
                  <w:t xml:space="preserve"> (US$</w:t>
                </w:r>
                <w:r w:rsidR="000B53D2">
                  <w:rPr>
                    <w:rFonts w:asciiTheme="minorHAnsi" w:hAnsiTheme="minorHAnsi"/>
                    <w:b/>
                    <w:color w:val="7F7F7F" w:themeColor="text1" w:themeTint="80"/>
                    <w:sz w:val="22"/>
                    <w:szCs w:val="22"/>
                  </w:rPr>
                  <w:t>,</w:t>
                </w:r>
                <w:r w:rsidR="00263A6C">
                  <w:rPr>
                    <w:rFonts w:asciiTheme="minorHAnsi" w:hAnsiTheme="minorHAnsi"/>
                    <w:b/>
                    <w:color w:val="7F7F7F" w:themeColor="text1" w:themeTint="80"/>
                    <w:sz w:val="22"/>
                    <w:szCs w:val="22"/>
                  </w:rPr>
                  <w:t xml:space="preserve"> m</w:t>
                </w:r>
                <w:r w:rsidRPr="00501672">
                  <w:rPr>
                    <w:rFonts w:asciiTheme="minorHAnsi" w:hAnsiTheme="minorHAnsi"/>
                    <w:b/>
                    <w:color w:val="7F7F7F" w:themeColor="text1" w:themeTint="80"/>
                    <w:sz w:val="22"/>
                    <w:szCs w:val="22"/>
                  </w:rPr>
                  <w:t>illion</w:t>
                </w:r>
                <w:r w:rsidR="00263A6C">
                  <w:rPr>
                    <w:rFonts w:asciiTheme="minorHAnsi" w:hAnsiTheme="minorHAnsi"/>
                    <w:b/>
                    <w:color w:val="7F7F7F" w:themeColor="text1" w:themeTint="80"/>
                    <w:sz w:val="22"/>
                    <w:szCs w:val="22"/>
                  </w:rPr>
                  <w:t>s</w:t>
                </w:r>
                <w:r w:rsidRPr="00501672">
                  <w:rPr>
                    <w:rFonts w:asciiTheme="minorHAnsi" w:hAnsiTheme="minorHAnsi"/>
                    <w:b/>
                    <w:color w:val="7F7F7F" w:themeColor="text1" w:themeTint="80"/>
                    <w:sz w:val="22"/>
                    <w:szCs w:val="22"/>
                  </w:rPr>
                  <w:t>)</w:t>
                </w:r>
              </w:p>
            </w:tc>
            <w:tc>
              <w:tcPr>
                <w:tcW w:w="270" w:type="dxa"/>
                <w:tcBorders>
                  <w:bottom w:val="single" w:sz="12" w:space="0" w:color="D9D9D9"/>
                </w:tcBorders>
                <w:shd w:val="clear" w:color="auto" w:fill="F7F7F7"/>
              </w:tcPr>
              <w:p w14:paraId="1377CBC0" w14:textId="77777777" w:rsidR="00030989" w:rsidRPr="00F95B9C" w:rsidRDefault="00030989" w:rsidP="00370635">
                <w:pPr>
                  <w:rPr>
                    <w:rFonts w:asciiTheme="minorHAnsi" w:hAnsiTheme="minorHAnsi"/>
                    <w:b/>
                    <w:color w:val="767171" w:themeColor="background2" w:themeShade="80"/>
                    <w:sz w:val="8"/>
                    <w:szCs w:val="22"/>
                  </w:rPr>
                </w:pPr>
              </w:p>
            </w:tc>
          </w:tr>
          <w:tr w:rsidR="000C3959" w14:paraId="7333B91D"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5068B679" w14:textId="77777777" w:rsidR="00030989" w:rsidRPr="00501672" w:rsidRDefault="00B00100"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Establishing New and Scaling up Well-performing existing Africa Centers of Excellence for Development Impact</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5C2D2AE1" w14:textId="77777777" w:rsidR="00030989" w:rsidRPr="00501672" w:rsidRDefault="00B00100" w:rsidP="00873D21">
                <w:pPr>
                  <w:ind w:right="75"/>
                  <w:jc w:val="right"/>
                  <w:rPr>
                    <w:rFonts w:asciiTheme="minorHAnsi" w:hAnsiTheme="minorHAnsi"/>
                    <w:sz w:val="22"/>
                    <w:szCs w:val="22"/>
                  </w:rPr>
                </w:pPr>
                <w:r w:rsidRPr="00501672">
                  <w:rPr>
                    <w:rFonts w:asciiTheme="minorHAnsi" w:hAnsiTheme="minorHAnsi"/>
                    <w:noProof/>
                    <w:sz w:val="22"/>
                    <w:szCs w:val="22"/>
                  </w:rPr>
                  <w:t xml:space="preserve"> 260.00</w:t>
                </w:r>
              </w:p>
            </w:tc>
            <w:tc>
              <w:tcPr>
                <w:tcW w:w="270" w:type="dxa"/>
                <w:tcBorders>
                  <w:top w:val="single" w:sz="12" w:space="0" w:color="D9D9D9"/>
                  <w:bottom w:val="single" w:sz="4" w:space="0" w:color="D9D9D9"/>
                </w:tcBorders>
                <w:shd w:val="clear" w:color="auto" w:fill="F7F7F7"/>
              </w:tcPr>
              <w:p w14:paraId="4BD2DB4B" w14:textId="77777777" w:rsidR="00030989" w:rsidRPr="00F95B9C" w:rsidRDefault="00030989" w:rsidP="00370635">
                <w:pPr>
                  <w:rPr>
                    <w:rFonts w:asciiTheme="minorHAnsi" w:hAnsiTheme="minorHAnsi"/>
                    <w:sz w:val="8"/>
                    <w:szCs w:val="22"/>
                  </w:rPr>
                </w:pPr>
              </w:p>
            </w:tc>
          </w:tr>
          <w:tr w:rsidR="000C3959" w14:paraId="66A77062"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22518AD1" w14:textId="77777777" w:rsidR="00030989" w:rsidRPr="00501672" w:rsidRDefault="00B00100"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Fostering Regional Partnerships and Scholarships</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2D474261" w14:textId="77777777" w:rsidR="00030989" w:rsidRPr="00501672" w:rsidRDefault="00B00100" w:rsidP="00873D21">
                <w:pPr>
                  <w:ind w:right="75"/>
                  <w:jc w:val="right"/>
                  <w:rPr>
                    <w:rFonts w:asciiTheme="minorHAnsi" w:hAnsiTheme="minorHAnsi"/>
                    <w:sz w:val="22"/>
                    <w:szCs w:val="22"/>
                  </w:rPr>
                </w:pPr>
                <w:r w:rsidRPr="00501672">
                  <w:rPr>
                    <w:rFonts w:asciiTheme="minorHAnsi" w:hAnsiTheme="minorHAnsi"/>
                    <w:noProof/>
                    <w:sz w:val="22"/>
                    <w:szCs w:val="22"/>
                  </w:rPr>
                  <w:t xml:space="preserve">  42.00</w:t>
                </w:r>
              </w:p>
            </w:tc>
            <w:tc>
              <w:tcPr>
                <w:tcW w:w="270" w:type="dxa"/>
                <w:tcBorders>
                  <w:top w:val="single" w:sz="12" w:space="0" w:color="D9D9D9"/>
                  <w:bottom w:val="single" w:sz="4" w:space="0" w:color="D9D9D9"/>
                </w:tcBorders>
                <w:shd w:val="clear" w:color="auto" w:fill="F7F7F7"/>
              </w:tcPr>
              <w:p w14:paraId="21CA3D89" w14:textId="77777777" w:rsidR="00030989" w:rsidRPr="00F95B9C" w:rsidRDefault="00030989" w:rsidP="00370635">
                <w:pPr>
                  <w:rPr>
                    <w:rFonts w:asciiTheme="minorHAnsi" w:hAnsiTheme="minorHAnsi"/>
                    <w:sz w:val="8"/>
                    <w:szCs w:val="22"/>
                  </w:rPr>
                </w:pPr>
              </w:p>
            </w:tc>
          </w:tr>
          <w:tr w:rsidR="000C3959" w14:paraId="097AC8EA"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408F419C" w14:textId="77777777" w:rsidR="00030989" w:rsidRPr="00501672" w:rsidRDefault="00B00100"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Enhancing National and Regional Level Project Facilitation, and Monitoring and Evaluation</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52D4C7A0" w14:textId="77777777" w:rsidR="00030989" w:rsidRPr="00501672" w:rsidRDefault="00B00100" w:rsidP="00873D21">
                <w:pPr>
                  <w:ind w:right="75"/>
                  <w:jc w:val="right"/>
                  <w:rPr>
                    <w:rFonts w:asciiTheme="minorHAnsi" w:hAnsiTheme="minorHAnsi"/>
                    <w:sz w:val="22"/>
                    <w:szCs w:val="22"/>
                  </w:rPr>
                </w:pPr>
                <w:r w:rsidRPr="00501672">
                  <w:rPr>
                    <w:rFonts w:asciiTheme="minorHAnsi" w:hAnsiTheme="minorHAnsi"/>
                    <w:noProof/>
                    <w:sz w:val="22"/>
                    <w:szCs w:val="22"/>
                  </w:rPr>
                  <w:t xml:space="preserve">  12.50</w:t>
                </w:r>
              </w:p>
            </w:tc>
            <w:tc>
              <w:tcPr>
                <w:tcW w:w="270" w:type="dxa"/>
                <w:tcBorders>
                  <w:top w:val="single" w:sz="12" w:space="0" w:color="D9D9D9"/>
                  <w:bottom w:val="single" w:sz="4" w:space="0" w:color="D9D9D9"/>
                </w:tcBorders>
                <w:shd w:val="clear" w:color="auto" w:fill="F7F7F7"/>
              </w:tcPr>
              <w:p w14:paraId="47FB29AE" w14:textId="77777777" w:rsidR="00030989" w:rsidRPr="00F95B9C" w:rsidRDefault="00030989" w:rsidP="00370635">
                <w:pPr>
                  <w:rPr>
                    <w:rFonts w:asciiTheme="minorHAnsi" w:hAnsiTheme="minorHAnsi"/>
                    <w:sz w:val="8"/>
                    <w:szCs w:val="22"/>
                  </w:rPr>
                </w:pPr>
              </w:p>
            </w:tc>
          </w:tr>
          <w:tr w:rsidR="000C3959" w14:paraId="1F96634C" w14:textId="77777777" w:rsidTr="004B22AB">
            <w:trPr>
              <w:trHeight w:val="432"/>
            </w:trPr>
            <w:tc>
              <w:tcPr>
                <w:tcW w:w="8010" w:type="dxa"/>
                <w:tcBorders>
                  <w:top w:val="single" w:sz="12" w:space="0" w:color="D9D9D9"/>
                  <w:bottom w:val="single" w:sz="4" w:space="0" w:color="D9D9D9"/>
                </w:tcBorders>
                <w:shd w:val="clear" w:color="auto" w:fill="F7F7F7"/>
                <w:vAlign w:val="center"/>
              </w:tcPr>
              <w:p w14:paraId="467A5E2C" w14:textId="77777777" w:rsidR="00030989" w:rsidRPr="00501672" w:rsidRDefault="00B00100"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Unallocated</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5F7B9B6B" w14:textId="77777777" w:rsidR="00030989" w:rsidRPr="00501672" w:rsidRDefault="00B00100" w:rsidP="00873D21">
                <w:pPr>
                  <w:ind w:right="75"/>
                  <w:jc w:val="right"/>
                  <w:rPr>
                    <w:rFonts w:asciiTheme="minorHAnsi" w:hAnsiTheme="minorHAnsi"/>
                    <w:sz w:val="22"/>
                    <w:szCs w:val="22"/>
                  </w:rPr>
                </w:pPr>
                <w:r w:rsidRPr="00501672">
                  <w:rPr>
                    <w:rFonts w:asciiTheme="minorHAnsi" w:hAnsiTheme="minorHAnsi"/>
                    <w:noProof/>
                    <w:sz w:val="22"/>
                    <w:szCs w:val="22"/>
                  </w:rPr>
                  <w:t xml:space="preserve">  15.70</w:t>
                </w:r>
              </w:p>
            </w:tc>
            <w:tc>
              <w:tcPr>
                <w:tcW w:w="270" w:type="dxa"/>
                <w:tcBorders>
                  <w:top w:val="single" w:sz="12" w:space="0" w:color="D9D9D9"/>
                  <w:bottom w:val="single" w:sz="4" w:space="0" w:color="D9D9D9"/>
                </w:tcBorders>
                <w:shd w:val="clear" w:color="auto" w:fill="F7F7F7"/>
              </w:tcPr>
              <w:p w14:paraId="2406451E" w14:textId="77777777" w:rsidR="00030989" w:rsidRPr="00F95B9C" w:rsidRDefault="00030989" w:rsidP="00370635">
                <w:pPr>
                  <w:rPr>
                    <w:rFonts w:asciiTheme="minorHAnsi" w:hAnsiTheme="minorHAnsi"/>
                    <w:sz w:val="8"/>
                    <w:szCs w:val="22"/>
                  </w:rPr>
                </w:pPr>
              </w:p>
            </w:tc>
          </w:tr>
        </w:tbl>
        <w:p w14:paraId="676C1474" w14:textId="77777777" w:rsidR="003615CB" w:rsidRDefault="003615CB" w:rsidP="00CC0A94">
          <w:pPr>
            <w:shd w:val="clear" w:color="auto" w:fill="F7F7F7"/>
            <w:ind w:left="-691" w:right="29"/>
            <w:rPr>
              <w:rFonts w:asciiTheme="minorHAnsi" w:hAnsiTheme="minorHAnsi"/>
              <w:color w:val="767171" w:themeColor="background2" w:themeShade="80"/>
              <w:sz w:val="22"/>
              <w:szCs w:val="22"/>
            </w:rPr>
          </w:pPr>
        </w:p>
        <w:tbl>
          <w:tblPr>
            <w:tblStyle w:val="TableGrid340"/>
            <w:tblW w:w="10602" w:type="dxa"/>
            <w:tblInd w:w="-702" w:type="dxa"/>
            <w:shd w:val="clear" w:color="auto" w:fill="F7F7F7"/>
            <w:tblLayout w:type="fixed"/>
            <w:tblLook w:val="04A0" w:firstRow="1" w:lastRow="0" w:firstColumn="1" w:lastColumn="0" w:noHBand="0" w:noVBand="1"/>
          </w:tblPr>
          <w:tblGrid>
            <w:gridCol w:w="10602"/>
          </w:tblGrid>
          <w:tr w:rsidR="000C3959" w14:paraId="5DDD02DA" w14:textId="77777777" w:rsidTr="007A11E3">
            <w:trPr>
              <w:trHeight w:val="243"/>
            </w:trPr>
            <w:tc>
              <w:tcPr>
                <w:tcW w:w="10602" w:type="dxa"/>
                <w:tcBorders>
                  <w:top w:val="nil"/>
                  <w:left w:val="nil"/>
                  <w:bottom w:val="nil"/>
                  <w:right w:val="nil"/>
                </w:tcBorders>
                <w:shd w:val="clear" w:color="auto" w:fill="F7F7F7"/>
                <w:hideMark/>
              </w:tcPr>
              <w:p w14:paraId="385988AC" w14:textId="77777777" w:rsidR="007A11E3" w:rsidRDefault="00B00100" w:rsidP="00771898">
                <w:pPr>
                  <w:keepNext/>
                  <w:keepLines/>
                  <w:widowControl/>
                  <w:tabs>
                    <w:tab w:val="left" w:pos="3709"/>
                  </w:tabs>
                  <w:rPr>
                    <w:rFonts w:asciiTheme="minorHAnsi" w:hAnsiTheme="minorHAnsi"/>
                    <w:b/>
                    <w:color w:val="172D5F"/>
                    <w:sz w:val="22"/>
                    <w:szCs w:val="22"/>
                  </w:rPr>
                </w:pPr>
                <w:r>
                  <w:rPr>
                    <w:rFonts w:asciiTheme="minorHAnsi" w:hAnsiTheme="minorHAnsi"/>
                    <w:b/>
                    <w:color w:val="172D5F"/>
                    <w:sz w:val="22"/>
                    <w:szCs w:val="22"/>
                  </w:rPr>
                  <w:t>Organizations</w:t>
                </w:r>
              </w:p>
            </w:tc>
          </w:tr>
        </w:tbl>
        <w:p w14:paraId="02C35345" w14:textId="77777777" w:rsidR="007A11E3" w:rsidRPr="00E14432" w:rsidRDefault="007A11E3" w:rsidP="00CC0A94">
          <w:pPr>
            <w:keepNext/>
            <w:keepLines/>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0C3959" w14:paraId="6752C7A9" w14:textId="77777777" w:rsidTr="0067121B">
            <w:trPr>
              <w:trHeight w:val="432"/>
            </w:trPr>
            <w:tc>
              <w:tcPr>
                <w:tcW w:w="3150" w:type="dxa"/>
                <w:shd w:val="clear" w:color="auto" w:fill="F7F7F7"/>
                <w:hideMark/>
              </w:tcPr>
              <w:p w14:paraId="1A5E2B07" w14:textId="77777777" w:rsidR="009B559D" w:rsidRPr="00263960" w:rsidRDefault="00B00100" w:rsidP="00771898">
                <w:pPr>
                  <w:keepNext/>
                  <w:keepLines/>
                  <w:rPr>
                    <w:rFonts w:asciiTheme="minorHAnsi" w:hAnsiTheme="minorHAnsi"/>
                    <w:color w:val="767171" w:themeColor="background2" w:themeShade="80"/>
                    <w:sz w:val="22"/>
                    <w:szCs w:val="22"/>
                  </w:rPr>
                </w:pPr>
                <w:r w:rsidRPr="003E4FFD">
                  <w:rPr>
                    <w:rFonts w:asciiTheme="minorHAnsi" w:hAnsiTheme="minorHAnsi"/>
                    <w:color w:val="767171" w:themeColor="background2" w:themeShade="80"/>
                    <w:sz w:val="22"/>
                    <w:szCs w:val="22"/>
                  </w:rPr>
                  <w:t>Borrower</w:t>
                </w:r>
                <w:r>
                  <w:rPr>
                    <w:rFonts w:asciiTheme="minorHAnsi" w:hAnsiTheme="minorHAnsi"/>
                    <w:color w:val="767171" w:themeColor="background2" w:themeShade="80"/>
                    <w:sz w:val="22"/>
                    <w:szCs w:val="22"/>
                  </w:rPr>
                  <w:t xml:space="preserve">: </w:t>
                </w:r>
              </w:p>
            </w:tc>
            <w:tc>
              <w:tcPr>
                <w:tcW w:w="7470" w:type="dxa"/>
                <w:shd w:val="clear" w:color="auto" w:fill="F7F7F7"/>
              </w:tcPr>
              <w:p w14:paraId="29A55E6C" w14:textId="77777777" w:rsidR="009B559D" w:rsidRPr="00501672" w:rsidRDefault="00B00100"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Benin: Ministry of Economic and Finance</w:t>
                </w:r>
                <w:r>
                  <w:rPr>
                    <w:rFonts w:asciiTheme="minorHAnsi" w:hAnsiTheme="minorHAnsi"/>
                    <w:color w:val="auto"/>
                    <w:sz w:val="22"/>
                    <w:szCs w:val="22"/>
                  </w:rPr>
                  <w:t xml:space="preserve"> </w:t>
                </w:r>
              </w:p>
              <w:p w14:paraId="48242C87" w14:textId="77777777" w:rsidR="009B559D" w:rsidRPr="00501672" w:rsidRDefault="00B00100"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Togo: Ministry of Economy and Finance</w:t>
                </w:r>
                <w:r>
                  <w:rPr>
                    <w:rFonts w:asciiTheme="minorHAnsi" w:hAnsiTheme="minorHAnsi"/>
                    <w:color w:val="auto"/>
                    <w:sz w:val="22"/>
                    <w:szCs w:val="22"/>
                  </w:rPr>
                  <w:t xml:space="preserve"> </w:t>
                </w:r>
              </w:p>
              <w:p w14:paraId="2ECD01F9" w14:textId="77777777" w:rsidR="009B559D" w:rsidRPr="00501672" w:rsidRDefault="00B00100"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Niger : Ministry of Planning</w:t>
                </w:r>
                <w:r>
                  <w:rPr>
                    <w:rFonts w:asciiTheme="minorHAnsi" w:hAnsiTheme="minorHAnsi"/>
                    <w:color w:val="auto"/>
                    <w:sz w:val="22"/>
                    <w:szCs w:val="22"/>
                  </w:rPr>
                  <w:t xml:space="preserve"> </w:t>
                </w:r>
              </w:p>
              <w:p w14:paraId="09D17983" w14:textId="77777777" w:rsidR="009B559D" w:rsidRPr="00501672" w:rsidRDefault="00B00100"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Republic of The Gambia: Ministry of Finance and Economic Affairs</w:t>
                </w:r>
                <w:r>
                  <w:rPr>
                    <w:rFonts w:asciiTheme="minorHAnsi" w:hAnsiTheme="minorHAnsi"/>
                    <w:color w:val="auto"/>
                    <w:sz w:val="22"/>
                    <w:szCs w:val="22"/>
                  </w:rPr>
                  <w:t xml:space="preserve"> </w:t>
                </w:r>
              </w:p>
              <w:p w14:paraId="442F5814" w14:textId="77777777" w:rsidR="009B559D" w:rsidRPr="00501672" w:rsidRDefault="00B00100"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Federal Republic of Nigeria: Federal Ministry of Finance</w:t>
                </w:r>
                <w:r>
                  <w:rPr>
                    <w:rFonts w:asciiTheme="minorHAnsi" w:hAnsiTheme="minorHAnsi"/>
                    <w:color w:val="auto"/>
                    <w:sz w:val="22"/>
                    <w:szCs w:val="22"/>
                  </w:rPr>
                  <w:t xml:space="preserve"> </w:t>
                </w:r>
              </w:p>
            </w:tc>
          </w:tr>
          <w:tr w:rsidR="000C3959" w14:paraId="1DE2DAAF" w14:textId="77777777" w:rsidTr="0067121B">
            <w:trPr>
              <w:trHeight w:val="432"/>
            </w:trPr>
            <w:tc>
              <w:tcPr>
                <w:tcW w:w="3150" w:type="dxa"/>
                <w:shd w:val="clear" w:color="auto" w:fill="F7F7F7"/>
              </w:tcPr>
              <w:p w14:paraId="6DC29AC6" w14:textId="77777777" w:rsidR="009B559D" w:rsidRPr="00263960" w:rsidRDefault="00B00100" w:rsidP="00370635">
                <w:pPr>
                  <w:rPr>
                    <w:rFonts w:asciiTheme="minorHAnsi" w:hAnsiTheme="minorHAnsi"/>
                    <w:bCs/>
                    <w:color w:val="7F7F7F" w:themeColor="text1" w:themeTint="80"/>
                    <w:sz w:val="22"/>
                    <w:szCs w:val="22"/>
                  </w:rPr>
                </w:pPr>
                <w:r w:rsidRPr="003E4FFD">
                  <w:rPr>
                    <w:rFonts w:asciiTheme="minorHAnsi" w:hAnsiTheme="minorHAnsi"/>
                    <w:color w:val="767171" w:themeColor="background2" w:themeShade="80"/>
                    <w:sz w:val="22"/>
                    <w:szCs w:val="22"/>
                  </w:rPr>
                  <w:t>Implementing Agency</w:t>
                </w:r>
                <w:r>
                  <w:rPr>
                    <w:rFonts w:asciiTheme="minorHAnsi" w:hAnsiTheme="minorHAnsi"/>
                    <w:color w:val="767171" w:themeColor="background2" w:themeShade="80"/>
                    <w:sz w:val="22"/>
                    <w:szCs w:val="22"/>
                  </w:rPr>
                  <w:t>:</w:t>
                </w:r>
              </w:p>
            </w:tc>
            <w:tc>
              <w:tcPr>
                <w:tcW w:w="7470" w:type="dxa"/>
                <w:shd w:val="clear" w:color="auto" w:fill="F7F7F7"/>
              </w:tcPr>
              <w:p w14:paraId="5DB88BD9"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B00100" w:rsidRPr="006E25B4">
                  <w:rPr>
                    <w:rFonts w:asciiTheme="minorHAnsi" w:hAnsiTheme="minorHAnsi"/>
                    <w:noProof/>
                    <w:color w:val="auto"/>
                    <w:sz w:val="22"/>
                    <w:szCs w:val="22"/>
                  </w:rPr>
                  <w:t>Association of African Universities (RFU)</w:t>
                </w:r>
                <w:r>
                  <w:rPr>
                    <w:rFonts w:asciiTheme="minorHAnsi" w:hAnsiTheme="minorHAnsi"/>
                    <w:color w:val="auto"/>
                    <w:sz w:val="22"/>
                    <w:szCs w:val="22"/>
                  </w:rPr>
                  <w:t xml:space="preserve"> </w:t>
                </w:r>
              </w:p>
              <w:p w14:paraId="0BD9EFA8"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B00100" w:rsidRPr="006E25B4">
                  <w:rPr>
                    <w:rFonts w:asciiTheme="minorHAnsi" w:hAnsiTheme="minorHAnsi"/>
                    <w:noProof/>
                    <w:color w:val="auto"/>
                    <w:sz w:val="22"/>
                    <w:szCs w:val="22"/>
                  </w:rPr>
                  <w:t>The Gambia- Project Coordinating Unit (PCU-Gambia)</w:t>
                </w:r>
                <w:r>
                  <w:rPr>
                    <w:rFonts w:asciiTheme="minorHAnsi" w:hAnsiTheme="minorHAnsi"/>
                    <w:color w:val="auto"/>
                    <w:sz w:val="22"/>
                    <w:szCs w:val="22"/>
                  </w:rPr>
                  <w:t xml:space="preserve"> </w:t>
                </w:r>
              </w:p>
              <w:p w14:paraId="42CBC21E" w14:textId="77777777"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B00100" w:rsidRPr="006E25B4">
                  <w:rPr>
                    <w:rFonts w:asciiTheme="minorHAnsi" w:hAnsiTheme="minorHAnsi"/>
                    <w:noProof/>
                    <w:color w:val="auto"/>
                    <w:sz w:val="22"/>
                    <w:szCs w:val="22"/>
                  </w:rPr>
                  <w:t>Nigeria - National Universities Commission (NUC)</w:t>
                </w:r>
                <w:r>
                  <w:rPr>
                    <w:rFonts w:asciiTheme="minorHAnsi" w:hAnsiTheme="minorHAnsi"/>
                    <w:color w:val="auto"/>
                    <w:sz w:val="22"/>
                    <w:szCs w:val="22"/>
                  </w:rPr>
                  <w:t xml:space="preserve"> </w:t>
                </w:r>
              </w:p>
            </w:tc>
          </w:tr>
        </w:tbl>
        <w:p w14:paraId="22EC20A0" w14:textId="77777777"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340"/>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0C3959" w14:paraId="0B9F36CA" w14:textId="77777777" w:rsidTr="00152CCB">
            <w:trPr>
              <w:trHeight w:val="432"/>
            </w:trPr>
            <w:tc>
              <w:tcPr>
                <w:tcW w:w="10590" w:type="dxa"/>
                <w:shd w:val="clear" w:color="auto" w:fill="F2F2F2"/>
                <w:vAlign w:val="center"/>
                <w:hideMark/>
              </w:tcPr>
              <w:p w14:paraId="57AC64AD" w14:textId="77777777" w:rsidR="009B559D" w:rsidRPr="00656279" w:rsidRDefault="00B00100" w:rsidP="00370635">
                <w:pPr>
                  <w:rPr>
                    <w:rFonts w:eastAsia="Times New Roman"/>
                  </w:rPr>
                </w:pPr>
                <w:r w:rsidRPr="00692E93">
                  <w:rPr>
                    <w:rFonts w:asciiTheme="minorHAnsi" w:hAnsiTheme="minorHAnsi"/>
                    <w:b/>
                    <w:bCs/>
                    <w:sz w:val="22"/>
                    <w:szCs w:val="22"/>
                  </w:rPr>
                  <w:t>PROJECT FINANCING DATA (</w:t>
                </w:r>
                <w:r w:rsidR="00D76FCD" w:rsidRPr="00D76FCD">
                  <w:rPr>
                    <w:rFonts w:asciiTheme="minorHAnsi" w:hAnsiTheme="minorHAnsi"/>
                    <w:b/>
                    <w:bCs/>
                    <w:sz w:val="22"/>
                    <w:szCs w:val="22"/>
                  </w:rPr>
                  <w:t>US$, Millions</w:t>
                </w:r>
                <w:r w:rsidRPr="00692E93">
                  <w:rPr>
                    <w:rFonts w:asciiTheme="minorHAnsi" w:hAnsiTheme="minorHAnsi"/>
                    <w:b/>
                    <w:bCs/>
                    <w:sz w:val="22"/>
                    <w:szCs w:val="22"/>
                  </w:rPr>
                  <w:t>)</w:t>
                </w:r>
              </w:p>
            </w:tc>
          </w:tr>
        </w:tbl>
        <w:p w14:paraId="7605931C" w14:textId="77777777"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1234"/>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0C3959" w14:paraId="70FBBD13" w14:textId="77777777" w:rsidTr="008021F7">
            <w:trPr>
              <w:trHeight w:val="416"/>
            </w:trPr>
            <w:tc>
              <w:tcPr>
                <w:tcW w:w="10620" w:type="dxa"/>
                <w:gridSpan w:val="2"/>
                <w:tcBorders>
                  <w:top w:val="nil"/>
                  <w:bottom w:val="single" w:sz="4" w:space="0" w:color="D9D9D9"/>
                </w:tcBorders>
                <w:shd w:val="clear" w:color="auto" w:fill="F7F7F7"/>
              </w:tcPr>
              <w:p w14:paraId="4EE98E0F" w14:textId="77777777" w:rsidR="00A23B68" w:rsidRPr="00A23B68" w:rsidRDefault="00B00100" w:rsidP="006F4BA0">
                <w:pPr>
                  <w:widowControl/>
                  <w:tabs>
                    <w:tab w:val="left" w:pos="10962"/>
                  </w:tabs>
                  <w:autoSpaceDE/>
                  <w:autoSpaceDN/>
                  <w:adjustRightInd/>
                  <w:spacing w:after="220"/>
                  <w:ind w:left="-29"/>
                  <w:rPr>
                    <w:rFonts w:ascii="Calibri" w:eastAsia="Calibri" w:hAnsi="Calibri" w:cs="Times New Roman"/>
                    <w:noProof/>
                    <w:color w:val="auto"/>
                    <w:sz w:val="22"/>
                    <w:szCs w:val="22"/>
                  </w:rPr>
                </w:pPr>
                <w:r w:rsidRPr="00A23B68">
                  <w:rPr>
                    <w:rFonts w:ascii="Calibri" w:eastAsia="Calibri" w:hAnsi="Calibri" w:cs="Times New Roman"/>
                    <w:b/>
                    <w:color w:val="002060"/>
                    <w:sz w:val="22"/>
                    <w:szCs w:val="22"/>
                  </w:rPr>
                  <w:t>SUMMARY</w:t>
                </w:r>
                <w:r w:rsidRPr="00A23B68">
                  <w:rPr>
                    <w:rFonts w:ascii="Calibri" w:eastAsia="Calibri" w:hAnsi="Calibri" w:cs="Times New Roman"/>
                    <w:b/>
                    <w:color w:val="FFFFFF"/>
                    <w:sz w:val="2"/>
                    <w:szCs w:val="2"/>
                  </w:rPr>
                  <w:t>-NewFin1</w:t>
                </w:r>
              </w:p>
            </w:tc>
          </w:tr>
          <w:tr w:rsidR="000C3959" w14:paraId="7CE6DD18" w14:textId="77777777" w:rsidTr="00291552">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049163C3" w14:textId="77777777" w:rsidR="00A23B68" w:rsidRPr="00A23B68" w:rsidRDefault="00B00100"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58ACEC02" w14:textId="77777777" w:rsidR="00A23B68" w:rsidRPr="00A23B68" w:rsidRDefault="00B00100"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330.20</w:t>
                </w:r>
              </w:p>
            </w:tc>
          </w:tr>
          <w:tr w:rsidR="000C3959" w14:paraId="4073F180" w14:textId="77777777" w:rsidTr="00291552">
            <w:trPr>
              <w:trHeight w:val="432"/>
            </w:trPr>
            <w:tc>
              <w:tcPr>
                <w:tcW w:w="7740" w:type="dxa"/>
                <w:tcBorders>
                  <w:left w:val="single" w:sz="4" w:space="0" w:color="D9D9D9"/>
                </w:tcBorders>
                <w:shd w:val="clear" w:color="auto" w:fill="F7F7F7"/>
                <w:vAlign w:val="center"/>
              </w:tcPr>
              <w:p w14:paraId="3FBCCFCA" w14:textId="77777777" w:rsidR="00A23B68" w:rsidRPr="00A23B68" w:rsidRDefault="00B00100"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497C4BC7" w14:textId="77777777" w:rsidR="00A23B68" w:rsidRPr="00A23B68" w:rsidRDefault="00B00100"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330.20</w:t>
                </w:r>
              </w:p>
            </w:tc>
          </w:tr>
          <w:tr w:rsidR="000C3959" w14:paraId="25800480" w14:textId="77777777" w:rsidTr="00291552">
            <w:trPr>
              <w:trHeight w:val="432"/>
            </w:trPr>
            <w:tc>
              <w:tcPr>
                <w:tcW w:w="7740" w:type="dxa"/>
                <w:tcBorders>
                  <w:left w:val="single" w:sz="4" w:space="0" w:color="D9D9D9"/>
                </w:tcBorders>
                <w:shd w:val="clear" w:color="auto" w:fill="F7F7F7"/>
                <w:vAlign w:val="center"/>
              </w:tcPr>
              <w:p w14:paraId="3B049E08" w14:textId="77777777" w:rsidR="00A23B68" w:rsidRPr="00A23B68" w:rsidRDefault="00B00100" w:rsidP="00291552">
                <w:pPr>
                  <w:widowControl/>
                  <w:autoSpaceDE/>
                  <w:autoSpaceDN/>
                  <w:adjustRightInd/>
                  <w:spacing w:before="20"/>
                  <w:ind w:firstLine="795"/>
                  <w:rPr>
                    <w:rFonts w:ascii="Calibri Light" w:eastAsia="Calibri" w:hAnsi="Calibri Light" w:cs="Calibri Light"/>
                    <w:color w:val="auto"/>
                    <w:sz w:val="22"/>
                    <w:szCs w:val="22"/>
                  </w:rPr>
                </w:pPr>
                <w:r w:rsidRPr="00A23B68">
                  <w:rPr>
                    <w:rFonts w:ascii="Calibri" w:eastAsia="Calibri" w:hAnsi="Calibri" w:cs="Times New Roman"/>
                    <w:b/>
                    <w:color w:val="auto"/>
                    <w:sz w:val="22"/>
                    <w:szCs w:val="22"/>
                  </w:rPr>
                  <w:t>of which IBRD/IDA</w:t>
                </w:r>
                <w:r w:rsidRPr="00A23B68">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3B2F6D47" w14:textId="77777777" w:rsidR="00A23B68" w:rsidRPr="00A23B68" w:rsidRDefault="00B00100"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131.00</w:t>
                </w:r>
              </w:p>
            </w:tc>
          </w:tr>
          <w:tr w:rsidR="000C3959" w14:paraId="44BE6BB2" w14:textId="77777777" w:rsidTr="00291552">
            <w:trPr>
              <w:trHeight w:val="432"/>
            </w:trPr>
            <w:tc>
              <w:tcPr>
                <w:tcW w:w="7740" w:type="dxa"/>
                <w:tcBorders>
                  <w:left w:val="single" w:sz="4" w:space="0" w:color="D9D9D9"/>
                  <w:bottom w:val="single" w:sz="4" w:space="0" w:color="D9D9D9"/>
                </w:tcBorders>
                <w:shd w:val="clear" w:color="auto" w:fill="F7F7F7"/>
                <w:vAlign w:val="center"/>
              </w:tcPr>
              <w:p w14:paraId="3B3975D2" w14:textId="77777777" w:rsidR="00A23B68" w:rsidRPr="00A23B68" w:rsidRDefault="00B00100"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2669D288" w14:textId="77777777" w:rsidR="00A23B68" w:rsidRPr="00A23B68" w:rsidRDefault="00B00100"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0C3959" w14:paraId="3900A1A0" w14:textId="77777777" w:rsidTr="00CC0A94">
            <w:trPr>
              <w:trHeight w:val="288"/>
            </w:trPr>
            <w:tc>
              <w:tcPr>
                <w:tcW w:w="10620" w:type="dxa"/>
                <w:gridSpan w:val="2"/>
                <w:tcBorders>
                  <w:left w:val="nil"/>
                  <w:bottom w:val="nil"/>
                  <w:right w:val="nil"/>
                </w:tcBorders>
                <w:shd w:val="clear" w:color="auto" w:fill="F7F7F7"/>
              </w:tcPr>
              <w:p w14:paraId="58365FA8" w14:textId="77777777" w:rsidR="00CC0A94" w:rsidRDefault="00CC0A94" w:rsidP="00CC0A94">
                <w:pPr>
                  <w:widowControl/>
                  <w:tabs>
                    <w:tab w:val="left" w:pos="204"/>
                    <w:tab w:val="right" w:pos="2701"/>
                  </w:tabs>
                  <w:autoSpaceDE/>
                  <w:autoSpaceDN/>
                  <w:adjustRightInd/>
                  <w:spacing w:before="20" w:line="200" w:lineRule="exact"/>
                  <w:ind w:right="86"/>
                  <w:jc w:val="right"/>
                  <w:rPr>
                    <w:rFonts w:ascii="Calibri" w:eastAsia="Calibri" w:hAnsi="Calibri" w:cs="Times New Roman"/>
                    <w:noProof/>
                    <w:color w:val="auto"/>
                    <w:sz w:val="22"/>
                    <w:szCs w:val="22"/>
                  </w:rPr>
                </w:pPr>
              </w:p>
            </w:tc>
          </w:tr>
        </w:tbl>
        <w:p w14:paraId="684538AF" w14:textId="77777777" w:rsidR="00A23B68" w:rsidRDefault="00A23B68" w:rsidP="008D3405">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34"/>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0C3959" w14:paraId="0B32753C" w14:textId="77777777" w:rsidTr="00291552">
            <w:trPr>
              <w:trHeight w:val="467"/>
            </w:trPr>
            <w:tc>
              <w:tcPr>
                <w:tcW w:w="10620" w:type="dxa"/>
                <w:gridSpan w:val="2"/>
                <w:tcBorders>
                  <w:top w:val="nil"/>
                  <w:bottom w:val="nil"/>
                </w:tcBorders>
                <w:shd w:val="clear" w:color="auto" w:fill="F7F7F7"/>
              </w:tcPr>
              <w:p w14:paraId="429C8F4E" w14:textId="77777777" w:rsidR="00A23B68" w:rsidRPr="009D5FA5" w:rsidRDefault="00B00100" w:rsidP="008D3405">
                <w:pPr>
                  <w:widowControl/>
                  <w:tabs>
                    <w:tab w:val="left" w:pos="10962"/>
                  </w:tabs>
                  <w:autoSpaceDE/>
                  <w:autoSpaceDN/>
                  <w:adjustRightInd/>
                  <w:ind w:left="-24"/>
                  <w:rPr>
                    <w:rFonts w:ascii="Calibri" w:eastAsia="Calibri" w:hAnsi="Calibri" w:cs="Times New Roman"/>
                    <w:color w:val="auto"/>
                    <w:sz w:val="22"/>
                    <w:szCs w:val="22"/>
                  </w:rPr>
                </w:pPr>
                <w:r w:rsidRPr="009D5FA5">
                  <w:rPr>
                    <w:rFonts w:ascii="Calibri" w:eastAsia="Calibri" w:hAnsi="Calibri" w:cs="Times New Roman"/>
                    <w:b/>
                    <w:color w:val="002060"/>
                    <w:sz w:val="22"/>
                    <w:szCs w:val="22"/>
                  </w:rPr>
                  <w:t>DETAILS</w:t>
                </w:r>
                <w:r w:rsidRPr="009D5FA5">
                  <w:rPr>
                    <w:rFonts w:ascii="Calibri" w:eastAsia="Calibri" w:hAnsi="Calibri" w:cs="Times New Roman"/>
                    <w:b/>
                    <w:color w:val="F7F7F7"/>
                    <w:sz w:val="2"/>
                    <w:szCs w:val="2"/>
                  </w:rPr>
                  <w:t>-NewFinEnh1</w:t>
                </w:r>
              </w:p>
            </w:tc>
          </w:tr>
          <w:tr w:rsidR="000C3959" w14:paraId="034E35CD" w14:textId="77777777" w:rsidTr="00291552">
            <w:trPr>
              <w:trHeight w:val="432"/>
            </w:trPr>
            <w:tc>
              <w:tcPr>
                <w:tcW w:w="10620" w:type="dxa"/>
                <w:gridSpan w:val="2"/>
                <w:tcBorders>
                  <w:top w:val="nil"/>
                  <w:left w:val="nil"/>
                  <w:right w:val="nil"/>
                </w:tcBorders>
                <w:shd w:val="clear" w:color="auto" w:fill="F7F7F7"/>
              </w:tcPr>
              <w:p w14:paraId="29C846BB" w14:textId="77777777" w:rsidR="00A23B68" w:rsidRPr="00A23B68" w:rsidRDefault="00B00100" w:rsidP="00291552">
                <w:pPr>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World Bank Group Financing</w:t>
                </w:r>
              </w:p>
            </w:tc>
          </w:tr>
          <w:tr w:rsidR="000C3959" w14:paraId="56454696"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6A729FFC" w14:textId="27AEAD24" w:rsidR="00A23B68" w:rsidRPr="00A23B68" w:rsidRDefault="00B00100" w:rsidP="009D5FA5">
                <w:pPr>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International Development Association (IDA)</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404040"/>
                    <w:sz w:val="22"/>
                    <w:szCs w:val="22"/>
                  </w:rPr>
                  <w:t xml:space="preserve">   International Development Association (IDA)</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4A706E53" w14:textId="77777777" w:rsidR="00A23B68" w:rsidRPr="00A23B68" w:rsidRDefault="00B00100" w:rsidP="00291552">
                <w:pPr>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131.00</w:t>
                </w:r>
              </w:p>
            </w:tc>
          </w:tr>
          <w:tr w:rsidR="000C3959" w14:paraId="681B7D67"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3AB1B991" w14:textId="245E8121" w:rsidR="00A23B68" w:rsidRPr="00A23B68" w:rsidRDefault="00B00100" w:rsidP="009D5FA5">
                <w:pPr>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IDA Credit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instrText xml:space="preserve">          </w:instrText>
                </w:r>
                <w:r w:rsidR="00552983" w:rsidRPr="00A23B68">
                  <w:rPr>
                    <w:rFonts w:ascii="Calibri" w:eastAsia="Calibri" w:hAnsi="Calibri" w:cs="Times New Roman"/>
                    <w:noProof/>
                    <w:color w:val="595959"/>
                    <w:sz w:val="21"/>
                    <w:szCs w:val="21"/>
                  </w:rPr>
                  <w:instrText>IDA Credit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595959"/>
                    <w:sz w:val="21"/>
                    <w:szCs w:val="21"/>
                  </w:rPr>
                  <w:t>IDA Credit</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4F28B7AE" w14:textId="77777777" w:rsidR="00A23B68" w:rsidRPr="00A23B68" w:rsidRDefault="00B00100" w:rsidP="00291552">
                <w:pPr>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94.00</w:t>
                </w:r>
              </w:p>
            </w:tc>
          </w:tr>
          <w:tr w:rsidR="000C3959" w14:paraId="52ACB5A5" w14:textId="77777777" w:rsidTr="006F4BA0">
            <w:trPr>
              <w:trHeight w:val="432"/>
            </w:trPr>
            <w:tc>
              <w:tcPr>
                <w:tcW w:w="7740" w:type="dxa"/>
                <w:tcBorders>
                  <w:top w:val="nil"/>
                  <w:left w:val="single" w:sz="4" w:space="0" w:color="D9D9D9"/>
                  <w:bottom w:val="single" w:sz="4" w:space="0" w:color="D9D9D9"/>
                </w:tcBorders>
                <w:shd w:val="clear" w:color="auto" w:fill="F7F7F7"/>
                <w:vAlign w:val="center"/>
              </w:tcPr>
              <w:p w14:paraId="01A6C78A" w14:textId="6EDC4DAD" w:rsidR="00A23B68" w:rsidRPr="00A23B68" w:rsidRDefault="00B00100" w:rsidP="009D5FA5">
                <w:pPr>
                  <w:widowControl/>
                  <w:autoSpaceDE/>
                  <w:autoSpaceDN/>
                  <w:adjustRightInd/>
                  <w:ind w:right="75"/>
                  <w:rPr>
                    <w:rFonts w:ascii="Calibri" w:eastAsia="Calibri" w:hAnsi="Calibri" w:cs="Times New Roman"/>
                    <w:color w:val="auto"/>
                    <w:sz w:val="22"/>
                    <w:szCs w:val="22"/>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IDA Grant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instrText xml:space="preserve">          </w:instrText>
                </w:r>
                <w:r w:rsidR="00552983" w:rsidRPr="00A23B68">
                  <w:rPr>
                    <w:rFonts w:ascii="Calibri" w:eastAsia="Calibri" w:hAnsi="Calibri" w:cs="Times New Roman"/>
                    <w:noProof/>
                    <w:color w:val="595959"/>
                    <w:sz w:val="21"/>
                    <w:szCs w:val="21"/>
                  </w:rPr>
                  <w:instrText>IDA Grant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595959"/>
                    <w:sz w:val="21"/>
                    <w:szCs w:val="21"/>
                  </w:rPr>
                  <w:t>IDA Grant</w:t>
                </w:r>
                <w:r w:rsidRPr="00A23B68">
                  <w:rPr>
                    <w:rFonts w:ascii="Calibri" w:eastAsia="Calibri" w:hAnsi="Calibri" w:cs="Times New Roman"/>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7641BAEB" w14:textId="77777777" w:rsidR="00A23B68" w:rsidRPr="00A23B68" w:rsidRDefault="00B00100" w:rsidP="00291552">
                <w:pPr>
                  <w:widowControl/>
                  <w:tabs>
                    <w:tab w:val="left" w:pos="598"/>
                    <w:tab w:val="right" w:pos="2791"/>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37.00</w:t>
                </w:r>
              </w:p>
            </w:tc>
          </w:tr>
          <w:tr w:rsidR="000C3959" w14:paraId="0090DD56" w14:textId="77777777" w:rsidTr="006F4BA0">
            <w:trPr>
              <w:trHeight w:val="432"/>
            </w:trPr>
            <w:tc>
              <w:tcPr>
                <w:tcW w:w="10620" w:type="dxa"/>
                <w:gridSpan w:val="2"/>
                <w:tcBorders>
                  <w:top w:val="single" w:sz="4" w:space="0" w:color="D9D9D9"/>
                  <w:left w:val="nil"/>
                  <w:bottom w:val="single" w:sz="4" w:space="0" w:color="D9D9D9"/>
                  <w:right w:val="nil"/>
                </w:tcBorders>
                <w:shd w:val="clear" w:color="auto" w:fill="F7F7F7"/>
                <w:vAlign w:val="center"/>
              </w:tcPr>
              <w:p w14:paraId="46C14C17" w14:textId="77777777" w:rsidR="00A23B68" w:rsidRPr="00A23B68" w:rsidRDefault="00B00100" w:rsidP="00291552">
                <w:pPr>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lastRenderedPageBreak/>
                  <w:t>Non-World Bank Group Financing</w:t>
                </w:r>
              </w:p>
            </w:tc>
          </w:tr>
          <w:tr w:rsidR="000C3959" w14:paraId="696572A3"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5087CA96" w14:textId="338292C7" w:rsidR="00A23B68" w:rsidRPr="00A23B68" w:rsidRDefault="00B00100"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Counterpart Funding</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404040"/>
                    <w:sz w:val="22"/>
                    <w:szCs w:val="22"/>
                  </w:rPr>
                  <w:t xml:space="preserve">   Counterpart Funding</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0473CBFE" w14:textId="77777777" w:rsidR="00A23B68" w:rsidRPr="00A23B68" w:rsidRDefault="00B00100"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148.00</w:t>
                </w:r>
              </w:p>
            </w:tc>
          </w:tr>
          <w:tr w:rsidR="000C3959" w14:paraId="32776DE8"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73EBCD39" w14:textId="05CD21BD" w:rsidR="00A23B68" w:rsidRPr="00A23B68" w:rsidRDefault="00B00100"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Borrower/Recipient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instrText xml:space="preserve">          </w:instrText>
                </w:r>
                <w:r w:rsidR="00552983" w:rsidRPr="00A23B68">
                  <w:rPr>
                    <w:rFonts w:ascii="Calibri" w:eastAsia="Calibri" w:hAnsi="Calibri" w:cs="Times New Roman"/>
                    <w:noProof/>
                    <w:color w:val="595959"/>
                    <w:sz w:val="21"/>
                    <w:szCs w:val="21"/>
                  </w:rPr>
                  <w:instrText>Borrower/Recipient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595959"/>
                    <w:sz w:val="21"/>
                    <w:szCs w:val="21"/>
                  </w:rPr>
                  <w:t>Borrower/Recipient</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382D0722" w14:textId="77777777" w:rsidR="00A23B68" w:rsidRPr="00A23B68" w:rsidRDefault="00B00100"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148.00</w:t>
                </w:r>
              </w:p>
            </w:tc>
          </w:tr>
          <w:tr w:rsidR="000C3959" w14:paraId="06E40C32"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2AC02CDB" w14:textId="19489C0B" w:rsidR="00A23B68" w:rsidRPr="00A23B68" w:rsidRDefault="00B00100"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Other Sources</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404040"/>
                    <w:sz w:val="22"/>
                    <w:szCs w:val="22"/>
                  </w:rPr>
                  <w:t xml:space="preserve">   Other Sources</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2985A3A7" w14:textId="77777777" w:rsidR="00A23B68" w:rsidRPr="00A23B68" w:rsidRDefault="00B00100"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51.20</w:t>
                </w:r>
              </w:p>
            </w:tc>
          </w:tr>
          <w:tr w:rsidR="000C3959" w14:paraId="3121F2AC" w14:textId="77777777"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75B49B6C" w14:textId="557A57CA" w:rsidR="00A23B68" w:rsidRPr="00A23B68" w:rsidRDefault="00B00100"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FRANCE: French Agency for Development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instrText xml:space="preserve">          </w:instrText>
                </w:r>
                <w:r w:rsidR="00552983" w:rsidRPr="00A23B68">
                  <w:rPr>
                    <w:rFonts w:ascii="Calibri" w:eastAsia="Calibri" w:hAnsi="Calibri" w:cs="Times New Roman"/>
                    <w:noProof/>
                    <w:color w:val="595959"/>
                    <w:sz w:val="21"/>
                    <w:szCs w:val="21"/>
                  </w:rPr>
                  <w:instrText>FRANCE: French Agency for Development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552983" w:rsidRPr="00A23B68">
                  <w:rPr>
                    <w:rFonts w:ascii="Calibri" w:eastAsia="Calibri" w:hAnsi="Calibri" w:cs="Times New Roman"/>
                    <w:noProof/>
                    <w:color w:val="auto"/>
                    <w:sz w:val="22"/>
                    <w:szCs w:val="22"/>
                  </w:rPr>
                  <w:t xml:space="preserve">          </w:t>
                </w:r>
                <w:r w:rsidR="00552983" w:rsidRPr="00A23B68">
                  <w:rPr>
                    <w:rFonts w:ascii="Calibri" w:eastAsia="Calibri" w:hAnsi="Calibri" w:cs="Times New Roman"/>
                    <w:noProof/>
                    <w:color w:val="595959"/>
                    <w:sz w:val="21"/>
                    <w:szCs w:val="21"/>
                  </w:rPr>
                  <w:t>FRANCE: French Agency for Development</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2CBB8675" w14:textId="77777777" w:rsidR="00A23B68" w:rsidRPr="00A23B68" w:rsidRDefault="00B00100"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51.20</w:t>
                </w:r>
              </w:p>
            </w:tc>
          </w:tr>
          <w:tr w:rsidR="000C3959" w14:paraId="64608D43" w14:textId="77777777" w:rsidTr="00497B3C">
            <w:trPr>
              <w:trHeight w:val="288"/>
            </w:trPr>
            <w:tc>
              <w:tcPr>
                <w:tcW w:w="10620" w:type="dxa"/>
                <w:gridSpan w:val="2"/>
                <w:tcBorders>
                  <w:top w:val="single" w:sz="4" w:space="0" w:color="D9D9D9"/>
                  <w:left w:val="nil"/>
                  <w:bottom w:val="nil"/>
                  <w:right w:val="nil"/>
                </w:tcBorders>
                <w:shd w:val="clear" w:color="auto" w:fill="F7F7F7"/>
              </w:tcPr>
              <w:p w14:paraId="7E6784DA" w14:textId="77777777" w:rsidR="00497B3C" w:rsidRPr="00A23B68" w:rsidRDefault="00497B3C" w:rsidP="00497B3C">
                <w:pPr>
                  <w:widowControl/>
                  <w:tabs>
                    <w:tab w:val="left" w:pos="598"/>
                    <w:tab w:val="right" w:pos="2844"/>
                  </w:tabs>
                  <w:autoSpaceDE/>
                  <w:autoSpaceDN/>
                  <w:adjustRightInd/>
                  <w:spacing w:line="200" w:lineRule="exact"/>
                  <w:ind w:right="86"/>
                  <w:jc w:val="right"/>
                  <w:rPr>
                    <w:rFonts w:ascii="Calibri" w:eastAsia="Calibri" w:hAnsi="Calibri" w:cs="Times New Roman"/>
                    <w:color w:val="auto"/>
                    <w:sz w:val="22"/>
                    <w:szCs w:val="22"/>
                  </w:rPr>
                </w:pPr>
              </w:p>
            </w:tc>
          </w:tr>
        </w:tbl>
        <w:p w14:paraId="67183D19" w14:textId="77777777" w:rsidR="00EC58F8" w:rsidRDefault="00EC58F8" w:rsidP="00EC3E19">
          <w:pPr>
            <w:keepNext/>
            <w:widowControl/>
            <w:shd w:val="clear" w:color="auto" w:fill="F7F7F7"/>
            <w:spacing w:line="14" w:lineRule="exact"/>
            <w:ind w:left="-691" w:right="29"/>
            <w:rPr>
              <w:rFonts w:asciiTheme="minorHAnsi" w:hAnsiTheme="minorHAnsi"/>
              <w:color w:val="767171" w:themeColor="background2" w:themeShade="80"/>
              <w:sz w:val="22"/>
              <w:szCs w:val="22"/>
            </w:rPr>
          </w:pPr>
        </w:p>
        <w:p w14:paraId="27ECC84B" w14:textId="77777777" w:rsidR="00A23B68" w:rsidRDefault="00A23B68" w:rsidP="007E51E8">
          <w:pPr>
            <w:widowControl/>
            <w:shd w:val="clear" w:color="auto" w:fill="F7F7F7"/>
            <w:spacing w:line="14" w:lineRule="exact"/>
            <w:ind w:left="-691" w:right="29"/>
            <w:rPr>
              <w:rFonts w:asciiTheme="minorHAnsi" w:hAnsiTheme="minorHAnsi"/>
              <w:color w:val="767171" w:themeColor="background2" w:themeShade="80"/>
              <w:sz w:val="22"/>
              <w:szCs w:val="22"/>
            </w:rPr>
          </w:pPr>
        </w:p>
        <w:p w14:paraId="41CCA16A" w14:textId="77777777" w:rsidR="004203E6" w:rsidRDefault="004203E6" w:rsidP="0056427A">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34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2610"/>
            <w:gridCol w:w="1890"/>
            <w:gridCol w:w="1980"/>
            <w:gridCol w:w="2070"/>
            <w:gridCol w:w="2070"/>
          </w:tblGrid>
          <w:tr w:rsidR="000C3959" w14:paraId="13280673" w14:textId="77777777" w:rsidTr="00650FCA">
            <w:trPr>
              <w:trHeight w:val="374"/>
            </w:trPr>
            <w:tc>
              <w:tcPr>
                <w:tcW w:w="10620" w:type="dxa"/>
                <w:gridSpan w:val="5"/>
                <w:tcBorders>
                  <w:top w:val="nil"/>
                  <w:left w:val="nil"/>
                  <w:bottom w:val="single" w:sz="4" w:space="0" w:color="D9D9D9"/>
                  <w:right w:val="nil"/>
                </w:tcBorders>
                <w:shd w:val="clear" w:color="auto" w:fill="F7F7F7"/>
              </w:tcPr>
              <w:p w14:paraId="625933E0" w14:textId="77777777" w:rsidR="00650FCA" w:rsidRPr="00692E93" w:rsidRDefault="00B00100" w:rsidP="00370635">
                <w:pPr>
                  <w:pStyle w:val="Normal102"/>
                  <w:keepNext/>
                  <w:widowControl/>
                  <w:ind w:left="90"/>
                  <w:rPr>
                    <w:rFonts w:asciiTheme="minorHAnsi" w:hAnsiTheme="minorHAnsi"/>
                    <w:color w:val="7F7F7F" w:themeColor="text1" w:themeTint="80"/>
                    <w:sz w:val="22"/>
                    <w:szCs w:val="22"/>
                  </w:rPr>
                </w:pPr>
                <w:r>
                  <w:rPr>
                    <w:rFonts w:ascii="Calibri" w:hAnsi="Calibri"/>
                    <w:b/>
                    <w:color w:val="172D5F"/>
                    <w:sz w:val="22"/>
                    <w:szCs w:val="22"/>
                  </w:rPr>
                  <w:t>IDA Resources (in US$, Millions)</w:t>
                </w:r>
              </w:p>
            </w:tc>
          </w:tr>
          <w:tr w:rsidR="000C3959" w14:paraId="5057BC7B"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8C16BD" w14:textId="77777777" w:rsidR="00650FCA" w:rsidRDefault="00650FCA" w:rsidP="00370635">
                <w:pPr>
                  <w:pStyle w:val="Normal102"/>
                  <w:ind w:right="135"/>
                  <w:jc w:val="right"/>
                </w:pP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510389" w14:textId="77777777" w:rsidR="00650FCA" w:rsidRPr="00873F3B" w:rsidRDefault="00B00100" w:rsidP="00370635">
                <w:pPr>
                  <w:pStyle w:val="Normal102"/>
                  <w:keepNext/>
                  <w:widowControl/>
                  <w:ind w:right="180"/>
                  <w:jc w:val="right"/>
                  <w:rPr>
                    <w:rFonts w:ascii="Calibri" w:hAnsi="Calibri" w:cs="Calibri"/>
                    <w:noProof/>
                    <w:color w:val="auto"/>
                    <w:sz w:val="22"/>
                    <w:szCs w:val="22"/>
                  </w:rPr>
                </w:pPr>
                <w:r w:rsidRPr="002E2240">
                  <w:rPr>
                    <w:rFonts w:ascii="Calibri" w:hAnsi="Calibri" w:cs="Calibri"/>
                    <w:b/>
                    <w:noProof/>
                    <w:color w:val="595959"/>
                    <w:sz w:val="22"/>
                    <w:szCs w:val="22"/>
                  </w:rPr>
                  <w:t>Credit Amount</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01856D" w14:textId="77777777" w:rsidR="00650FCA" w:rsidRPr="00873F3B" w:rsidRDefault="00B00100" w:rsidP="00370635">
                <w:pPr>
                  <w:pStyle w:val="Normal102"/>
                  <w:keepNext/>
                  <w:widowControl/>
                  <w:ind w:right="144"/>
                  <w:jc w:val="right"/>
                  <w:rPr>
                    <w:rFonts w:ascii="Calibri" w:hAnsi="Calibri" w:cs="Calibri"/>
                    <w:noProof/>
                    <w:color w:val="auto"/>
                    <w:sz w:val="22"/>
                    <w:szCs w:val="22"/>
                  </w:rPr>
                </w:pPr>
                <w:r w:rsidRPr="002E2240">
                  <w:rPr>
                    <w:rFonts w:ascii="Calibri" w:hAnsi="Calibri" w:cs="Calibri"/>
                    <w:b/>
                    <w:noProof/>
                    <w:color w:val="595959"/>
                    <w:sz w:val="22"/>
                    <w:szCs w:val="22"/>
                  </w:rPr>
                  <w:t>Grant</w:t>
                </w:r>
                <w:r>
                  <w:rPr>
                    <w:rFonts w:ascii="Calibri" w:hAnsi="Calibri" w:cs="Calibri"/>
                    <w:b/>
                    <w:noProof/>
                    <w:color w:val="595959"/>
                    <w:sz w:val="22"/>
                    <w:szCs w:val="22"/>
                  </w:rPr>
                  <w:t xml:space="preserve"> Amount</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685FC4" w14:textId="77777777" w:rsidR="00650FCA" w:rsidRPr="002E2240" w:rsidRDefault="00B00100" w:rsidP="00650FCA">
                <w:pPr>
                  <w:pStyle w:val="Normal102"/>
                  <w:keepNext/>
                  <w:widowControl/>
                  <w:ind w:right="144"/>
                  <w:jc w:val="right"/>
                  <w:rPr>
                    <w:rFonts w:ascii="Calibri" w:hAnsi="Calibri" w:cs="Calibri"/>
                    <w:b/>
                    <w:noProof/>
                    <w:color w:val="595959"/>
                    <w:sz w:val="22"/>
                    <w:szCs w:val="22"/>
                  </w:rPr>
                </w:pPr>
                <w:r>
                  <w:rPr>
                    <w:rFonts w:ascii="Calibri" w:hAnsi="Calibri" w:cs="Calibri"/>
                    <w:b/>
                    <w:noProof/>
                    <w:color w:val="595959"/>
                    <w:sz w:val="22"/>
                    <w:szCs w:val="22"/>
                  </w:rPr>
                  <w:t>Guarantee Amount</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2ED2BE" w14:textId="77777777" w:rsidR="00650FCA" w:rsidRPr="00873F3B" w:rsidRDefault="00B00100" w:rsidP="00370635">
                <w:pPr>
                  <w:pStyle w:val="Normal102"/>
                  <w:keepNext/>
                  <w:widowControl/>
                  <w:ind w:right="144"/>
                  <w:jc w:val="right"/>
                  <w:rPr>
                    <w:rFonts w:ascii="Calibri" w:hAnsi="Calibri" w:cs="Calibri"/>
                    <w:noProof/>
                    <w:color w:val="auto"/>
                    <w:sz w:val="22"/>
                    <w:szCs w:val="22"/>
                  </w:rPr>
                </w:pPr>
                <w:r w:rsidRPr="002E2240">
                  <w:rPr>
                    <w:rFonts w:ascii="Calibri" w:hAnsi="Calibri" w:cs="Calibri"/>
                    <w:b/>
                    <w:noProof/>
                    <w:color w:val="595959"/>
                    <w:sz w:val="22"/>
                    <w:szCs w:val="22"/>
                  </w:rPr>
                  <w:t>Total Amount</w:t>
                </w:r>
              </w:p>
            </w:tc>
          </w:tr>
          <w:tr w:rsidR="000C3959" w14:paraId="32DD8AE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E6A561"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Benin</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636D41"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2.00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63297B"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4.00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3B4FD7"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72C432"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r>
          <w:tr w:rsidR="000C3959" w14:paraId="7E1CE28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25B5F9"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National PBA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C3024C"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3C0CBB"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2.00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123B8"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84361E"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2.00</w:t>
                </w:r>
              </w:p>
            </w:tc>
          </w:tr>
          <w:tr w:rsidR="000C3959" w14:paraId="016F070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2A6540"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7B21CA"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2.00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CC1E8C"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2.00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BCA45F"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FA9D3D"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4.00</w:t>
                </w:r>
              </w:p>
            </w:tc>
          </w:tr>
          <w:tr w:rsidR="000C3959" w14:paraId="629E3E4E"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6C5CAD"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Gambia, The</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2C0BE0"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D06A1A"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8341D8"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81EE43"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r>
          <w:tr w:rsidR="000C3959" w14:paraId="219A4D7C"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C9187D"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National PBA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BD71AB"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BE6325"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4.00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EE5ADB"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206A4A"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4.00</w:t>
                </w:r>
              </w:p>
            </w:tc>
          </w:tr>
          <w:tr w:rsidR="000C3959" w14:paraId="03F83F4B"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9B5528"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EA177"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254C6F"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8.00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F24857"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CE21EC"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8.00</w:t>
                </w:r>
              </w:p>
            </w:tc>
          </w:tr>
          <w:tr w:rsidR="000C3959" w14:paraId="6EBDF0B0"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A0CA94"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Niger</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881A8"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E2E777"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D6AD7B"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C9F4B7"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15.00</w:t>
                </w:r>
              </w:p>
            </w:tc>
          </w:tr>
          <w:tr w:rsidR="000C3959" w14:paraId="43E30E9F"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77279"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National PBA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7F3A0B"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E2604E"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9585E6"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3EA23E"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r>
          <w:tr w:rsidR="000C3959" w14:paraId="5929F140"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B4CB64"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BAF2B"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D791"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79B270"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BF4795"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10.00</w:t>
                </w:r>
              </w:p>
            </w:tc>
          </w:tr>
          <w:tr w:rsidR="000C3959" w14:paraId="6EB488A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190116"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Nigeria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4B84DC"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75.00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34938F"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0DB228"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78A73C"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75.00</w:t>
                </w:r>
              </w:p>
            </w:tc>
          </w:tr>
          <w:tr w:rsidR="000C3959" w14:paraId="6C04F54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EA6E8B"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National PBA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8D42"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25.00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FAF0BF"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F2AC12"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C022D4"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25.00</w:t>
                </w:r>
              </w:p>
            </w:tc>
          </w:tr>
          <w:tr w:rsidR="000C3959" w14:paraId="09A5ECF6"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41C171"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A6C539"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50.00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E8E5E4"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8088F"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FD40A6"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50.00</w:t>
                </w:r>
              </w:p>
            </w:tc>
          </w:tr>
          <w:tr w:rsidR="000C3959" w14:paraId="4B3B6AAD"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8045E0"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Togo</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05782A"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DFE2A3"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0658F7"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8FB5B9"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18.00</w:t>
                </w:r>
              </w:p>
            </w:tc>
          </w:tr>
          <w:tr w:rsidR="000C3959" w14:paraId="259EAC11"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783AFA"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National PBA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7B5147"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E9DD11"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D2D1EE"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CC81DC"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r>
          <w:tr w:rsidR="000C3959" w14:paraId="26B483BB"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3BC52B"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07D6EB"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CCB61C"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6.00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73279D"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C38AE6"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12.00</w:t>
                </w:r>
              </w:p>
            </w:tc>
          </w:tr>
          <w:tr w:rsidR="000C3959" w14:paraId="41EBB8E0"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2E5F2B" w14:textId="77777777" w:rsidR="00650FCA" w:rsidRPr="00C940EF" w:rsidRDefault="00092070" w:rsidP="00502053">
                <w:pPr>
                  <w:widowControl/>
                  <w:autoSpaceDE/>
                  <w:autoSpaceDN/>
                  <w:adjustRightInd/>
                  <w:ind w:right="43"/>
                  <w:rPr>
                    <w:rFonts w:asciiTheme="minorHAnsi" w:eastAsiaTheme="minorHAnsi" w:hAnsiTheme="minorHAnsi" w:cstheme="minorBidi"/>
                    <w:color w:val="000000" w:themeColor="text1"/>
                    <w:sz w:val="22"/>
                    <w:szCs w:val="22"/>
                  </w:rPr>
                </w:pPr>
                <w:r>
                  <w:rPr>
                    <w:rFonts w:ascii="Calibri" w:eastAsia="Calibri" w:hAnsi="Calibri" w:cs="Calibri"/>
                    <w:b/>
                    <w:bCs/>
                    <w:noProof/>
                    <w:sz w:val="22"/>
                    <w:szCs w:val="22"/>
                  </w:rPr>
                  <w:t>Africa</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5E456"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15B0DA"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2E6D8B"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2D38DF"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r>
          <w:tr w:rsidR="000C3959" w14:paraId="6D660715"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203881" w14:textId="77777777" w:rsidR="00092070" w:rsidRDefault="00B00100" w:rsidP="00502053">
                <w:pPr>
                  <w:widowControl/>
                  <w:autoSpaceDE/>
                  <w:autoSpaceDN/>
                  <w:adjustRightInd/>
                  <w:ind w:left="300" w:right="43"/>
                  <w:rPr>
                    <w:rFonts w:asciiTheme="minorHAnsi" w:eastAsiaTheme="minorHAnsi" w:hAnsiTheme="minorHAnsi" w:cstheme="minorHAnsi"/>
                    <w:noProof/>
                    <w:color w:val="auto"/>
                    <w:sz w:val="22"/>
                    <w:szCs w:val="22"/>
                  </w:rPr>
                </w:pPr>
                <w:r>
                  <w:rPr>
                    <w:rFonts w:ascii="Calibri" w:eastAsia="Calibri" w:hAnsi="Calibri" w:cs="Calibri"/>
                    <w:noProof/>
                    <w:sz w:val="22"/>
                    <w:szCs w:val="22"/>
                  </w:rPr>
                  <w:t>Regional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245925" w14:textId="77777777" w:rsidR="00650FCA" w:rsidRPr="003E491D" w:rsidRDefault="00B00100" w:rsidP="00873D21">
                <w:pPr>
                  <w:pStyle w:val="Normal102"/>
                  <w:keepNext/>
                  <w:widowControl/>
                  <w:ind w:right="90"/>
                  <w:jc w:val="right"/>
                  <w:rPr>
                    <w:rFonts w:ascii="Calibri" w:hAnsi="Calibri" w:cs="Calibri"/>
                    <w:noProof/>
                    <w:color w:val="auto"/>
                    <w:sz w:val="22"/>
                    <w:szCs w:val="22"/>
                  </w:rPr>
                </w:pPr>
                <w:r>
                  <w:rPr>
                    <w:rFonts w:asciiTheme="minorHAnsi" w:hAnsiTheme="minorHAnsi" w:cstheme="minorHAnsi"/>
                    <w:noProof/>
                    <w:sz w:val="22"/>
                    <w:szCs w:val="22"/>
                  </w:rPr>
                  <w:t xml:space="preserve">   0.00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7CC7B2" w14:textId="77777777" w:rsidR="00650FCA" w:rsidRPr="003E491D" w:rsidRDefault="00B00100" w:rsidP="00873D21">
                <w:pPr>
                  <w:pStyle w:val="Normal102"/>
                  <w:keepNext/>
                  <w:widowControl/>
                  <w:tabs>
                    <w:tab w:val="left" w:pos="2506"/>
                  </w:tabs>
                  <w:ind w:right="144"/>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05B6D4" w14:textId="77777777" w:rsidR="00650FCA" w:rsidRDefault="00B00100" w:rsidP="00650FCA">
                <w:pPr>
                  <w:pStyle w:val="Normal102"/>
                  <w:keepNext/>
                  <w:widowControl/>
                  <w:ind w:right="91"/>
                  <w:jc w:val="right"/>
                  <w:rPr>
                    <w:rFonts w:asciiTheme="minorHAnsi" w:hAnsiTheme="minorHAnsi" w:cstheme="minorHAnsi"/>
                    <w:sz w:val="22"/>
                    <w:szCs w:val="22"/>
                  </w:rPr>
                </w:pPr>
                <w:r>
                  <w:rPr>
                    <w:rFonts w:asciiTheme="minorHAnsi" w:hAnsiTheme="minorHAnsi" w:cstheme="minorHAnsi"/>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43C194" w14:textId="77777777" w:rsidR="00650FCA" w:rsidRPr="003E491D" w:rsidRDefault="00B00100" w:rsidP="00873D21">
                <w:pPr>
                  <w:pStyle w:val="Normal102"/>
                  <w:keepNext/>
                  <w:widowControl/>
                  <w:ind w:right="91"/>
                  <w:jc w:val="right"/>
                  <w:rPr>
                    <w:rFonts w:ascii="Calibri" w:hAnsi="Calibri" w:cs="Calibri"/>
                    <w:noProof/>
                    <w:color w:val="auto"/>
                    <w:sz w:val="22"/>
                    <w:szCs w:val="22"/>
                  </w:rPr>
                </w:pPr>
                <w:r>
                  <w:rPr>
                    <w:rFonts w:asciiTheme="minorHAnsi" w:hAnsiTheme="minorHAnsi" w:cstheme="minorHAnsi"/>
                    <w:noProof/>
                    <w:sz w:val="22"/>
                    <w:szCs w:val="22"/>
                  </w:rPr>
                  <w:t xml:space="preserve">   5.00</w:t>
                </w:r>
              </w:p>
            </w:tc>
          </w:tr>
          <w:tr w:rsidR="000C3959" w14:paraId="766E1EBA" w14:textId="77777777" w:rsidTr="00B770FE">
            <w:trPr>
              <w:trHeight w:val="432"/>
            </w:trPr>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2A92EE" w14:textId="77777777" w:rsidR="00650FCA" w:rsidRDefault="00B00100" w:rsidP="00873D21">
                <w:pPr>
                  <w:pStyle w:val="Normal102"/>
                  <w:keepNext/>
                  <w:widowControl/>
                  <w:ind w:left="90" w:right="45"/>
                  <w:rPr>
                    <w:rFonts w:asciiTheme="minorHAnsi" w:hAnsiTheme="minorHAnsi"/>
                    <w:b/>
                    <w:color w:val="172D5F"/>
                    <w:sz w:val="22"/>
                    <w:szCs w:val="22"/>
                  </w:rPr>
                </w:pPr>
                <w:r w:rsidRPr="000609A7">
                  <w:rPr>
                    <w:rFonts w:ascii="Calibri" w:hAnsi="Calibri" w:cs="Calibri"/>
                    <w:b/>
                    <w:noProof/>
                    <w:color w:val="auto"/>
                    <w:sz w:val="22"/>
                    <w:szCs w:val="22"/>
                  </w:rPr>
                  <w:t>Total</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53C0A7" w14:textId="77777777" w:rsidR="00650FCA" w:rsidRPr="00CE373C" w:rsidRDefault="00B00100" w:rsidP="008B7958">
                <w:pPr>
                  <w:pStyle w:val="Normal102"/>
                  <w:ind w:right="75"/>
                  <w:jc w:val="right"/>
                  <w:rPr>
                    <w:rFonts w:asciiTheme="minorHAnsi" w:hAnsiTheme="minorHAnsi" w:cstheme="minorHAnsi"/>
                    <w:b/>
                    <w:sz w:val="22"/>
                    <w:szCs w:val="22"/>
                  </w:rPr>
                </w:pPr>
                <w:r>
                  <w:rPr>
                    <w:rFonts w:asciiTheme="minorHAnsi" w:hAnsiTheme="minorHAnsi" w:cstheme="minorHAnsi"/>
                    <w:b/>
                    <w:noProof/>
                    <w:sz w:val="22"/>
                    <w:szCs w:val="22"/>
                  </w:rPr>
                  <w:t xml:space="preserve">  94.00</w:t>
                </w:r>
              </w:p>
            </w:tc>
            <w:tc>
              <w:tcPr>
                <w:tcW w:w="198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129AD1" w14:textId="77777777" w:rsidR="00650FCA" w:rsidRPr="00CE373C" w:rsidRDefault="00B00100" w:rsidP="00873D21">
                <w:pPr>
                  <w:pStyle w:val="Normal102"/>
                  <w:ind w:right="150"/>
                  <w:jc w:val="right"/>
                  <w:rPr>
                    <w:rFonts w:asciiTheme="minorHAnsi" w:hAnsiTheme="minorHAnsi" w:cstheme="minorHAnsi"/>
                    <w:b/>
                    <w:sz w:val="22"/>
                    <w:szCs w:val="22"/>
                  </w:rPr>
                </w:pPr>
                <w:r>
                  <w:rPr>
                    <w:rFonts w:asciiTheme="minorHAnsi" w:hAnsiTheme="minorHAnsi" w:cstheme="minorHAnsi"/>
                    <w:b/>
                    <w:noProof/>
                    <w:sz w:val="22"/>
                    <w:szCs w:val="22"/>
                  </w:rPr>
                  <w:t xml:space="preserve">  37.00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C9F6BA" w14:textId="77777777" w:rsidR="00650FCA" w:rsidRDefault="00B00100" w:rsidP="00650FCA">
                <w:pPr>
                  <w:pStyle w:val="Normal102"/>
                  <w:ind w:right="91"/>
                  <w:jc w:val="right"/>
                  <w:rPr>
                    <w:rFonts w:asciiTheme="minorHAnsi" w:hAnsiTheme="minorHAnsi" w:cstheme="minorHAnsi"/>
                    <w:b/>
                    <w:noProof/>
                    <w:sz w:val="22"/>
                    <w:szCs w:val="22"/>
                  </w:rPr>
                </w:pPr>
                <w:r>
                  <w:rPr>
                    <w:rFonts w:asciiTheme="minorHAnsi" w:hAnsiTheme="minorHAnsi" w:cstheme="minorHAnsi"/>
                    <w:b/>
                    <w:noProof/>
                    <w:sz w:val="22"/>
                    <w:szCs w:val="22"/>
                  </w:rPr>
                  <w:t xml:space="preserve">   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0B1D40" w14:textId="77777777" w:rsidR="00650FCA" w:rsidRPr="00CE373C" w:rsidRDefault="00B00100" w:rsidP="00873D21">
                <w:pPr>
                  <w:pStyle w:val="Normal102"/>
                  <w:ind w:right="91"/>
                  <w:jc w:val="right"/>
                  <w:rPr>
                    <w:rFonts w:asciiTheme="minorHAnsi" w:hAnsiTheme="minorHAnsi" w:cstheme="minorHAnsi"/>
                    <w:b/>
                    <w:noProof/>
                    <w:sz w:val="22"/>
                    <w:szCs w:val="22"/>
                  </w:rPr>
                </w:pPr>
                <w:r>
                  <w:rPr>
                    <w:rFonts w:asciiTheme="minorHAnsi" w:hAnsiTheme="minorHAnsi" w:cstheme="minorHAnsi"/>
                    <w:b/>
                    <w:noProof/>
                    <w:sz w:val="22"/>
                    <w:szCs w:val="22"/>
                  </w:rPr>
                  <w:t xml:space="preserve"> 131.00</w:t>
                </w:r>
              </w:p>
            </w:tc>
          </w:tr>
          <w:tr w:rsidR="000C3959" w14:paraId="13722927" w14:textId="77777777" w:rsidTr="00B770FE">
            <w:trPr>
              <w:trHeight w:val="144"/>
            </w:trPr>
            <w:tc>
              <w:tcPr>
                <w:tcW w:w="4500" w:type="dxa"/>
                <w:gridSpan w:val="2"/>
                <w:tcBorders>
                  <w:top w:val="single" w:sz="4" w:space="0" w:color="D9D9D9"/>
                  <w:left w:val="nil"/>
                  <w:bottom w:val="nil"/>
                  <w:right w:val="nil"/>
                </w:tcBorders>
                <w:shd w:val="clear" w:color="auto" w:fill="F7F7F7"/>
              </w:tcPr>
              <w:p w14:paraId="799DB6C9" w14:textId="77777777" w:rsidR="00650FCA" w:rsidRDefault="00650FCA" w:rsidP="00873D21">
                <w:pPr>
                  <w:pStyle w:val="Normal102"/>
                  <w:ind w:right="91"/>
                  <w:jc w:val="right"/>
                  <w:rPr>
                    <w:rFonts w:asciiTheme="minorHAnsi" w:hAnsiTheme="minorHAnsi" w:cstheme="minorHAnsi"/>
                    <w:b/>
                    <w:noProof/>
                    <w:sz w:val="22"/>
                    <w:szCs w:val="22"/>
                  </w:rPr>
                </w:pPr>
              </w:p>
            </w:tc>
            <w:tc>
              <w:tcPr>
                <w:tcW w:w="6120" w:type="dxa"/>
                <w:gridSpan w:val="3"/>
                <w:tcBorders>
                  <w:top w:val="single" w:sz="4" w:space="0" w:color="D9D9D9"/>
                  <w:left w:val="nil"/>
                  <w:bottom w:val="nil"/>
                  <w:right w:val="nil"/>
                </w:tcBorders>
                <w:shd w:val="clear" w:color="auto" w:fill="F7F7F7"/>
                <w:vAlign w:val="center"/>
              </w:tcPr>
              <w:p w14:paraId="327A288B" w14:textId="77777777" w:rsidR="00650FCA" w:rsidRDefault="00650FCA" w:rsidP="00873D21">
                <w:pPr>
                  <w:pStyle w:val="Normal102"/>
                  <w:ind w:right="91"/>
                  <w:jc w:val="right"/>
                  <w:rPr>
                    <w:rFonts w:asciiTheme="minorHAnsi" w:hAnsiTheme="minorHAnsi" w:cstheme="minorHAnsi"/>
                    <w:b/>
                    <w:noProof/>
                    <w:sz w:val="22"/>
                    <w:szCs w:val="22"/>
                  </w:rPr>
                </w:pPr>
              </w:p>
            </w:tc>
          </w:tr>
        </w:tbl>
        <w:p w14:paraId="1DA169AE" w14:textId="77777777" w:rsidR="00AB60E6" w:rsidRDefault="00AB60E6" w:rsidP="00AB5CD4">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340"/>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620"/>
          </w:tblGrid>
          <w:tr w:rsidR="000C3959" w14:paraId="7E465797" w14:textId="77777777" w:rsidTr="00664F82">
            <w:trPr>
              <w:trHeight w:val="81"/>
            </w:trPr>
            <w:tc>
              <w:tcPr>
                <w:tcW w:w="10620" w:type="dxa"/>
                <w:tcBorders>
                  <w:top w:val="nil"/>
                  <w:left w:val="nil"/>
                  <w:bottom w:val="nil"/>
                  <w:right w:val="nil"/>
                </w:tcBorders>
                <w:shd w:val="clear" w:color="auto" w:fill="F7F7F7"/>
              </w:tcPr>
              <w:p w14:paraId="545FE7A4" w14:textId="77777777" w:rsidR="001209CD" w:rsidRPr="00692E93" w:rsidRDefault="00B00100" w:rsidP="00370635">
                <w:pPr>
                  <w:pStyle w:val="Normal102"/>
                  <w:keepNext/>
                  <w:widowControl/>
                  <w:rPr>
                    <w:rFonts w:asciiTheme="minorHAnsi" w:hAnsiTheme="minorHAnsi"/>
                    <w:color w:val="7F7F7F" w:themeColor="text1" w:themeTint="80"/>
                    <w:sz w:val="22"/>
                    <w:szCs w:val="22"/>
                  </w:rPr>
                </w:pPr>
                <w:r>
                  <w:rPr>
                    <w:rFonts w:asciiTheme="minorHAnsi" w:hAnsiTheme="minorHAnsi"/>
                    <w:b/>
                    <w:color w:val="172D5F"/>
                    <w:sz w:val="22"/>
                    <w:szCs w:val="22"/>
                  </w:rPr>
                  <w:t>Expected Disbursements (in US$, M</w:t>
                </w:r>
                <w:r w:rsidRPr="00692E93">
                  <w:rPr>
                    <w:rFonts w:asciiTheme="minorHAnsi" w:hAnsiTheme="minorHAnsi"/>
                    <w:b/>
                    <w:color w:val="172D5F"/>
                    <w:sz w:val="22"/>
                    <w:szCs w:val="22"/>
                  </w:rPr>
                  <w:t>illion</w:t>
                </w:r>
                <w:r>
                  <w:rPr>
                    <w:rFonts w:asciiTheme="minorHAnsi" w:hAnsiTheme="minorHAnsi"/>
                    <w:b/>
                    <w:color w:val="172D5F"/>
                    <w:sz w:val="22"/>
                    <w:szCs w:val="22"/>
                  </w:rPr>
                  <w:t>s</w:t>
                </w:r>
                <w:r w:rsidRPr="00692E93">
                  <w:rPr>
                    <w:rFonts w:asciiTheme="minorHAnsi" w:hAnsiTheme="minorHAnsi"/>
                    <w:b/>
                    <w:color w:val="172D5F"/>
                    <w:sz w:val="22"/>
                    <w:szCs w:val="22"/>
                  </w:rPr>
                  <w:t>)</w:t>
                </w:r>
              </w:p>
            </w:tc>
          </w:tr>
        </w:tbl>
        <w:p w14:paraId="6B9B33F7" w14:textId="77777777" w:rsidR="001209CD" w:rsidRDefault="001209CD" w:rsidP="00B602D0">
          <w:pPr>
            <w:pStyle w:val="Normal102"/>
            <w:keepNext/>
            <w:shd w:val="clear" w:color="auto" w:fill="F7F7F7"/>
            <w:spacing w:line="14" w:lineRule="exact"/>
            <w:ind w:left="-691" w:right="29"/>
            <w:rPr>
              <w:rFonts w:asciiTheme="minorHAnsi" w:hAnsiTheme="minorHAnsi"/>
              <w:color w:val="767171" w:themeColor="background2" w:themeShade="80"/>
              <w:sz w:val="16"/>
              <w:szCs w:val="16"/>
            </w:rPr>
          </w:pPr>
        </w:p>
        <w:p w14:paraId="3C256B2A" w14:textId="77777777" w:rsidR="00436FC1" w:rsidRPr="003E491D" w:rsidRDefault="00436FC1" w:rsidP="008009BB">
          <w:pPr>
            <w:pStyle w:val="Normal102"/>
            <w:shd w:val="clear" w:color="auto" w:fill="F7F7F7"/>
            <w:spacing w:line="14" w:lineRule="exact"/>
            <w:ind w:left="-691" w:right="29"/>
            <w:rPr>
              <w:rFonts w:asciiTheme="minorHAnsi" w:hAnsiTheme="minorHAnsi"/>
              <w:color w:val="767171" w:themeColor="background2" w:themeShade="80"/>
              <w:sz w:val="16"/>
              <w:szCs w:val="16"/>
            </w:rPr>
          </w:pPr>
        </w:p>
        <w:tbl>
          <w:tblPr>
            <w:tblStyle w:val="TableGrid434"/>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620"/>
            <w:gridCol w:w="900"/>
            <w:gridCol w:w="900"/>
            <w:gridCol w:w="900"/>
            <w:gridCol w:w="900"/>
            <w:gridCol w:w="900"/>
            <w:gridCol w:w="900"/>
            <w:gridCol w:w="900"/>
            <w:gridCol w:w="900"/>
            <w:gridCol w:w="900"/>
            <w:gridCol w:w="900"/>
          </w:tblGrid>
          <w:tr w:rsidR="000C3959" w14:paraId="774C7117" w14:textId="77777777" w:rsidTr="00436FC1">
            <w:trPr>
              <w:trHeight w:val="405"/>
            </w:trPr>
            <w:tc>
              <w:tcPr>
                <w:tcW w:w="1620" w:type="dxa"/>
                <w:tcBorders>
                  <w:top w:val="nil"/>
                  <w:bottom w:val="single" w:sz="12" w:space="0" w:color="D9D9D9"/>
                </w:tcBorders>
                <w:shd w:val="clear" w:color="auto" w:fill="F7F7F7"/>
                <w:vAlign w:val="center"/>
              </w:tcPr>
              <w:p w14:paraId="028CFB69" w14:textId="77777777" w:rsidR="00436FC1" w:rsidRPr="00934FB8" w:rsidRDefault="00B00100" w:rsidP="00436FC1">
                <w:pPr>
                  <w:rPr>
                    <w:rFonts w:asciiTheme="minorHAnsi" w:hAnsiTheme="minorHAnsi"/>
                    <w:b/>
                    <w:sz w:val="22"/>
                    <w:szCs w:val="22"/>
                  </w:rPr>
                </w:pPr>
                <w:r>
                  <w:rPr>
                    <w:rFonts w:asciiTheme="minorHAnsi" w:hAnsiTheme="minorHAnsi"/>
                    <w:b/>
                    <w:bCs/>
                    <w:color w:val="767171" w:themeColor="background2" w:themeShade="80"/>
                    <w:sz w:val="22"/>
                    <w:szCs w:val="22"/>
                  </w:rPr>
                  <w:lastRenderedPageBreak/>
                  <w:t xml:space="preserve">WB </w:t>
                </w:r>
                <w:r w:rsidRPr="00692E93">
                  <w:rPr>
                    <w:rFonts w:asciiTheme="minorHAnsi" w:hAnsiTheme="minorHAnsi"/>
                    <w:b/>
                    <w:bCs/>
                    <w:color w:val="767171" w:themeColor="background2" w:themeShade="80"/>
                    <w:sz w:val="22"/>
                    <w:szCs w:val="22"/>
                  </w:rPr>
                  <w:t>Fiscal Year</w:t>
                </w:r>
                <w:r>
                  <w:rPr>
                    <w:rFonts w:asciiTheme="minorHAnsi" w:hAnsiTheme="minorHAnsi"/>
                    <w:b/>
                    <w:bCs/>
                    <w:color w:val="767171" w:themeColor="background2" w:themeShade="80"/>
                    <w:sz w:val="22"/>
                    <w:szCs w:val="22"/>
                  </w:rPr>
                  <w:t xml:space="preserve">  </w:t>
                </w:r>
              </w:p>
            </w:tc>
            <w:tc>
              <w:tcPr>
                <w:tcW w:w="900" w:type="dxa"/>
                <w:tcBorders>
                  <w:top w:val="nil"/>
                  <w:bottom w:val="single" w:sz="12" w:space="0" w:color="D9D9D9"/>
                </w:tcBorders>
                <w:shd w:val="clear" w:color="auto" w:fill="F7F7F7"/>
                <w:vAlign w:val="center"/>
              </w:tcPr>
              <w:p w14:paraId="759593C1" w14:textId="77777777"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06523E31" w14:textId="77777777"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14:paraId="1C289793"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5C4B979A"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5B03C76F"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14:paraId="3B06DB05"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2020</w:t>
                </w:r>
              </w:p>
            </w:tc>
            <w:tc>
              <w:tcPr>
                <w:tcW w:w="900" w:type="dxa"/>
                <w:tcBorders>
                  <w:bottom w:val="single" w:sz="12" w:space="0" w:color="D9D9D9"/>
                </w:tcBorders>
                <w:shd w:val="clear" w:color="auto" w:fill="F7F7F7"/>
                <w:vAlign w:val="center"/>
              </w:tcPr>
              <w:p w14:paraId="110D25A9"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2021</w:t>
                </w:r>
              </w:p>
            </w:tc>
            <w:tc>
              <w:tcPr>
                <w:tcW w:w="900" w:type="dxa"/>
                <w:tcBorders>
                  <w:bottom w:val="single" w:sz="12" w:space="0" w:color="D9D9D9"/>
                </w:tcBorders>
                <w:shd w:val="clear" w:color="auto" w:fill="F7F7F7"/>
                <w:vAlign w:val="center"/>
              </w:tcPr>
              <w:p w14:paraId="406A8BE0"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2022</w:t>
                </w:r>
              </w:p>
            </w:tc>
            <w:tc>
              <w:tcPr>
                <w:tcW w:w="900" w:type="dxa"/>
                <w:tcBorders>
                  <w:bottom w:val="single" w:sz="12" w:space="0" w:color="D9D9D9"/>
                </w:tcBorders>
                <w:shd w:val="clear" w:color="auto" w:fill="F7F7F7"/>
                <w:vAlign w:val="center"/>
              </w:tcPr>
              <w:p w14:paraId="5284F527"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2023</w:t>
                </w:r>
              </w:p>
            </w:tc>
            <w:tc>
              <w:tcPr>
                <w:tcW w:w="900" w:type="dxa"/>
                <w:tcBorders>
                  <w:bottom w:val="single" w:sz="12" w:space="0" w:color="D9D9D9"/>
                </w:tcBorders>
                <w:shd w:val="clear" w:color="auto" w:fill="F7F7F7"/>
                <w:vAlign w:val="center"/>
              </w:tcPr>
              <w:p w14:paraId="51BDBEC5"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2024</w:t>
                </w:r>
              </w:p>
            </w:tc>
          </w:tr>
          <w:tr w:rsidR="000C3959" w14:paraId="676A541D"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4A9B8447" w14:textId="77777777" w:rsidR="00436FC1" w:rsidRPr="00B77CBF" w:rsidRDefault="00B00100" w:rsidP="00436FC1">
                <w:pPr>
                  <w:rPr>
                    <w:rFonts w:asciiTheme="minorHAnsi" w:hAnsiTheme="minorHAnsi"/>
                    <w:noProof/>
                    <w:sz w:val="22"/>
                    <w:szCs w:val="22"/>
                  </w:rPr>
                </w:pPr>
                <w:r w:rsidRPr="00692E93">
                  <w:rPr>
                    <w:rFonts w:asciiTheme="minorHAnsi" w:hAnsiTheme="minorHAnsi"/>
                    <w:b/>
                    <w:bCs/>
                    <w:color w:val="767171" w:themeColor="background2" w:themeShade="80"/>
                    <w:sz w:val="22"/>
                    <w:szCs w:val="22"/>
                  </w:rPr>
                  <w:t>Annual</w:t>
                </w:r>
              </w:p>
            </w:tc>
            <w:tc>
              <w:tcPr>
                <w:tcW w:w="900" w:type="dxa"/>
                <w:tcBorders>
                  <w:top w:val="single" w:sz="4" w:space="0" w:color="D9D9D9"/>
                  <w:bottom w:val="single" w:sz="4" w:space="0" w:color="D9D9D9"/>
                </w:tcBorders>
                <w:shd w:val="clear" w:color="auto" w:fill="F7F7F7"/>
                <w:vAlign w:val="center"/>
              </w:tcPr>
              <w:p w14:paraId="4B2E7A9F"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51231601"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4A1001F3"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63279C18"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019C363D"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60D97CC1"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10.00</w:t>
                </w:r>
              </w:p>
            </w:tc>
            <w:tc>
              <w:tcPr>
                <w:tcW w:w="900" w:type="dxa"/>
                <w:tcBorders>
                  <w:top w:val="single" w:sz="4" w:space="0" w:color="D9D9D9"/>
                  <w:bottom w:val="single" w:sz="4" w:space="0" w:color="D9D9D9"/>
                </w:tcBorders>
                <w:shd w:val="clear" w:color="auto" w:fill="F7F7F7"/>
                <w:vAlign w:val="center"/>
              </w:tcPr>
              <w:p w14:paraId="1293D39B"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20.00</w:t>
                </w:r>
              </w:p>
            </w:tc>
            <w:tc>
              <w:tcPr>
                <w:tcW w:w="900" w:type="dxa"/>
                <w:tcBorders>
                  <w:top w:val="single" w:sz="4" w:space="0" w:color="D9D9D9"/>
                  <w:bottom w:val="single" w:sz="4" w:space="0" w:color="D9D9D9"/>
                </w:tcBorders>
                <w:shd w:val="clear" w:color="auto" w:fill="F7F7F7"/>
                <w:vAlign w:val="center"/>
              </w:tcPr>
              <w:p w14:paraId="4C2997EE"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38.00</w:t>
                </w:r>
              </w:p>
            </w:tc>
            <w:tc>
              <w:tcPr>
                <w:tcW w:w="900" w:type="dxa"/>
                <w:tcBorders>
                  <w:top w:val="single" w:sz="4" w:space="0" w:color="D9D9D9"/>
                  <w:bottom w:val="single" w:sz="4" w:space="0" w:color="D9D9D9"/>
                </w:tcBorders>
                <w:shd w:val="clear" w:color="auto" w:fill="F7F7F7"/>
                <w:vAlign w:val="center"/>
              </w:tcPr>
              <w:p w14:paraId="72B66F42"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40.00</w:t>
                </w:r>
              </w:p>
            </w:tc>
            <w:tc>
              <w:tcPr>
                <w:tcW w:w="900" w:type="dxa"/>
                <w:tcBorders>
                  <w:top w:val="single" w:sz="4" w:space="0" w:color="D9D9D9"/>
                  <w:bottom w:val="single" w:sz="4" w:space="0" w:color="D9D9D9"/>
                </w:tcBorders>
                <w:shd w:val="clear" w:color="auto" w:fill="F7F7F7"/>
                <w:vAlign w:val="center"/>
              </w:tcPr>
              <w:p w14:paraId="5BD72319"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23.00</w:t>
                </w:r>
              </w:p>
            </w:tc>
          </w:tr>
          <w:tr w:rsidR="000C3959" w14:paraId="3B36D27B" w14:textId="77777777" w:rsidTr="00436FC1">
            <w:trPr>
              <w:trHeight w:val="288"/>
            </w:trPr>
            <w:tc>
              <w:tcPr>
                <w:tcW w:w="1620" w:type="dxa"/>
                <w:tcBorders>
                  <w:top w:val="single" w:sz="4" w:space="0" w:color="D9D9D9"/>
                  <w:bottom w:val="single" w:sz="4" w:space="0" w:color="D9D9D9"/>
                </w:tcBorders>
                <w:shd w:val="clear" w:color="auto" w:fill="F7F7F7"/>
                <w:vAlign w:val="center"/>
              </w:tcPr>
              <w:p w14:paraId="7529DB29" w14:textId="77777777" w:rsidR="00436FC1" w:rsidRPr="00B77CBF" w:rsidRDefault="00B00100" w:rsidP="00436FC1">
                <w:pPr>
                  <w:ind w:right="-75"/>
                  <w:rPr>
                    <w:rFonts w:asciiTheme="minorHAnsi" w:hAnsiTheme="minorHAnsi"/>
                    <w:noProof/>
                    <w:sz w:val="22"/>
                    <w:szCs w:val="22"/>
                  </w:rPr>
                </w:pPr>
                <w:r w:rsidRPr="00692E93">
                  <w:rPr>
                    <w:rFonts w:asciiTheme="minorHAnsi" w:hAnsiTheme="minorHAnsi"/>
                    <w:b/>
                    <w:bCs/>
                    <w:color w:val="767171" w:themeColor="background2" w:themeShade="80"/>
                    <w:sz w:val="22"/>
                    <w:szCs w:val="22"/>
                  </w:rPr>
                  <w:t>Cumulative</w:t>
                </w:r>
              </w:p>
            </w:tc>
            <w:tc>
              <w:tcPr>
                <w:tcW w:w="900" w:type="dxa"/>
                <w:tcBorders>
                  <w:top w:val="single" w:sz="4" w:space="0" w:color="D9D9D9"/>
                  <w:bottom w:val="single" w:sz="4" w:space="0" w:color="D9D9D9"/>
                </w:tcBorders>
                <w:shd w:val="clear" w:color="auto" w:fill="F7F7F7"/>
                <w:vAlign w:val="center"/>
              </w:tcPr>
              <w:p w14:paraId="61C9B30C"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11E6B6A4" w14:textId="77777777"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14:paraId="5AF97EE7"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30864F24"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2B96EF25" w14:textId="77777777"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14:paraId="58613AD4"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10.00</w:t>
                </w:r>
              </w:p>
            </w:tc>
            <w:tc>
              <w:tcPr>
                <w:tcW w:w="900" w:type="dxa"/>
                <w:tcBorders>
                  <w:top w:val="single" w:sz="4" w:space="0" w:color="D9D9D9"/>
                  <w:bottom w:val="single" w:sz="4" w:space="0" w:color="D9D9D9"/>
                </w:tcBorders>
                <w:shd w:val="clear" w:color="auto" w:fill="F7F7F7"/>
                <w:vAlign w:val="center"/>
              </w:tcPr>
              <w:p w14:paraId="251AAF6F"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30.00</w:t>
                </w:r>
              </w:p>
            </w:tc>
            <w:tc>
              <w:tcPr>
                <w:tcW w:w="900" w:type="dxa"/>
                <w:tcBorders>
                  <w:top w:val="single" w:sz="4" w:space="0" w:color="D9D9D9"/>
                  <w:bottom w:val="single" w:sz="4" w:space="0" w:color="D9D9D9"/>
                </w:tcBorders>
                <w:shd w:val="clear" w:color="auto" w:fill="F7F7F7"/>
                <w:vAlign w:val="center"/>
              </w:tcPr>
              <w:p w14:paraId="0BC8F5B1"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68.00</w:t>
                </w:r>
              </w:p>
            </w:tc>
            <w:tc>
              <w:tcPr>
                <w:tcW w:w="900" w:type="dxa"/>
                <w:tcBorders>
                  <w:top w:val="single" w:sz="4" w:space="0" w:color="D9D9D9"/>
                  <w:bottom w:val="single" w:sz="4" w:space="0" w:color="D9D9D9"/>
                </w:tcBorders>
                <w:shd w:val="clear" w:color="auto" w:fill="F7F7F7"/>
                <w:vAlign w:val="center"/>
              </w:tcPr>
              <w:p w14:paraId="37863BE7"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108.00</w:t>
                </w:r>
              </w:p>
            </w:tc>
            <w:tc>
              <w:tcPr>
                <w:tcW w:w="900" w:type="dxa"/>
                <w:tcBorders>
                  <w:top w:val="single" w:sz="4" w:space="0" w:color="D9D9D9"/>
                  <w:bottom w:val="single" w:sz="4" w:space="0" w:color="D9D9D9"/>
                </w:tcBorders>
                <w:shd w:val="clear" w:color="auto" w:fill="F7F7F7"/>
                <w:vAlign w:val="center"/>
              </w:tcPr>
              <w:p w14:paraId="33B4D407" w14:textId="77777777" w:rsidR="00436FC1" w:rsidRPr="00934FB8" w:rsidRDefault="00B00100"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131.00</w:t>
                </w:r>
              </w:p>
            </w:tc>
          </w:tr>
        </w:tbl>
        <w:p w14:paraId="41358C87" w14:textId="77777777" w:rsidR="00AE7137" w:rsidRDefault="00AE7137" w:rsidP="00F83CCE">
          <w:pPr>
            <w:pStyle w:val="Normal102"/>
            <w:shd w:val="clear" w:color="auto" w:fill="F7F7F7"/>
            <w:ind w:left="-691" w:right="29"/>
            <w:rPr>
              <w:rFonts w:asciiTheme="minorHAnsi" w:hAnsiTheme="minorHAnsi"/>
              <w:b/>
              <w:bCs/>
              <w:sz w:val="22"/>
              <w:szCs w:val="22"/>
            </w:rPr>
          </w:pPr>
        </w:p>
        <w:p w14:paraId="3E5CFAB3" w14:textId="77777777" w:rsidR="003615CB" w:rsidRDefault="003615CB" w:rsidP="00F83CCE">
          <w:pPr>
            <w:widowControl/>
            <w:shd w:val="clear" w:color="auto" w:fill="F7F7F7"/>
            <w:spacing w:line="14" w:lineRule="exact"/>
            <w:ind w:left="-691" w:right="29"/>
            <w:rPr>
              <w:rFonts w:asciiTheme="minorHAnsi" w:hAnsiTheme="minorHAnsi"/>
              <w:color w:val="767171" w:themeColor="background2" w:themeShade="80"/>
              <w:sz w:val="22"/>
              <w:szCs w:val="22"/>
            </w:rPr>
          </w:pPr>
        </w:p>
        <w:p w14:paraId="100A6ED6" w14:textId="77777777" w:rsidR="003A204C" w:rsidRDefault="003A204C"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34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0C3959" w14:paraId="7C818A93" w14:textId="77777777" w:rsidTr="00A32722">
            <w:trPr>
              <w:trHeight w:val="432"/>
            </w:trPr>
            <w:tc>
              <w:tcPr>
                <w:tcW w:w="10584" w:type="dxa"/>
                <w:shd w:val="clear" w:color="auto" w:fill="F2F2F2"/>
                <w:vAlign w:val="center"/>
              </w:tcPr>
              <w:p w14:paraId="7B4AB7FE" w14:textId="77777777" w:rsidR="00C41FB9" w:rsidRDefault="00B00100" w:rsidP="00C41FB9">
                <w:pPr>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INSTITUTIONAL DATA</w:t>
                </w:r>
              </w:p>
            </w:tc>
          </w:tr>
        </w:tbl>
        <w:p w14:paraId="10AE1A9F" w14:textId="77777777" w:rsidR="00C41FB9" w:rsidRDefault="00C41FB9" w:rsidP="00752D40">
          <w:pPr>
            <w:widowControl/>
            <w:shd w:val="clear" w:color="auto" w:fill="F7F7F7"/>
            <w:spacing w:line="100" w:lineRule="exact"/>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0C3959" w14:paraId="237DE4F8" w14:textId="77777777" w:rsidTr="00B40B86">
            <w:trPr>
              <w:trHeight w:val="360"/>
            </w:trPr>
            <w:tc>
              <w:tcPr>
                <w:tcW w:w="4675" w:type="dxa"/>
                <w:shd w:val="clear" w:color="auto" w:fill="F7F7F7"/>
                <w:vAlign w:val="center"/>
              </w:tcPr>
              <w:p w14:paraId="02400AED" w14:textId="77777777" w:rsidR="00752D40" w:rsidRPr="001923F8" w:rsidRDefault="00B00100" w:rsidP="00B40B86">
                <w:pPr>
                  <w:widowControl/>
                  <w:ind w:right="-518"/>
                  <w:rPr>
                    <w:rFonts w:asciiTheme="minorHAnsi" w:hAnsiTheme="minorHAnsi" w:cstheme="minorHAnsi"/>
                    <w:color w:val="767171" w:themeColor="background2" w:themeShade="80"/>
                    <w:sz w:val="22"/>
                    <w:szCs w:val="22"/>
                  </w:rPr>
                </w:pPr>
                <w:r w:rsidRPr="001923F8">
                  <w:rPr>
                    <w:rFonts w:asciiTheme="minorHAnsi" w:eastAsia="Times New Roman" w:hAnsiTheme="minorHAnsi" w:cstheme="minorHAnsi"/>
                    <w:b/>
                    <w:bCs/>
                    <w:color w:val="002060"/>
                    <w:sz w:val="22"/>
                    <w:szCs w:val="22"/>
                  </w:rPr>
                  <w:t>Practice Area (Lead)</w:t>
                </w:r>
              </w:p>
            </w:tc>
            <w:tc>
              <w:tcPr>
                <w:tcW w:w="5945" w:type="dxa"/>
                <w:shd w:val="clear" w:color="auto" w:fill="F7F7F7"/>
                <w:vAlign w:val="center"/>
              </w:tcPr>
              <w:p w14:paraId="6DEFCC4F" w14:textId="77777777" w:rsidR="00752D40" w:rsidRPr="001923F8" w:rsidRDefault="00B00100" w:rsidP="00B40B86">
                <w:pPr>
                  <w:widowControl/>
                  <w:ind w:right="-518"/>
                  <w:rPr>
                    <w:rFonts w:asciiTheme="minorHAnsi" w:hAnsiTheme="minorHAnsi" w:cstheme="minorHAnsi"/>
                    <w:color w:val="767171" w:themeColor="background2" w:themeShade="80"/>
                    <w:sz w:val="22"/>
                    <w:szCs w:val="22"/>
                  </w:rPr>
                </w:pPr>
                <w:r w:rsidRPr="001923F8">
                  <w:rPr>
                    <w:rFonts w:asciiTheme="minorHAnsi" w:hAnsiTheme="minorHAnsi" w:cstheme="minorHAnsi"/>
                    <w:b/>
                    <w:bCs/>
                    <w:color w:val="002060"/>
                    <w:sz w:val="22"/>
                    <w:szCs w:val="22"/>
                  </w:rPr>
                  <w:t>Contributing Practice Areas</w:t>
                </w:r>
              </w:p>
            </w:tc>
          </w:tr>
          <w:tr w:rsidR="000C3959" w14:paraId="4ECB28D5" w14:textId="77777777" w:rsidTr="00B40B86">
            <w:trPr>
              <w:trHeight w:val="360"/>
            </w:trPr>
            <w:tc>
              <w:tcPr>
                <w:tcW w:w="4675" w:type="dxa"/>
                <w:shd w:val="clear" w:color="auto" w:fill="F7F7F7"/>
                <w:vAlign w:val="center"/>
              </w:tcPr>
              <w:p w14:paraId="2FC5C8A6" w14:textId="77777777" w:rsidR="00752D40" w:rsidRPr="001923F8" w:rsidRDefault="00B00100" w:rsidP="00B40B86">
                <w:pPr>
                  <w:widowControl/>
                  <w:ind w:right="60"/>
                  <w:rPr>
                    <w:rFonts w:asciiTheme="minorHAnsi" w:hAnsiTheme="minorHAnsi"/>
                    <w:sz w:val="22"/>
                    <w:szCs w:val="22"/>
                  </w:rPr>
                </w:pPr>
                <w:r w:rsidRPr="001923F8">
                  <w:rPr>
                    <w:rFonts w:asciiTheme="minorHAnsi" w:hAnsiTheme="minorHAnsi"/>
                    <w:noProof/>
                    <w:sz w:val="22"/>
                    <w:szCs w:val="22"/>
                  </w:rPr>
                  <w:t>Education</w:t>
                </w:r>
              </w:p>
            </w:tc>
            <w:tc>
              <w:tcPr>
                <w:tcW w:w="5945" w:type="dxa"/>
                <w:shd w:val="clear" w:color="auto" w:fill="F7F7F7"/>
                <w:vAlign w:val="center"/>
              </w:tcPr>
              <w:p w14:paraId="51AF57E1" w14:textId="77777777" w:rsidR="00752D40" w:rsidRPr="001E58FE" w:rsidRDefault="00B00100" w:rsidP="00B40B86">
                <w:pPr>
                  <w:pStyle w:val="Normal67"/>
                  <w:keepNext/>
                  <w:ind w:right="75"/>
                  <w:rPr>
                    <w:rFonts w:asciiTheme="minorHAnsi" w:hAnsiTheme="minorHAnsi" w:cstheme="minorHAnsi"/>
                    <w:bCs/>
                    <w:color w:val="000000" w:themeColor="text1"/>
                  </w:rPr>
                </w:pPr>
                <w:r>
                  <w:rPr>
                    <w:rFonts w:asciiTheme="minorHAnsi" w:hAnsiTheme="minorHAnsi" w:cstheme="minorHAnsi"/>
                    <w:bCs/>
                    <w:noProof/>
                    <w:color w:val="000000" w:themeColor="text1"/>
                  </w:rPr>
                  <w:t>Digital Development, Energy &amp; Extractives, Environment, Natural Resources &amp; the Blue Economy, Health, Nutrition &amp; Population</w:t>
                </w:r>
              </w:p>
            </w:tc>
          </w:tr>
        </w:tbl>
        <w:p w14:paraId="62EA41E7" w14:textId="77777777" w:rsidR="00C41FB9" w:rsidRDefault="00C41FB9"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0C3959" w14:paraId="240D105B" w14:textId="77777777" w:rsidTr="00010672">
            <w:trPr>
              <w:trHeight w:val="360"/>
            </w:trPr>
            <w:tc>
              <w:tcPr>
                <w:tcW w:w="10620" w:type="dxa"/>
                <w:shd w:val="clear" w:color="auto" w:fill="F7F7F7"/>
                <w:vAlign w:val="center"/>
              </w:tcPr>
              <w:p w14:paraId="4FEF228B" w14:textId="77777777" w:rsidR="005C3315" w:rsidRPr="005E0473" w:rsidRDefault="00B00100" w:rsidP="00010672">
                <w:pPr>
                  <w:keepNext/>
                  <w:rPr>
                    <w:rFonts w:asciiTheme="minorHAnsi" w:hAnsiTheme="minorHAnsi"/>
                    <w:b/>
                    <w:bCs/>
                    <w:color w:val="172D5F"/>
                    <w:sz w:val="22"/>
                    <w:szCs w:val="22"/>
                  </w:rPr>
                </w:pPr>
                <w:r w:rsidRPr="005E0473">
                  <w:rPr>
                    <w:rFonts w:asciiTheme="minorHAnsi" w:hAnsiTheme="minorHAnsi"/>
                    <w:b/>
                    <w:bCs/>
                    <w:color w:val="172D5F"/>
                    <w:sz w:val="22"/>
                    <w:szCs w:val="22"/>
                  </w:rPr>
                  <w:t>Climate Change and Disaster Screening</w:t>
                </w:r>
              </w:p>
            </w:tc>
          </w:tr>
          <w:tr w:rsidR="000C3959" w14:paraId="40CFD8B3" w14:textId="77777777" w:rsidTr="00010672">
            <w:trPr>
              <w:trHeight w:val="360"/>
            </w:trPr>
            <w:tc>
              <w:tcPr>
                <w:tcW w:w="10620" w:type="dxa"/>
                <w:shd w:val="clear" w:color="auto" w:fill="F7F7F7"/>
                <w:vAlign w:val="center"/>
              </w:tcPr>
              <w:p w14:paraId="24392F14" w14:textId="77777777" w:rsidR="005C3315" w:rsidRPr="005E0473" w:rsidRDefault="00B00100" w:rsidP="00010672">
                <w:pPr>
                  <w:ind w:right="75"/>
                  <w:rPr>
                    <w:rFonts w:asciiTheme="minorHAnsi" w:hAnsiTheme="minorHAnsi"/>
                    <w:noProof/>
                    <w:sz w:val="22"/>
                    <w:szCs w:val="18"/>
                  </w:rPr>
                </w:pPr>
                <w:r w:rsidRPr="005E0473">
                  <w:rPr>
                    <w:rFonts w:asciiTheme="minorHAnsi" w:hAnsiTheme="minorHAnsi"/>
                    <w:noProof/>
                    <w:sz w:val="22"/>
                    <w:szCs w:val="18"/>
                  </w:rPr>
                  <w:t>This operation has been screened for short and long-term climate change and disaster risks</w:t>
                </w:r>
              </w:p>
            </w:tc>
          </w:tr>
        </w:tbl>
        <w:p w14:paraId="00B91AFB" w14:textId="77777777" w:rsidR="001923F8" w:rsidRPr="00E14432" w:rsidRDefault="001923F8"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42334"/>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15" w:type="dxa"/>
            </w:tblCellMar>
            <w:tblLook w:val="04A0" w:firstRow="1" w:lastRow="0" w:firstColumn="1" w:lastColumn="0" w:noHBand="0" w:noVBand="1"/>
          </w:tblPr>
          <w:tblGrid>
            <w:gridCol w:w="10620"/>
          </w:tblGrid>
          <w:tr w:rsidR="000C3959" w14:paraId="12BDCB9E" w14:textId="77777777" w:rsidTr="00F478DB">
            <w:trPr>
              <w:trHeight w:val="432"/>
            </w:trPr>
            <w:tc>
              <w:tcPr>
                <w:tcW w:w="10620" w:type="dxa"/>
                <w:shd w:val="clear" w:color="auto" w:fill="F7F7F7"/>
              </w:tcPr>
              <w:p w14:paraId="584CBB64" w14:textId="77777777" w:rsidR="0079748F" w:rsidRPr="00A35C75" w:rsidRDefault="00B00100" w:rsidP="005C3315">
                <w:pPr>
                  <w:pStyle w:val="Normal102"/>
                  <w:ind w:left="90"/>
                  <w:rPr>
                    <w:rFonts w:ascii="Calibri" w:hAnsi="Calibri"/>
                    <w:b/>
                    <w:bCs/>
                    <w:color w:val="172D5F"/>
                    <w:sz w:val="22"/>
                    <w:szCs w:val="22"/>
                  </w:rPr>
                </w:pPr>
                <w:r w:rsidRPr="00A35C75">
                  <w:rPr>
                    <w:rFonts w:ascii="Calibri" w:hAnsi="Calibri"/>
                    <w:b/>
                    <w:bCs/>
                    <w:color w:val="172D5F"/>
                    <w:sz w:val="22"/>
                    <w:szCs w:val="22"/>
                  </w:rPr>
                  <w:t>Gender Tag</w:t>
                </w:r>
              </w:p>
            </w:tc>
          </w:tr>
          <w:tr w:rsidR="000C3959" w14:paraId="7DEBE72D" w14:textId="77777777" w:rsidTr="00F478DB">
            <w:tc>
              <w:tcPr>
                <w:tcW w:w="10620" w:type="dxa"/>
                <w:shd w:val="clear" w:color="auto" w:fill="F7F7F7"/>
              </w:tcPr>
              <w:tbl>
                <w:tblPr>
                  <w:tblStyle w:val="TableGrid334"/>
                  <w:tblW w:w="106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800"/>
                  <w:gridCol w:w="1815"/>
                </w:tblGrid>
                <w:tr w:rsidR="000C3959" w14:paraId="26D97973" w14:textId="77777777" w:rsidTr="002B6EFA">
                  <w:trPr>
                    <w:trHeight w:val="432"/>
                  </w:trPr>
                  <w:tc>
                    <w:tcPr>
                      <w:tcW w:w="10615" w:type="dxa"/>
                      <w:gridSpan w:val="2"/>
                      <w:tcBorders>
                        <w:left w:val="single" w:sz="4" w:space="0" w:color="D9D9D9"/>
                      </w:tcBorders>
                      <w:vAlign w:val="center"/>
                    </w:tcPr>
                    <w:p w14:paraId="163914A3" w14:textId="77777777" w:rsidR="0079748F" w:rsidRPr="003E491D" w:rsidRDefault="00B00100" w:rsidP="005C3315">
                      <w:pPr>
                        <w:pStyle w:val="Normal102"/>
                        <w:ind w:left="13" w:hanging="13"/>
                        <w:rPr>
                          <w:rFonts w:asciiTheme="minorHAnsi" w:hAnsiTheme="minorHAnsi"/>
                          <w:b/>
                          <w:color w:val="7F7F7F" w:themeColor="text1" w:themeTint="80"/>
                          <w:sz w:val="22"/>
                          <w:szCs w:val="22"/>
                        </w:rPr>
                      </w:pPr>
                      <w:r w:rsidRPr="003E491D">
                        <w:rPr>
                          <w:rFonts w:asciiTheme="minorHAnsi" w:hAnsiTheme="minorHAnsi"/>
                          <w:b/>
                          <w:color w:val="7F7F7F" w:themeColor="text1" w:themeTint="80"/>
                          <w:sz w:val="22"/>
                          <w:szCs w:val="22"/>
                        </w:rPr>
                        <w:t>Does the project plan to undertake any of the following?</w:t>
                      </w:r>
                    </w:p>
                  </w:tc>
                </w:tr>
                <w:tr w:rsidR="000C3959" w14:paraId="4A8C4339" w14:textId="77777777" w:rsidTr="002B6EFA">
                  <w:trPr>
                    <w:trHeight w:val="432"/>
                  </w:trPr>
                  <w:tc>
                    <w:tcPr>
                      <w:tcW w:w="8800" w:type="dxa"/>
                      <w:tcBorders>
                        <w:left w:val="single" w:sz="4" w:space="0" w:color="D9D9D9"/>
                      </w:tcBorders>
                    </w:tcPr>
                    <w:p w14:paraId="0014E827" w14:textId="77777777" w:rsidR="0079748F" w:rsidRDefault="00B00100" w:rsidP="005C3315">
                      <w:pPr>
                        <w:pStyle w:val="Normal102"/>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a. Analysis to identify Project-relevant gaps between males and females, especially in light of country gaps identified through SCD and CPF</w:t>
                      </w:r>
                    </w:p>
                  </w:tc>
                  <w:tc>
                    <w:tcPr>
                      <w:tcW w:w="1815" w:type="dxa"/>
                      <w:tcBorders>
                        <w:right w:val="single" w:sz="4" w:space="0" w:color="D9D9D9"/>
                      </w:tcBorders>
                    </w:tcPr>
                    <w:p w14:paraId="3D1ADC90" w14:textId="091EE1DA" w:rsidR="0079748F" w:rsidRDefault="00B00100" w:rsidP="005C3315">
                      <w:pPr>
                        <w:pStyle w:val="Normal102"/>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00552983" w:rsidRPr="00A35C75">
                        <w:rPr>
                          <w:rFonts w:asciiTheme="minorHAnsi" w:hAnsiTheme="minorHAnsi"/>
                          <w:noProof/>
                          <w:sz w:val="22"/>
                          <w:szCs w:val="22"/>
                        </w:rPr>
                        <w:t>Yes</w:t>
                      </w:r>
                      <w:r w:rsidRPr="00A35C75">
                        <w:rPr>
                          <w:rFonts w:asciiTheme="minorHAnsi" w:hAnsiTheme="minorHAnsi"/>
                          <w:sz w:val="22"/>
                          <w:szCs w:val="22"/>
                        </w:rPr>
                        <w:fldChar w:fldCharType="end"/>
                      </w:r>
                    </w:p>
                  </w:tc>
                </w:tr>
                <w:tr w:rsidR="000C3959" w14:paraId="0855E06C" w14:textId="77777777" w:rsidTr="002B6EFA">
                  <w:trPr>
                    <w:trHeight w:val="432"/>
                  </w:trPr>
                  <w:tc>
                    <w:tcPr>
                      <w:tcW w:w="8800" w:type="dxa"/>
                      <w:tcBorders>
                        <w:left w:val="single" w:sz="4" w:space="0" w:color="D9D9D9"/>
                      </w:tcBorders>
                    </w:tcPr>
                    <w:p w14:paraId="01FBD10E" w14:textId="77777777" w:rsidR="0079748F" w:rsidRPr="00A35C75" w:rsidRDefault="00B00100" w:rsidP="005C3315">
                      <w:pPr>
                        <w:pStyle w:val="Normal102"/>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b. Specific action(s) to address the gender gaps identified in (a) and/or to improve women or men's empowerment</w:t>
                      </w:r>
                    </w:p>
                  </w:tc>
                  <w:tc>
                    <w:tcPr>
                      <w:tcW w:w="1815" w:type="dxa"/>
                      <w:tcBorders>
                        <w:right w:val="single" w:sz="4" w:space="0" w:color="D9D9D9"/>
                      </w:tcBorders>
                    </w:tcPr>
                    <w:p w14:paraId="348FB66A" w14:textId="517CE06E" w:rsidR="0079748F" w:rsidRDefault="00B00100" w:rsidP="005C3315">
                      <w:pPr>
                        <w:pStyle w:val="Normal102"/>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00552983" w:rsidRPr="00A35C75">
                        <w:rPr>
                          <w:rFonts w:asciiTheme="minorHAnsi" w:hAnsiTheme="minorHAnsi"/>
                          <w:noProof/>
                          <w:sz w:val="22"/>
                          <w:szCs w:val="22"/>
                        </w:rPr>
                        <w:t>Yes</w:t>
                      </w:r>
                      <w:r w:rsidRPr="00A35C75">
                        <w:rPr>
                          <w:rFonts w:asciiTheme="minorHAnsi" w:hAnsiTheme="minorHAnsi"/>
                          <w:sz w:val="22"/>
                          <w:szCs w:val="22"/>
                        </w:rPr>
                        <w:fldChar w:fldCharType="end"/>
                      </w:r>
                    </w:p>
                  </w:tc>
                </w:tr>
                <w:tr w:rsidR="000C3959" w14:paraId="7F616431" w14:textId="77777777" w:rsidTr="002B6EFA">
                  <w:trPr>
                    <w:trHeight w:val="432"/>
                  </w:trPr>
                  <w:tc>
                    <w:tcPr>
                      <w:tcW w:w="8800" w:type="dxa"/>
                      <w:tcBorders>
                        <w:left w:val="single" w:sz="4" w:space="0" w:color="D9D9D9"/>
                      </w:tcBorders>
                    </w:tcPr>
                    <w:p w14:paraId="618F4688" w14:textId="77777777" w:rsidR="0079748F" w:rsidRPr="00A35C75" w:rsidRDefault="00B00100" w:rsidP="005C3315">
                      <w:pPr>
                        <w:pStyle w:val="Normal102"/>
                        <w:spacing w:before="100" w:after="100"/>
                        <w:ind w:left="13" w:hanging="13"/>
                        <w:rPr>
                          <w:rFonts w:asciiTheme="minorHAnsi" w:hAnsiTheme="minorHAnsi"/>
                          <w:color w:val="7F7F7F" w:themeColor="text1" w:themeTint="80"/>
                          <w:sz w:val="22"/>
                          <w:szCs w:val="22"/>
                        </w:rPr>
                      </w:pPr>
                      <w:r w:rsidRPr="00A35C75">
                        <w:rPr>
                          <w:rFonts w:asciiTheme="minorHAnsi" w:hAnsiTheme="minorHAnsi"/>
                          <w:color w:val="7F7F7F" w:themeColor="text1" w:themeTint="80"/>
                          <w:sz w:val="22"/>
                          <w:szCs w:val="22"/>
                        </w:rPr>
                        <w:t>c. Include Indicators in results framework to monitor outcomes from actions identified in (b)</w:t>
                      </w:r>
                    </w:p>
                  </w:tc>
                  <w:tc>
                    <w:tcPr>
                      <w:tcW w:w="1815" w:type="dxa"/>
                      <w:tcBorders>
                        <w:right w:val="single" w:sz="4" w:space="0" w:color="D9D9D9"/>
                      </w:tcBorders>
                    </w:tcPr>
                    <w:p w14:paraId="5091AB31" w14:textId="10C9C404" w:rsidR="0079748F" w:rsidRDefault="00B00100" w:rsidP="005C3315">
                      <w:pPr>
                        <w:pStyle w:val="Normal102"/>
                        <w:spacing w:before="100" w:after="100"/>
                        <w:ind w:left="13" w:hanging="12"/>
                        <w:rPr>
                          <w:rFonts w:asciiTheme="minorHAnsi" w:hAnsiTheme="minorHAnsi"/>
                          <w:color w:val="7F7F7F" w:themeColor="text1" w:themeTint="80"/>
                          <w:sz w:val="22"/>
                          <w:szCs w:val="22"/>
                        </w:rPr>
                      </w:pPr>
                      <w:r w:rsidRPr="00A35C75">
                        <w:rPr>
                          <w:rFonts w:asciiTheme="minorHAnsi" w:hAnsiTheme="minorHAnsi"/>
                          <w:sz w:val="22"/>
                          <w:szCs w:val="22"/>
                        </w:rPr>
                        <w:fldChar w:fldCharType="begin"/>
                      </w:r>
                      <w:r w:rsidRPr="00A35C75">
                        <w:rPr>
                          <w:rFonts w:asciiTheme="minorHAnsi" w:hAnsiTheme="minorHAnsi"/>
                          <w:sz w:val="22"/>
                          <w:szCs w:val="22"/>
                        </w:rPr>
                        <w:instrText xml:space="preserve"> IF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="TBD" </w:instrText>
                      </w:r>
                      <w:r w:rsidRPr="00A35C75">
                        <w:rPr>
                          <w:rFonts w:asciiTheme="minorHAnsi" w:hAnsiTheme="minorHAnsi" w:cs="Segoe UI Symbol"/>
                          <w:sz w:val="22"/>
                          <w:szCs w:val="22"/>
                        </w:rPr>
                        <w:instrText>" "</w:instrText>
                      </w:r>
                      <w:r w:rsidRPr="00A35C75">
                        <w:rPr>
                          <w:rFonts w:asciiTheme="minorHAnsi" w:hAnsiTheme="minorHAnsi"/>
                          <w:sz w:val="22"/>
                          <w:szCs w:val="22"/>
                        </w:rPr>
                        <w:instrText xml:space="preserve"> </w:instrText>
                      </w:r>
                      <w:r w:rsidRPr="00A35C75">
                        <w:rPr>
                          <w:rFonts w:asciiTheme="minorHAnsi" w:hAnsiTheme="minorHAnsi"/>
                          <w:noProof/>
                          <w:sz w:val="22"/>
                          <w:szCs w:val="22"/>
                        </w:rPr>
                        <w:instrText>Yes</w:instrText>
                      </w:r>
                      <w:r w:rsidRPr="00A35C75">
                        <w:rPr>
                          <w:rFonts w:asciiTheme="minorHAnsi" w:hAnsiTheme="minorHAnsi"/>
                          <w:sz w:val="22"/>
                          <w:szCs w:val="22"/>
                        </w:rPr>
                        <w:instrText xml:space="preserve"> </w:instrText>
                      </w:r>
                      <w:r w:rsidRPr="00A35C75">
                        <w:rPr>
                          <w:rFonts w:asciiTheme="minorHAnsi" w:hAnsiTheme="minorHAnsi"/>
                          <w:sz w:val="22"/>
                          <w:szCs w:val="22"/>
                        </w:rPr>
                        <w:fldChar w:fldCharType="separate"/>
                      </w:r>
                      <w:r w:rsidR="00552983" w:rsidRPr="00A35C75">
                        <w:rPr>
                          <w:rFonts w:asciiTheme="minorHAnsi" w:hAnsiTheme="minorHAnsi"/>
                          <w:noProof/>
                          <w:sz w:val="22"/>
                          <w:szCs w:val="22"/>
                        </w:rPr>
                        <w:t>Yes</w:t>
                      </w:r>
                      <w:r w:rsidRPr="00A35C75">
                        <w:rPr>
                          <w:rFonts w:asciiTheme="minorHAnsi" w:hAnsiTheme="minorHAnsi"/>
                          <w:sz w:val="22"/>
                          <w:szCs w:val="22"/>
                        </w:rPr>
                        <w:fldChar w:fldCharType="end"/>
                      </w:r>
                    </w:p>
                  </w:tc>
                </w:tr>
              </w:tbl>
              <w:p w14:paraId="564DB37F" w14:textId="77777777" w:rsidR="0079748F" w:rsidRPr="00A35C75" w:rsidRDefault="0079748F" w:rsidP="005C3315">
                <w:pPr>
                  <w:pStyle w:val="Normal102"/>
                  <w:ind w:left="-9"/>
                  <w:rPr>
                    <w:rFonts w:asciiTheme="minorHAnsi" w:hAnsiTheme="minorHAnsi"/>
                    <w:b/>
                    <w:bCs/>
                    <w:color w:val="172D5F"/>
                    <w:sz w:val="22"/>
                    <w:szCs w:val="22"/>
                  </w:rPr>
                </w:pPr>
              </w:p>
            </w:tc>
          </w:tr>
          <w:tr w:rsidR="000C3959" w14:paraId="3CFB1DF0" w14:textId="77777777" w:rsidTr="00F478DB">
            <w:tc>
              <w:tcPr>
                <w:tcW w:w="10620" w:type="dxa"/>
                <w:shd w:val="clear" w:color="auto" w:fill="F7F7F7"/>
              </w:tcPr>
              <w:p w14:paraId="5E109398" w14:textId="77777777" w:rsidR="0079748F" w:rsidRPr="00A35C75" w:rsidRDefault="0079748F" w:rsidP="005C3315">
                <w:pPr>
                  <w:pStyle w:val="Normal102"/>
                  <w:rPr>
                    <w:rFonts w:asciiTheme="minorHAnsi" w:hAnsiTheme="minorHAnsi"/>
                    <w:color w:val="7F7F7F" w:themeColor="text1" w:themeTint="80"/>
                    <w:sz w:val="22"/>
                    <w:szCs w:val="22"/>
                  </w:rPr>
                </w:pPr>
              </w:p>
            </w:tc>
          </w:tr>
        </w:tbl>
        <w:p w14:paraId="08B8535D" w14:textId="77777777" w:rsidR="003615CB" w:rsidRDefault="003615CB" w:rsidP="00973184">
          <w:pPr>
            <w:widowControl/>
            <w:shd w:val="clear" w:color="auto" w:fill="F7F7F7"/>
            <w:spacing w:line="60" w:lineRule="exact"/>
            <w:ind w:left="-691" w:right="29"/>
            <w:rPr>
              <w:rFonts w:asciiTheme="minorHAnsi" w:hAnsiTheme="minorHAnsi"/>
              <w:color w:val="767171" w:themeColor="background2" w:themeShade="80"/>
              <w:sz w:val="22"/>
              <w:szCs w:val="22"/>
            </w:rPr>
          </w:pPr>
        </w:p>
        <w:tbl>
          <w:tblPr>
            <w:tblStyle w:val="TableGrid34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0C3959" w14:paraId="40C8971A" w14:textId="77777777" w:rsidTr="006376D4">
            <w:trPr>
              <w:trHeight w:val="432"/>
            </w:trPr>
            <w:tc>
              <w:tcPr>
                <w:tcW w:w="10584" w:type="dxa"/>
                <w:shd w:val="clear" w:color="auto" w:fill="F2F2F2"/>
                <w:vAlign w:val="center"/>
              </w:tcPr>
              <w:p w14:paraId="2262BBBA" w14:textId="77777777" w:rsidR="00973184" w:rsidRDefault="00B00100" w:rsidP="00B209FA">
                <w:pPr>
                  <w:keepNext/>
                  <w:widowControl/>
                  <w:ind w:right="29"/>
                  <w:rPr>
                    <w:rFonts w:asciiTheme="minorHAnsi" w:hAnsiTheme="minorHAnsi"/>
                    <w:color w:val="767171" w:themeColor="background2" w:themeShade="80"/>
                    <w:sz w:val="22"/>
                    <w:szCs w:val="22"/>
                  </w:rPr>
                </w:pPr>
                <w:r>
                  <w:rPr>
                    <w:rFonts w:asciiTheme="minorHAnsi" w:hAnsiTheme="minorHAnsi"/>
                    <w:b/>
                    <w:bCs/>
                    <w:sz w:val="22"/>
                    <w:szCs w:val="22"/>
                  </w:rPr>
                  <w:t>SYSTEMATIC OPERATIONS RISK-</w:t>
                </w:r>
                <w:r w:rsidRPr="00692E93">
                  <w:rPr>
                    <w:rFonts w:asciiTheme="minorHAnsi" w:hAnsiTheme="minorHAnsi"/>
                    <w:b/>
                    <w:bCs/>
                    <w:sz w:val="22"/>
                    <w:szCs w:val="22"/>
                  </w:rPr>
                  <w:t>RATING TOOL (SORT)</w:t>
                </w:r>
              </w:p>
            </w:tc>
          </w:tr>
        </w:tbl>
        <w:p w14:paraId="6A5993B0" w14:textId="77777777" w:rsidR="00973184" w:rsidRPr="00E14432" w:rsidRDefault="00973184" w:rsidP="00B209FA">
          <w:pPr>
            <w:keepNext/>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0C3959" w14:paraId="5E65B52E" w14:textId="77777777" w:rsidTr="00245DD1">
            <w:trPr>
              <w:trHeight w:val="432"/>
            </w:trPr>
            <w:tc>
              <w:tcPr>
                <w:tcW w:w="7740" w:type="dxa"/>
                <w:tcBorders>
                  <w:bottom w:val="single" w:sz="12" w:space="0" w:color="AEAAAA"/>
                </w:tcBorders>
                <w:shd w:val="clear" w:color="auto" w:fill="F7F7F7"/>
                <w:vAlign w:val="center"/>
              </w:tcPr>
              <w:p w14:paraId="0983BF93" w14:textId="77777777" w:rsidR="003615CB" w:rsidRPr="00501672" w:rsidRDefault="00B00100"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Risk Category</w:t>
                </w:r>
              </w:p>
            </w:tc>
            <w:tc>
              <w:tcPr>
                <w:tcW w:w="2880" w:type="dxa"/>
                <w:tcBorders>
                  <w:bottom w:val="single" w:sz="12" w:space="0" w:color="AEAAAA"/>
                </w:tcBorders>
                <w:shd w:val="clear" w:color="auto" w:fill="F7F7F7"/>
                <w:vAlign w:val="center"/>
              </w:tcPr>
              <w:p w14:paraId="1E592ED0" w14:textId="77777777" w:rsidR="003615CB" w:rsidRPr="00501672" w:rsidRDefault="00B00100"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Rating</w:t>
                </w:r>
              </w:p>
            </w:tc>
          </w:tr>
          <w:tr w:rsidR="000C3959" w14:paraId="41126783" w14:textId="77777777" w:rsidTr="00245DD1">
            <w:trPr>
              <w:trHeight w:val="432"/>
            </w:trPr>
            <w:tc>
              <w:tcPr>
                <w:tcW w:w="10620" w:type="dxa"/>
                <w:gridSpan w:val="2"/>
                <w:tcBorders>
                  <w:top w:val="single" w:sz="12" w:space="0" w:color="AEAAAA"/>
                </w:tcBorders>
                <w:shd w:val="clear" w:color="auto" w:fill="F7F7F7"/>
                <w:vAlign w:val="center"/>
              </w:tcPr>
              <w:p w14:paraId="7EE49AD2"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4208AAE7" w14:textId="77777777" w:rsidTr="00A73158">
                  <w:trPr>
                    <w:trHeight w:val="432"/>
                  </w:trPr>
                  <w:tc>
                    <w:tcPr>
                      <w:tcW w:w="7730" w:type="dxa"/>
                      <w:tcBorders>
                        <w:bottom w:val="single" w:sz="8" w:space="0" w:color="D9D9D9"/>
                      </w:tcBorders>
                      <w:vAlign w:val="center"/>
                    </w:tcPr>
                    <w:p w14:paraId="231466D2"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1.</w:t>
                      </w:r>
                      <w:r w:rsidRPr="00501672">
                        <w:rPr>
                          <w:rFonts w:asciiTheme="minorHAnsi" w:hAnsiTheme="minorHAnsi"/>
                          <w:sz w:val="22"/>
                          <w:szCs w:val="22"/>
                        </w:rPr>
                        <w:t xml:space="preserve"> </w:t>
                      </w:r>
                      <w:r w:rsidRPr="00501672">
                        <w:rPr>
                          <w:rFonts w:asciiTheme="minorHAnsi" w:hAnsiTheme="minorHAnsi"/>
                          <w:noProof/>
                          <w:sz w:val="22"/>
                          <w:szCs w:val="22"/>
                        </w:rPr>
                        <w:t>Political and Governance</w:t>
                      </w:r>
                    </w:p>
                  </w:tc>
                  <w:tc>
                    <w:tcPr>
                      <w:tcW w:w="2880" w:type="dxa"/>
                      <w:tcBorders>
                        <w:bottom w:val="single" w:sz="8" w:space="0" w:color="D9D9D9"/>
                      </w:tcBorders>
                      <w:vAlign w:val="center"/>
                    </w:tcPr>
                    <w:p w14:paraId="60B95BEE" w14:textId="65391B4F"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619139E8" w14:textId="77777777" w:rsidR="00B84EA5" w:rsidRPr="00501672" w:rsidRDefault="00B84EA5" w:rsidP="00241CBE">
                <w:pPr>
                  <w:spacing w:line="14" w:lineRule="exact"/>
                  <w:rPr>
                    <w:rFonts w:asciiTheme="minorHAnsi" w:hAnsiTheme="minorHAnsi"/>
                    <w:sz w:val="22"/>
                    <w:szCs w:val="22"/>
                  </w:rPr>
                </w:pPr>
              </w:p>
              <w:p w14:paraId="1B6758E4"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0CA332D2" w14:textId="77777777" w:rsidTr="00A73158">
                  <w:trPr>
                    <w:trHeight w:val="432"/>
                  </w:trPr>
                  <w:tc>
                    <w:tcPr>
                      <w:tcW w:w="7730" w:type="dxa"/>
                      <w:tcBorders>
                        <w:bottom w:val="single" w:sz="8" w:space="0" w:color="D9D9D9"/>
                      </w:tcBorders>
                      <w:vAlign w:val="center"/>
                    </w:tcPr>
                    <w:p w14:paraId="66C9F3F9"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2.</w:t>
                      </w:r>
                      <w:r w:rsidRPr="00501672">
                        <w:rPr>
                          <w:rFonts w:asciiTheme="minorHAnsi" w:hAnsiTheme="minorHAnsi"/>
                          <w:sz w:val="22"/>
                          <w:szCs w:val="22"/>
                        </w:rPr>
                        <w:t xml:space="preserve"> </w:t>
                      </w:r>
                      <w:r w:rsidRPr="00501672">
                        <w:rPr>
                          <w:rFonts w:asciiTheme="minorHAnsi" w:hAnsiTheme="minorHAnsi"/>
                          <w:noProof/>
                          <w:sz w:val="22"/>
                          <w:szCs w:val="22"/>
                        </w:rPr>
                        <w:t>Macroeconomic</w:t>
                      </w:r>
                    </w:p>
                  </w:tc>
                  <w:tc>
                    <w:tcPr>
                      <w:tcW w:w="2880" w:type="dxa"/>
                      <w:tcBorders>
                        <w:bottom w:val="single" w:sz="8" w:space="0" w:color="D9D9D9"/>
                      </w:tcBorders>
                      <w:vAlign w:val="center"/>
                    </w:tcPr>
                    <w:p w14:paraId="6CA18CCB" w14:textId="0E2B9A07"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6BE16B7E" w14:textId="77777777" w:rsidR="00B84EA5" w:rsidRPr="00501672" w:rsidRDefault="00B84EA5" w:rsidP="00241CBE">
                <w:pPr>
                  <w:spacing w:line="14" w:lineRule="exact"/>
                  <w:rPr>
                    <w:rFonts w:asciiTheme="minorHAnsi" w:hAnsiTheme="minorHAnsi"/>
                    <w:sz w:val="22"/>
                    <w:szCs w:val="22"/>
                  </w:rPr>
                </w:pPr>
              </w:p>
              <w:p w14:paraId="41E5AC5F"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598128B9" w14:textId="77777777" w:rsidTr="00A73158">
                  <w:trPr>
                    <w:trHeight w:val="432"/>
                  </w:trPr>
                  <w:tc>
                    <w:tcPr>
                      <w:tcW w:w="7730" w:type="dxa"/>
                      <w:tcBorders>
                        <w:bottom w:val="single" w:sz="8" w:space="0" w:color="D9D9D9"/>
                      </w:tcBorders>
                      <w:vAlign w:val="center"/>
                    </w:tcPr>
                    <w:p w14:paraId="23128C0F"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3.</w:t>
                      </w:r>
                      <w:r w:rsidRPr="00501672">
                        <w:rPr>
                          <w:rFonts w:asciiTheme="minorHAnsi" w:hAnsiTheme="minorHAnsi"/>
                          <w:sz w:val="22"/>
                          <w:szCs w:val="22"/>
                        </w:rPr>
                        <w:t xml:space="preserve"> </w:t>
                      </w:r>
                      <w:r w:rsidRPr="00501672">
                        <w:rPr>
                          <w:rFonts w:asciiTheme="minorHAnsi" w:hAnsiTheme="minorHAnsi"/>
                          <w:noProof/>
                          <w:sz w:val="22"/>
                          <w:szCs w:val="22"/>
                        </w:rPr>
                        <w:t>Sector Strategies and Policies</w:t>
                      </w:r>
                    </w:p>
                  </w:tc>
                  <w:tc>
                    <w:tcPr>
                      <w:tcW w:w="2880" w:type="dxa"/>
                      <w:tcBorders>
                        <w:bottom w:val="single" w:sz="8" w:space="0" w:color="D9D9D9"/>
                      </w:tcBorders>
                      <w:vAlign w:val="center"/>
                    </w:tcPr>
                    <w:p w14:paraId="1993E33C" w14:textId="2F264FB6"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4B041653" w14:textId="77777777" w:rsidR="00B84EA5" w:rsidRPr="00501672" w:rsidRDefault="00B84EA5" w:rsidP="00241CBE">
                <w:pPr>
                  <w:spacing w:line="14" w:lineRule="exact"/>
                  <w:rPr>
                    <w:rFonts w:asciiTheme="minorHAnsi" w:hAnsiTheme="minorHAnsi"/>
                    <w:sz w:val="22"/>
                    <w:szCs w:val="22"/>
                  </w:rPr>
                </w:pPr>
              </w:p>
              <w:p w14:paraId="76D9552D"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6B80F6FD" w14:textId="77777777" w:rsidTr="00A73158">
                  <w:trPr>
                    <w:trHeight w:val="432"/>
                  </w:trPr>
                  <w:tc>
                    <w:tcPr>
                      <w:tcW w:w="7730" w:type="dxa"/>
                      <w:tcBorders>
                        <w:bottom w:val="single" w:sz="8" w:space="0" w:color="D9D9D9"/>
                      </w:tcBorders>
                      <w:vAlign w:val="center"/>
                    </w:tcPr>
                    <w:p w14:paraId="0AA59630"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4.</w:t>
                      </w:r>
                      <w:r w:rsidRPr="00501672">
                        <w:rPr>
                          <w:rFonts w:asciiTheme="minorHAnsi" w:hAnsiTheme="minorHAnsi"/>
                          <w:sz w:val="22"/>
                          <w:szCs w:val="22"/>
                        </w:rPr>
                        <w:t xml:space="preserve"> </w:t>
                      </w:r>
                      <w:r w:rsidRPr="00501672">
                        <w:rPr>
                          <w:rFonts w:asciiTheme="minorHAnsi" w:hAnsiTheme="minorHAnsi"/>
                          <w:noProof/>
                          <w:sz w:val="22"/>
                          <w:szCs w:val="22"/>
                        </w:rPr>
                        <w:t>Technical Design of Project or Program</w:t>
                      </w:r>
                    </w:p>
                  </w:tc>
                  <w:tc>
                    <w:tcPr>
                      <w:tcW w:w="2880" w:type="dxa"/>
                      <w:tcBorders>
                        <w:bottom w:val="single" w:sz="8" w:space="0" w:color="D9D9D9"/>
                      </w:tcBorders>
                      <w:vAlign w:val="center"/>
                    </w:tcPr>
                    <w:p w14:paraId="0D7F6637" w14:textId="3130E1FA"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4D902BCA" w14:textId="77777777" w:rsidR="00B84EA5" w:rsidRPr="00501672" w:rsidRDefault="00B84EA5" w:rsidP="00241CBE">
                <w:pPr>
                  <w:spacing w:line="14" w:lineRule="exact"/>
                  <w:rPr>
                    <w:rFonts w:asciiTheme="minorHAnsi" w:hAnsiTheme="minorHAnsi"/>
                    <w:sz w:val="22"/>
                    <w:szCs w:val="22"/>
                  </w:rPr>
                </w:pPr>
              </w:p>
              <w:p w14:paraId="2EECC32B"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0411281A" w14:textId="77777777" w:rsidTr="00A73158">
                  <w:trPr>
                    <w:trHeight w:val="432"/>
                  </w:trPr>
                  <w:tc>
                    <w:tcPr>
                      <w:tcW w:w="7730" w:type="dxa"/>
                      <w:tcBorders>
                        <w:bottom w:val="single" w:sz="8" w:space="0" w:color="D9D9D9"/>
                      </w:tcBorders>
                      <w:vAlign w:val="center"/>
                    </w:tcPr>
                    <w:p w14:paraId="4C0819D8"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5.</w:t>
                      </w:r>
                      <w:r w:rsidRPr="00501672">
                        <w:rPr>
                          <w:rFonts w:asciiTheme="minorHAnsi" w:hAnsiTheme="minorHAnsi"/>
                          <w:sz w:val="22"/>
                          <w:szCs w:val="22"/>
                        </w:rPr>
                        <w:t xml:space="preserve"> </w:t>
                      </w:r>
                      <w:r w:rsidRPr="00501672">
                        <w:rPr>
                          <w:rFonts w:asciiTheme="minorHAnsi" w:hAnsiTheme="minorHAnsi"/>
                          <w:noProof/>
                          <w:sz w:val="22"/>
                          <w:szCs w:val="22"/>
                        </w:rPr>
                        <w:t>Institutional Capacity for Implementation and Sustainability</w:t>
                      </w:r>
                    </w:p>
                  </w:tc>
                  <w:tc>
                    <w:tcPr>
                      <w:tcW w:w="2880" w:type="dxa"/>
                      <w:tcBorders>
                        <w:bottom w:val="single" w:sz="8" w:space="0" w:color="D9D9D9"/>
                      </w:tcBorders>
                      <w:vAlign w:val="center"/>
                    </w:tcPr>
                    <w:p w14:paraId="6DD44969" w14:textId="33675162"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213C10BD" w14:textId="77777777" w:rsidR="00B84EA5" w:rsidRPr="00501672" w:rsidRDefault="00B84EA5" w:rsidP="00241CBE">
                <w:pPr>
                  <w:spacing w:line="14" w:lineRule="exact"/>
                  <w:rPr>
                    <w:rFonts w:asciiTheme="minorHAnsi" w:hAnsiTheme="minorHAnsi"/>
                    <w:sz w:val="22"/>
                    <w:szCs w:val="22"/>
                  </w:rPr>
                </w:pPr>
              </w:p>
              <w:p w14:paraId="185AEB58"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0F746BAB" w14:textId="77777777" w:rsidTr="00A73158">
                  <w:trPr>
                    <w:trHeight w:val="432"/>
                  </w:trPr>
                  <w:tc>
                    <w:tcPr>
                      <w:tcW w:w="7730" w:type="dxa"/>
                      <w:tcBorders>
                        <w:bottom w:val="single" w:sz="8" w:space="0" w:color="D9D9D9"/>
                      </w:tcBorders>
                      <w:vAlign w:val="center"/>
                    </w:tcPr>
                    <w:p w14:paraId="730349C9"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6.</w:t>
                      </w:r>
                      <w:r w:rsidRPr="00501672">
                        <w:rPr>
                          <w:rFonts w:asciiTheme="minorHAnsi" w:hAnsiTheme="minorHAnsi"/>
                          <w:sz w:val="22"/>
                          <w:szCs w:val="22"/>
                        </w:rPr>
                        <w:t xml:space="preserve"> </w:t>
                      </w:r>
                      <w:r w:rsidRPr="00501672">
                        <w:rPr>
                          <w:rFonts w:asciiTheme="minorHAnsi" w:hAnsiTheme="minorHAnsi"/>
                          <w:noProof/>
                          <w:sz w:val="22"/>
                          <w:szCs w:val="22"/>
                        </w:rPr>
                        <w:t>Fiduciary</w:t>
                      </w:r>
                    </w:p>
                  </w:tc>
                  <w:tc>
                    <w:tcPr>
                      <w:tcW w:w="2880" w:type="dxa"/>
                      <w:tcBorders>
                        <w:bottom w:val="single" w:sz="8" w:space="0" w:color="D9D9D9"/>
                      </w:tcBorders>
                      <w:vAlign w:val="center"/>
                    </w:tcPr>
                    <w:p w14:paraId="60329469" w14:textId="4731F597"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14:paraId="00534BB4" w14:textId="77777777" w:rsidR="00B84EA5" w:rsidRPr="00501672" w:rsidRDefault="00B84EA5" w:rsidP="00241CBE">
                <w:pPr>
                  <w:spacing w:line="14" w:lineRule="exact"/>
                  <w:rPr>
                    <w:rFonts w:asciiTheme="minorHAnsi" w:hAnsiTheme="minorHAnsi"/>
                    <w:sz w:val="22"/>
                    <w:szCs w:val="22"/>
                  </w:rPr>
                </w:pPr>
              </w:p>
              <w:p w14:paraId="168BDDEF"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03DD306D" w14:textId="77777777" w:rsidTr="00A73158">
                  <w:trPr>
                    <w:trHeight w:val="432"/>
                  </w:trPr>
                  <w:tc>
                    <w:tcPr>
                      <w:tcW w:w="7730" w:type="dxa"/>
                      <w:tcBorders>
                        <w:bottom w:val="single" w:sz="8" w:space="0" w:color="D9D9D9"/>
                      </w:tcBorders>
                      <w:vAlign w:val="center"/>
                    </w:tcPr>
                    <w:p w14:paraId="0ECDCD61"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lastRenderedPageBreak/>
                        <w:t>7.</w:t>
                      </w:r>
                      <w:r w:rsidRPr="00501672">
                        <w:rPr>
                          <w:rFonts w:asciiTheme="minorHAnsi" w:hAnsiTheme="minorHAnsi"/>
                          <w:sz w:val="22"/>
                          <w:szCs w:val="22"/>
                        </w:rPr>
                        <w:t xml:space="preserve"> </w:t>
                      </w:r>
                      <w:r w:rsidRPr="00501672">
                        <w:rPr>
                          <w:rFonts w:asciiTheme="minorHAnsi" w:hAnsiTheme="minorHAnsi"/>
                          <w:noProof/>
                          <w:sz w:val="22"/>
                          <w:szCs w:val="22"/>
                        </w:rPr>
                        <w:t>Environment and Social</w:t>
                      </w:r>
                    </w:p>
                  </w:tc>
                  <w:tc>
                    <w:tcPr>
                      <w:tcW w:w="2880" w:type="dxa"/>
                      <w:tcBorders>
                        <w:bottom w:val="single" w:sz="8" w:space="0" w:color="D9D9D9"/>
                      </w:tcBorders>
                      <w:vAlign w:val="center"/>
                    </w:tcPr>
                    <w:p w14:paraId="084CC2E3" w14:textId="5771B717"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7CAF1B"/>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L</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Low</w:t>
                      </w:r>
                    </w:p>
                  </w:tc>
                </w:tr>
              </w:tbl>
              <w:p w14:paraId="579786D7" w14:textId="77777777" w:rsidR="00B84EA5" w:rsidRPr="00501672" w:rsidRDefault="00B84EA5" w:rsidP="00241CBE">
                <w:pPr>
                  <w:spacing w:line="14" w:lineRule="exact"/>
                  <w:rPr>
                    <w:rFonts w:asciiTheme="minorHAnsi" w:hAnsiTheme="minorHAnsi"/>
                    <w:sz w:val="22"/>
                    <w:szCs w:val="22"/>
                  </w:rPr>
                </w:pPr>
              </w:p>
              <w:p w14:paraId="6B1CCFCF"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261BDC9C" w14:textId="77777777" w:rsidTr="00A73158">
                  <w:trPr>
                    <w:trHeight w:val="432"/>
                  </w:trPr>
                  <w:tc>
                    <w:tcPr>
                      <w:tcW w:w="7730" w:type="dxa"/>
                      <w:tcBorders>
                        <w:bottom w:val="single" w:sz="8" w:space="0" w:color="D9D9D9"/>
                      </w:tcBorders>
                      <w:vAlign w:val="center"/>
                    </w:tcPr>
                    <w:p w14:paraId="4B5D2538"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8.</w:t>
                      </w:r>
                      <w:r w:rsidRPr="00501672">
                        <w:rPr>
                          <w:rFonts w:asciiTheme="minorHAnsi" w:hAnsiTheme="minorHAnsi"/>
                          <w:sz w:val="22"/>
                          <w:szCs w:val="22"/>
                        </w:rPr>
                        <w:t xml:space="preserve"> </w:t>
                      </w:r>
                      <w:r w:rsidRPr="00501672">
                        <w:rPr>
                          <w:rFonts w:asciiTheme="minorHAnsi" w:hAnsiTheme="minorHAnsi"/>
                          <w:noProof/>
                          <w:sz w:val="22"/>
                          <w:szCs w:val="22"/>
                        </w:rPr>
                        <w:t>Stakeholders</w:t>
                      </w:r>
                    </w:p>
                  </w:tc>
                  <w:tc>
                    <w:tcPr>
                      <w:tcW w:w="2880" w:type="dxa"/>
                      <w:tcBorders>
                        <w:bottom w:val="single" w:sz="8" w:space="0" w:color="D9D9D9"/>
                      </w:tcBorders>
                      <w:vAlign w:val="center"/>
                    </w:tcPr>
                    <w:p w14:paraId="4F69BA46" w14:textId="5BC8801E"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15EB0399" w14:textId="77777777" w:rsidR="00B84EA5" w:rsidRPr="00501672" w:rsidRDefault="00B84EA5" w:rsidP="00241CBE">
                <w:pPr>
                  <w:spacing w:line="14" w:lineRule="exact"/>
                  <w:rPr>
                    <w:rFonts w:asciiTheme="minorHAnsi" w:hAnsiTheme="minorHAnsi"/>
                    <w:sz w:val="22"/>
                    <w:szCs w:val="22"/>
                  </w:rPr>
                </w:pPr>
              </w:p>
              <w:p w14:paraId="73F5BD86"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6AE84A90" w14:textId="77777777" w:rsidTr="00A73158">
                  <w:trPr>
                    <w:trHeight w:val="432"/>
                  </w:trPr>
                  <w:tc>
                    <w:tcPr>
                      <w:tcW w:w="7730" w:type="dxa"/>
                      <w:tcBorders>
                        <w:bottom w:val="single" w:sz="8" w:space="0" w:color="D9D9D9"/>
                      </w:tcBorders>
                      <w:vAlign w:val="center"/>
                    </w:tcPr>
                    <w:p w14:paraId="3574BFAE"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9.</w:t>
                      </w:r>
                      <w:r w:rsidRPr="00501672">
                        <w:rPr>
                          <w:rFonts w:asciiTheme="minorHAnsi" w:hAnsiTheme="minorHAnsi"/>
                          <w:sz w:val="22"/>
                          <w:szCs w:val="22"/>
                        </w:rPr>
                        <w:t xml:space="preserve"> </w:t>
                      </w:r>
                      <w:r w:rsidRPr="00501672">
                        <w:rPr>
                          <w:rFonts w:asciiTheme="minorHAnsi" w:hAnsiTheme="minorHAnsi"/>
                          <w:noProof/>
                          <w:sz w:val="22"/>
                          <w:szCs w:val="22"/>
                        </w:rPr>
                        <w:t>Other</w:t>
                      </w:r>
                    </w:p>
                  </w:tc>
                  <w:tc>
                    <w:tcPr>
                      <w:tcW w:w="2880" w:type="dxa"/>
                      <w:tcBorders>
                        <w:bottom w:val="single" w:sz="8" w:space="0" w:color="D9D9D9"/>
                      </w:tcBorders>
                      <w:vAlign w:val="center"/>
                    </w:tcPr>
                    <w:p w14:paraId="5AEA55BE" w14:textId="1C019F07"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6C816FC5" w14:textId="77777777" w:rsidR="00B84EA5" w:rsidRPr="00501672" w:rsidRDefault="00B84EA5" w:rsidP="00241CBE">
                <w:pPr>
                  <w:spacing w:line="14" w:lineRule="exact"/>
                  <w:rPr>
                    <w:rFonts w:asciiTheme="minorHAnsi" w:hAnsiTheme="minorHAnsi"/>
                    <w:sz w:val="22"/>
                    <w:szCs w:val="22"/>
                  </w:rPr>
                </w:pPr>
              </w:p>
              <w:p w14:paraId="3CA9C357" w14:textId="77777777" w:rsidR="00B84EA5" w:rsidRDefault="00B84EA5" w:rsidP="00AB5557">
                <w:pPr>
                  <w:spacing w:line="14" w:lineRule="exact"/>
                  <w:rPr>
                    <w:rFonts w:asciiTheme="minorHAnsi" w:hAnsiTheme="minorHAnsi"/>
                    <w:sz w:val="22"/>
                    <w:szCs w:val="22"/>
                  </w:rPr>
                </w:pPr>
              </w:p>
              <w:tbl>
                <w:tblPr>
                  <w:tblStyle w:val="TableGrid340"/>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0C3959" w14:paraId="5C3C2F59" w14:textId="77777777" w:rsidTr="00A73158">
                  <w:trPr>
                    <w:trHeight w:val="432"/>
                  </w:trPr>
                  <w:tc>
                    <w:tcPr>
                      <w:tcW w:w="7730" w:type="dxa"/>
                      <w:tcBorders>
                        <w:bottom w:val="single" w:sz="8" w:space="0" w:color="D9D9D9"/>
                      </w:tcBorders>
                      <w:vAlign w:val="center"/>
                    </w:tcPr>
                    <w:p w14:paraId="57B7B44D" w14:textId="77777777" w:rsidR="00B84EA5" w:rsidRDefault="00B00100" w:rsidP="00A73158">
                      <w:pPr>
                        <w:ind w:left="86" w:right="75"/>
                        <w:rPr>
                          <w:rFonts w:asciiTheme="minorHAnsi" w:hAnsiTheme="minorHAnsi"/>
                          <w:sz w:val="22"/>
                          <w:szCs w:val="22"/>
                        </w:rPr>
                      </w:pPr>
                      <w:r w:rsidRPr="00501672">
                        <w:rPr>
                          <w:rFonts w:asciiTheme="minorHAnsi" w:hAnsiTheme="minorHAnsi"/>
                          <w:noProof/>
                          <w:sz w:val="22"/>
                          <w:szCs w:val="22"/>
                        </w:rPr>
                        <w:t>10.</w:t>
                      </w:r>
                      <w:r w:rsidRPr="00501672">
                        <w:rPr>
                          <w:rFonts w:asciiTheme="minorHAnsi" w:hAnsiTheme="minorHAnsi"/>
                          <w:sz w:val="22"/>
                          <w:szCs w:val="22"/>
                        </w:rPr>
                        <w:t xml:space="preserve"> </w:t>
                      </w:r>
                      <w:r w:rsidRPr="00501672">
                        <w:rPr>
                          <w:rFonts w:asciiTheme="minorHAnsi" w:hAnsiTheme="minorHAnsi"/>
                          <w:noProof/>
                          <w:sz w:val="22"/>
                          <w:szCs w:val="22"/>
                        </w:rPr>
                        <w:t>Overall</w:t>
                      </w:r>
                    </w:p>
                  </w:tc>
                  <w:tc>
                    <w:tcPr>
                      <w:tcW w:w="2880" w:type="dxa"/>
                      <w:tcBorders>
                        <w:bottom w:val="single" w:sz="8" w:space="0" w:color="D9D9D9"/>
                      </w:tcBorders>
                      <w:vAlign w:val="center"/>
                    </w:tcPr>
                    <w:p w14:paraId="3D8CC3B1" w14:textId="45BF2BE4" w:rsidR="00B84EA5" w:rsidRDefault="00B00100"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00552983" w:rsidRPr="00501672">
                        <w:rPr>
                          <w:rFonts w:ascii="Wingdings" w:hAnsi="Wingdings"/>
                          <w:noProof/>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14:paraId="0BF13F34" w14:textId="77777777" w:rsidR="00B84EA5" w:rsidRPr="00501672" w:rsidRDefault="00B84EA5" w:rsidP="00241CBE">
                <w:pPr>
                  <w:spacing w:line="14" w:lineRule="exact"/>
                  <w:rPr>
                    <w:rFonts w:asciiTheme="minorHAnsi" w:hAnsiTheme="minorHAnsi"/>
                    <w:sz w:val="22"/>
                    <w:szCs w:val="22"/>
                  </w:rPr>
                </w:pPr>
              </w:p>
            </w:tc>
          </w:tr>
        </w:tbl>
        <w:p w14:paraId="7A19DA36" w14:textId="77777777" w:rsidR="003615CB"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340"/>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0C3959" w14:paraId="2E864324" w14:textId="77777777" w:rsidTr="007E5215">
            <w:trPr>
              <w:trHeight w:val="432"/>
            </w:trPr>
            <w:tc>
              <w:tcPr>
                <w:tcW w:w="10584" w:type="dxa"/>
                <w:shd w:val="clear" w:color="auto" w:fill="F2F2F2"/>
                <w:vAlign w:val="center"/>
              </w:tcPr>
              <w:p w14:paraId="4CD550B6" w14:textId="77777777" w:rsidR="00C969BB" w:rsidRDefault="00B00100" w:rsidP="00C969BB">
                <w:pPr>
                  <w:keepNext/>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COMPLIANCE</w:t>
                </w:r>
              </w:p>
            </w:tc>
          </w:tr>
        </w:tbl>
        <w:p w14:paraId="6FCA7A91" w14:textId="77777777" w:rsidR="00C969BB" w:rsidRPr="00E14432" w:rsidRDefault="00C969BB" w:rsidP="00C969BB">
          <w:pPr>
            <w:keepNext/>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0C3959" w14:paraId="6382C75E" w14:textId="77777777" w:rsidTr="00E14432">
            <w:trPr>
              <w:trHeight w:val="20"/>
            </w:trPr>
            <w:tc>
              <w:tcPr>
                <w:tcW w:w="10620" w:type="dxa"/>
                <w:shd w:val="clear" w:color="auto" w:fill="F7F7F7"/>
              </w:tcPr>
              <w:p w14:paraId="45CCF93F" w14:textId="77777777" w:rsidR="003615CB" w:rsidRPr="007D4E7E" w:rsidRDefault="00B00100" w:rsidP="00C969BB">
                <w:pPr>
                  <w:keepNext/>
                  <w:widowControl/>
                  <w:ind w:left="86" w:right="-202"/>
                  <w:rPr>
                    <w:rFonts w:asciiTheme="minorHAnsi" w:hAnsiTheme="minorHAnsi"/>
                    <w:color w:val="7F7F7F" w:themeColor="text1" w:themeTint="80"/>
                    <w:sz w:val="22"/>
                    <w:szCs w:val="22"/>
                  </w:rPr>
                </w:pPr>
                <w:r w:rsidRPr="007D4E7E">
                  <w:rPr>
                    <w:rFonts w:asciiTheme="minorHAnsi" w:hAnsiTheme="minorHAnsi"/>
                    <w:b/>
                    <w:color w:val="172D5F"/>
                    <w:sz w:val="22"/>
                    <w:szCs w:val="22"/>
                  </w:rPr>
                  <w:t>Policy</w:t>
                </w:r>
              </w:p>
            </w:tc>
          </w:tr>
          <w:tr w:rsidR="000C3959" w14:paraId="1CDD98C3" w14:textId="77777777" w:rsidTr="00883F8C">
            <w:trPr>
              <w:trHeight w:val="374"/>
            </w:trPr>
            <w:tc>
              <w:tcPr>
                <w:tcW w:w="10620" w:type="dxa"/>
                <w:shd w:val="clear" w:color="auto" w:fill="F7F7F7"/>
              </w:tcPr>
              <w:p w14:paraId="2B27470D" w14:textId="77777777" w:rsidR="003615CB" w:rsidRPr="007D4E7E" w:rsidRDefault="00B00100" w:rsidP="00883F8C">
                <w:pPr>
                  <w:keepNext/>
                  <w:widowControl/>
                  <w:spacing w:line="276" w:lineRule="auto"/>
                  <w:ind w:left="86" w:right="-202"/>
                  <w:rPr>
                    <w:rFonts w:asciiTheme="minorHAnsi" w:hAnsiTheme="minorHAnsi"/>
                    <w:b/>
                    <w:color w:val="0D0D0D" w:themeColor="text1" w:themeTint="F2"/>
                    <w:sz w:val="22"/>
                    <w:szCs w:val="22"/>
                  </w:rPr>
                </w:pPr>
                <w:r w:rsidRPr="007D4E7E">
                  <w:rPr>
                    <w:rFonts w:asciiTheme="minorHAnsi" w:hAnsiTheme="minorHAnsi"/>
                    <w:color w:val="7F7F7F" w:themeColor="text1" w:themeTint="80"/>
                    <w:sz w:val="22"/>
                    <w:szCs w:val="22"/>
                  </w:rPr>
                  <w:t>Does the project depart from the CPF in content or in other significant respects?</w:t>
                </w:r>
              </w:p>
            </w:tc>
          </w:tr>
          <w:tr w:rsidR="000C3959" w14:paraId="618C7B2F" w14:textId="77777777" w:rsidTr="00883F8C">
            <w:trPr>
              <w:trHeight w:val="374"/>
            </w:trPr>
            <w:tc>
              <w:tcPr>
                <w:tcW w:w="10620" w:type="dxa"/>
                <w:shd w:val="clear" w:color="auto" w:fill="F7F7F7"/>
              </w:tcPr>
              <w:p w14:paraId="7C3A3EE9" w14:textId="4A6A9EE3" w:rsidR="003615CB" w:rsidRPr="007D4E7E" w:rsidRDefault="00B00100" w:rsidP="00883F8C">
                <w:pPr>
                  <w:spacing w:line="276"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2C5DD1">
                  <w:rPr>
                    <w:rFonts w:ascii="Segoe UI Symbol" w:hAnsi="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552983"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C5DD1">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552983" w:rsidRPr="00552983">
                  <w:rPr>
                    <w:rFonts w:ascii="Segoe UI Symbol" w:hAnsi="Segoe UI Symbol"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0C3959" w14:paraId="7D485108" w14:textId="77777777" w:rsidTr="00E14432">
            <w:trPr>
              <w:trHeight w:val="20"/>
            </w:trPr>
            <w:tc>
              <w:tcPr>
                <w:tcW w:w="10620" w:type="dxa"/>
                <w:shd w:val="clear" w:color="auto" w:fill="F7F7F7"/>
              </w:tcPr>
              <w:p w14:paraId="655EB4BB" w14:textId="77777777" w:rsidR="003615CB" w:rsidRPr="007D4E7E" w:rsidRDefault="003615CB" w:rsidP="00370635">
                <w:pPr>
                  <w:ind w:left="90" w:right="-198"/>
                  <w:rPr>
                    <w:rFonts w:asciiTheme="minorHAnsi" w:hAnsiTheme="minorHAnsi"/>
                    <w:noProof/>
                    <w:sz w:val="22"/>
                    <w:szCs w:val="22"/>
                  </w:rPr>
                </w:pPr>
              </w:p>
            </w:tc>
          </w:tr>
          <w:tr w:rsidR="000C3959" w14:paraId="2981923B" w14:textId="77777777" w:rsidTr="00F50779">
            <w:trPr>
              <w:trHeight w:val="360"/>
            </w:trPr>
            <w:tc>
              <w:tcPr>
                <w:tcW w:w="10620" w:type="dxa"/>
                <w:shd w:val="clear" w:color="auto" w:fill="F7F7F7"/>
                <w:vAlign w:val="center"/>
              </w:tcPr>
              <w:p w14:paraId="5A599DB6" w14:textId="77777777" w:rsidR="003615CB" w:rsidRPr="007D4E7E" w:rsidRDefault="00B00100" w:rsidP="00883F8C">
                <w:pPr>
                  <w:keepNext/>
                  <w:spacing w:line="360" w:lineRule="auto"/>
                  <w:ind w:left="86" w:right="-202"/>
                  <w:rPr>
                    <w:rFonts w:asciiTheme="minorHAnsi" w:hAnsiTheme="minorHAnsi"/>
                    <w:color w:val="7F7F7F" w:themeColor="text1" w:themeTint="80"/>
                    <w:sz w:val="22"/>
                    <w:szCs w:val="22"/>
                  </w:rPr>
                </w:pPr>
                <w:r w:rsidRPr="007D4E7E">
                  <w:rPr>
                    <w:rFonts w:asciiTheme="minorHAnsi" w:hAnsiTheme="minorHAnsi"/>
                    <w:color w:val="7F7F7F" w:themeColor="text1" w:themeTint="80"/>
                    <w:sz w:val="22"/>
                    <w:szCs w:val="22"/>
                  </w:rPr>
                  <w:t xml:space="preserve">Does the project require any waivers of Bank policies? </w:t>
                </w:r>
              </w:p>
              <w:p w14:paraId="3B04280F" w14:textId="5E6DFE8A" w:rsidR="003615CB" w:rsidRPr="007D4E7E" w:rsidRDefault="00B00100" w:rsidP="00883F8C">
                <w:pPr>
                  <w:spacing w:line="360"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7E2616">
                  <w:rPr>
                    <w:rFonts w:ascii="Segoe UI Symbol" w:hAnsi="Segoe UI Symbol"/>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552983"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A3F30">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552983" w:rsidRPr="00552983">
                  <w:rPr>
                    <w:rFonts w:ascii="Segoe UI Symbol" w:hAnsi="Segoe UI Symbol"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0C3959" w14:paraId="539CADF4" w14:textId="77777777" w:rsidTr="00E14432">
            <w:trPr>
              <w:trHeight w:val="20"/>
            </w:trPr>
            <w:tc>
              <w:tcPr>
                <w:tcW w:w="10620" w:type="dxa"/>
                <w:shd w:val="clear" w:color="auto" w:fill="F7F7F7"/>
              </w:tcPr>
              <w:p w14:paraId="6AD39F8C" w14:textId="77777777" w:rsidR="003615CB" w:rsidRPr="007D4E7E" w:rsidRDefault="003615CB" w:rsidP="00370635">
                <w:pPr>
                  <w:ind w:left="90" w:right="-198"/>
                  <w:rPr>
                    <w:rFonts w:asciiTheme="minorHAnsi" w:hAnsiTheme="minorHAnsi"/>
                    <w:noProof/>
                    <w:sz w:val="22"/>
                    <w:szCs w:val="22"/>
                  </w:rPr>
                </w:pPr>
              </w:p>
            </w:tc>
          </w:tr>
        </w:tbl>
        <w:p w14:paraId="3CCA394A" w14:textId="77777777" w:rsidR="003615CB" w:rsidRDefault="003615CB" w:rsidP="004768AA">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8606"/>
            <w:gridCol w:w="900"/>
            <w:gridCol w:w="1114"/>
          </w:tblGrid>
          <w:tr w:rsidR="000C3959" w14:paraId="22487A41" w14:textId="77777777" w:rsidTr="00E46684">
            <w:trPr>
              <w:trHeight w:val="20"/>
            </w:trPr>
            <w:tc>
              <w:tcPr>
                <w:tcW w:w="10620" w:type="dxa"/>
                <w:gridSpan w:val="3"/>
                <w:shd w:val="clear" w:color="auto" w:fill="F7F7F7"/>
                <w:vAlign w:val="center"/>
              </w:tcPr>
              <w:tbl>
                <w:tblPr>
                  <w:tblStyle w:val="TableGrid340"/>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8640"/>
                  <w:gridCol w:w="810"/>
                  <w:gridCol w:w="1170"/>
                </w:tblGrid>
                <w:tr w:rsidR="000C3959" w14:paraId="520978EE" w14:textId="77777777" w:rsidTr="00E46684">
                  <w:tc>
                    <w:tcPr>
                      <w:tcW w:w="8640" w:type="dxa"/>
                      <w:tcBorders>
                        <w:bottom w:val="single" w:sz="12" w:space="0" w:color="AEAAAA"/>
                      </w:tcBorders>
                    </w:tcPr>
                    <w:p w14:paraId="3504A8F2" w14:textId="77777777" w:rsidR="004768AA" w:rsidRDefault="00B00100" w:rsidP="00E46684">
                      <w:pPr>
                        <w:spacing w:after="60"/>
                        <w:ind w:left="58" w:right="-518"/>
                        <w:rPr>
                          <w:rFonts w:asciiTheme="minorHAnsi" w:hAnsiTheme="minorHAnsi"/>
                          <w:b/>
                          <w:color w:val="767171" w:themeColor="background2" w:themeShade="80"/>
                          <w:sz w:val="22"/>
                          <w:szCs w:val="22"/>
                        </w:rPr>
                      </w:pPr>
                      <w:r w:rsidRPr="00CD1CAC">
                        <w:rPr>
                          <w:rFonts w:asciiTheme="minorHAnsi" w:hAnsiTheme="minorHAnsi"/>
                          <w:b/>
                          <w:color w:val="7F7F7F" w:themeColor="text1" w:themeTint="80"/>
                          <w:sz w:val="22"/>
                          <w:szCs w:val="22"/>
                        </w:rPr>
                        <w:t>Safeguard Policies Triggered by the Project</w:t>
                      </w:r>
                    </w:p>
                  </w:tc>
                  <w:tc>
                    <w:tcPr>
                      <w:tcW w:w="810" w:type="dxa"/>
                      <w:tcBorders>
                        <w:bottom w:val="single" w:sz="12" w:space="0" w:color="AEAAAA"/>
                      </w:tcBorders>
                    </w:tcPr>
                    <w:p w14:paraId="0ED21652" w14:textId="77777777" w:rsidR="004768AA" w:rsidRDefault="00B00100" w:rsidP="00E46684">
                      <w:pPr>
                        <w:ind w:right="-518"/>
                        <w:rPr>
                          <w:rFonts w:asciiTheme="minorHAnsi" w:hAnsiTheme="minorHAnsi"/>
                          <w:b/>
                          <w:color w:val="767171" w:themeColor="background2" w:themeShade="80"/>
                          <w:sz w:val="22"/>
                          <w:szCs w:val="22"/>
                        </w:rPr>
                      </w:pPr>
                      <w:r>
                        <w:rPr>
                          <w:rFonts w:asciiTheme="minorHAnsi" w:hAnsiTheme="minorHAnsi"/>
                          <w:b/>
                          <w:color w:val="767171" w:themeColor="background2" w:themeShade="80"/>
                          <w:sz w:val="22"/>
                          <w:szCs w:val="22"/>
                        </w:rPr>
                        <w:t>Yes</w:t>
                      </w:r>
                    </w:p>
                  </w:tc>
                  <w:tc>
                    <w:tcPr>
                      <w:tcW w:w="1170" w:type="dxa"/>
                      <w:tcBorders>
                        <w:bottom w:val="single" w:sz="12" w:space="0" w:color="AEAAAA"/>
                      </w:tcBorders>
                    </w:tcPr>
                    <w:p w14:paraId="2CAF096E" w14:textId="77777777" w:rsidR="004768AA" w:rsidRDefault="00B00100" w:rsidP="00E46684">
                      <w:pPr>
                        <w:ind w:right="-518"/>
                        <w:rPr>
                          <w:rFonts w:asciiTheme="minorHAnsi" w:hAnsiTheme="minorHAnsi"/>
                          <w:b/>
                          <w:color w:val="767171" w:themeColor="background2" w:themeShade="80"/>
                          <w:sz w:val="22"/>
                          <w:szCs w:val="22"/>
                        </w:rPr>
                      </w:pPr>
                      <w:r>
                        <w:rPr>
                          <w:rFonts w:asciiTheme="minorHAnsi" w:hAnsiTheme="minorHAnsi"/>
                          <w:b/>
                          <w:color w:val="767171" w:themeColor="background2" w:themeShade="80"/>
                          <w:sz w:val="22"/>
                          <w:szCs w:val="22"/>
                        </w:rPr>
                        <w:t>No</w:t>
                      </w:r>
                    </w:p>
                  </w:tc>
                </w:tr>
              </w:tbl>
              <w:p w14:paraId="50713699" w14:textId="77777777" w:rsidR="004768AA" w:rsidRPr="00CD1CAC" w:rsidRDefault="004768AA" w:rsidP="00E46684">
                <w:pPr>
                  <w:ind w:right="-518"/>
                  <w:rPr>
                    <w:rFonts w:asciiTheme="minorHAnsi" w:hAnsiTheme="minorHAnsi"/>
                    <w:b/>
                    <w:color w:val="767171" w:themeColor="background2" w:themeShade="80"/>
                    <w:sz w:val="22"/>
                    <w:szCs w:val="22"/>
                  </w:rPr>
                </w:pPr>
              </w:p>
            </w:tc>
          </w:tr>
          <w:tr w:rsidR="000C3959" w14:paraId="74677073" w14:textId="77777777" w:rsidTr="00E46684">
            <w:trPr>
              <w:trHeight w:val="432"/>
            </w:trPr>
            <w:tc>
              <w:tcPr>
                <w:tcW w:w="8606" w:type="dxa"/>
                <w:tcBorders>
                  <w:bottom w:val="single" w:sz="4" w:space="0" w:color="D9D9D9"/>
                </w:tcBorders>
                <w:shd w:val="clear" w:color="auto" w:fill="F7F7F7"/>
                <w:vAlign w:val="center"/>
              </w:tcPr>
              <w:p w14:paraId="5186CDF4"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Environmental Assessment OP/BP 4.01</w:t>
                </w:r>
              </w:p>
            </w:tc>
            <w:tc>
              <w:tcPr>
                <w:tcW w:w="900" w:type="dxa"/>
                <w:tcBorders>
                  <w:bottom w:val="single" w:sz="4" w:space="0" w:color="D9D9D9"/>
                </w:tcBorders>
                <w:shd w:val="clear" w:color="auto" w:fill="F7F7F7"/>
                <w:vAlign w:val="center"/>
              </w:tcPr>
              <w:p w14:paraId="3B97E847" w14:textId="6B355192"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4DB6AF14" w14:textId="725F3884"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5E933924" w14:textId="77777777" w:rsidTr="00E46684">
            <w:trPr>
              <w:trHeight w:val="432"/>
            </w:trPr>
            <w:tc>
              <w:tcPr>
                <w:tcW w:w="8606" w:type="dxa"/>
                <w:tcBorders>
                  <w:bottom w:val="single" w:sz="4" w:space="0" w:color="D9D9D9"/>
                </w:tcBorders>
                <w:shd w:val="clear" w:color="auto" w:fill="F7F7F7"/>
                <w:vAlign w:val="center"/>
              </w:tcPr>
              <w:p w14:paraId="3F51D1FB"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Performance Standards for Private Sector Activities OP/BP 4.03</w:t>
                </w:r>
              </w:p>
            </w:tc>
            <w:tc>
              <w:tcPr>
                <w:tcW w:w="900" w:type="dxa"/>
                <w:tcBorders>
                  <w:bottom w:val="single" w:sz="4" w:space="0" w:color="D9D9D9"/>
                </w:tcBorders>
                <w:shd w:val="clear" w:color="auto" w:fill="F7F7F7"/>
                <w:vAlign w:val="center"/>
              </w:tcPr>
              <w:p w14:paraId="40F15ABB" w14:textId="4AB6A4FB"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06329BE4" w14:textId="7BE46799"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45BB99AE" w14:textId="77777777" w:rsidTr="00E46684">
            <w:trPr>
              <w:trHeight w:val="432"/>
            </w:trPr>
            <w:tc>
              <w:tcPr>
                <w:tcW w:w="8606" w:type="dxa"/>
                <w:tcBorders>
                  <w:bottom w:val="single" w:sz="4" w:space="0" w:color="D9D9D9"/>
                </w:tcBorders>
                <w:shd w:val="clear" w:color="auto" w:fill="F7F7F7"/>
                <w:vAlign w:val="center"/>
              </w:tcPr>
              <w:p w14:paraId="51040693"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Natural Habitats OP/BP 4.04</w:t>
                </w:r>
              </w:p>
            </w:tc>
            <w:tc>
              <w:tcPr>
                <w:tcW w:w="900" w:type="dxa"/>
                <w:tcBorders>
                  <w:bottom w:val="single" w:sz="4" w:space="0" w:color="D9D9D9"/>
                </w:tcBorders>
                <w:shd w:val="clear" w:color="auto" w:fill="F7F7F7"/>
                <w:vAlign w:val="center"/>
              </w:tcPr>
              <w:p w14:paraId="227D0FD8" w14:textId="4BE755C2"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32D58E29" w14:textId="5858C569"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5247E689" w14:textId="77777777" w:rsidTr="00E46684">
            <w:trPr>
              <w:trHeight w:val="432"/>
            </w:trPr>
            <w:tc>
              <w:tcPr>
                <w:tcW w:w="8606" w:type="dxa"/>
                <w:tcBorders>
                  <w:bottom w:val="single" w:sz="4" w:space="0" w:color="D9D9D9"/>
                </w:tcBorders>
                <w:shd w:val="clear" w:color="auto" w:fill="F7F7F7"/>
                <w:vAlign w:val="center"/>
              </w:tcPr>
              <w:p w14:paraId="4903796F"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Forests OP/BP 4.36</w:t>
                </w:r>
              </w:p>
            </w:tc>
            <w:tc>
              <w:tcPr>
                <w:tcW w:w="900" w:type="dxa"/>
                <w:tcBorders>
                  <w:bottom w:val="single" w:sz="4" w:space="0" w:color="D9D9D9"/>
                </w:tcBorders>
                <w:shd w:val="clear" w:color="auto" w:fill="F7F7F7"/>
                <w:vAlign w:val="center"/>
              </w:tcPr>
              <w:p w14:paraId="25566D45" w14:textId="37D55647"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7FAAB0A7" w14:textId="12DA0E2D"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531D7D84" w14:textId="77777777" w:rsidTr="00E46684">
            <w:trPr>
              <w:trHeight w:val="432"/>
            </w:trPr>
            <w:tc>
              <w:tcPr>
                <w:tcW w:w="8606" w:type="dxa"/>
                <w:tcBorders>
                  <w:bottom w:val="single" w:sz="4" w:space="0" w:color="D9D9D9"/>
                </w:tcBorders>
                <w:shd w:val="clear" w:color="auto" w:fill="F7F7F7"/>
                <w:vAlign w:val="center"/>
              </w:tcPr>
              <w:p w14:paraId="2B63F6F4"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Pest Management OP 4.09</w:t>
                </w:r>
              </w:p>
            </w:tc>
            <w:tc>
              <w:tcPr>
                <w:tcW w:w="900" w:type="dxa"/>
                <w:tcBorders>
                  <w:bottom w:val="single" w:sz="4" w:space="0" w:color="D9D9D9"/>
                </w:tcBorders>
                <w:shd w:val="clear" w:color="auto" w:fill="F7F7F7"/>
                <w:vAlign w:val="center"/>
              </w:tcPr>
              <w:p w14:paraId="3505B8AC" w14:textId="4F5775D6"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378A63A5" w14:textId="48CCDBA2"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46142BAB" w14:textId="77777777" w:rsidTr="00E46684">
            <w:trPr>
              <w:trHeight w:val="432"/>
            </w:trPr>
            <w:tc>
              <w:tcPr>
                <w:tcW w:w="8606" w:type="dxa"/>
                <w:tcBorders>
                  <w:bottom w:val="single" w:sz="4" w:space="0" w:color="D9D9D9"/>
                </w:tcBorders>
                <w:shd w:val="clear" w:color="auto" w:fill="F7F7F7"/>
                <w:vAlign w:val="center"/>
              </w:tcPr>
              <w:p w14:paraId="2D652338"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Physical Cultural Resources OP/BP 4.11</w:t>
                </w:r>
              </w:p>
            </w:tc>
            <w:tc>
              <w:tcPr>
                <w:tcW w:w="900" w:type="dxa"/>
                <w:tcBorders>
                  <w:bottom w:val="single" w:sz="4" w:space="0" w:color="D9D9D9"/>
                </w:tcBorders>
                <w:shd w:val="clear" w:color="auto" w:fill="F7F7F7"/>
                <w:vAlign w:val="center"/>
              </w:tcPr>
              <w:p w14:paraId="1C04F543" w14:textId="284F560A"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0541BD9F" w14:textId="22531225"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Y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4004E9FD" w14:textId="77777777" w:rsidTr="00E46684">
            <w:trPr>
              <w:trHeight w:val="432"/>
            </w:trPr>
            <w:tc>
              <w:tcPr>
                <w:tcW w:w="8606" w:type="dxa"/>
                <w:tcBorders>
                  <w:bottom w:val="single" w:sz="4" w:space="0" w:color="D9D9D9"/>
                </w:tcBorders>
                <w:shd w:val="clear" w:color="auto" w:fill="F7F7F7"/>
                <w:vAlign w:val="center"/>
              </w:tcPr>
              <w:p w14:paraId="0EDC0DB9"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Indigenous Peoples OP/BP 4.10</w:t>
                </w:r>
              </w:p>
            </w:tc>
            <w:tc>
              <w:tcPr>
                <w:tcW w:w="900" w:type="dxa"/>
                <w:tcBorders>
                  <w:bottom w:val="single" w:sz="4" w:space="0" w:color="D9D9D9"/>
                </w:tcBorders>
                <w:shd w:val="clear" w:color="auto" w:fill="F7F7F7"/>
                <w:vAlign w:val="center"/>
              </w:tcPr>
              <w:p w14:paraId="2B073A71" w14:textId="5C3AD150"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4F59B86C" w14:textId="2E1CBBDA"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6382D11E" w14:textId="77777777" w:rsidTr="00E46684">
            <w:trPr>
              <w:trHeight w:val="432"/>
            </w:trPr>
            <w:tc>
              <w:tcPr>
                <w:tcW w:w="8606" w:type="dxa"/>
                <w:tcBorders>
                  <w:bottom w:val="single" w:sz="4" w:space="0" w:color="D9D9D9"/>
                </w:tcBorders>
                <w:shd w:val="clear" w:color="auto" w:fill="F7F7F7"/>
                <w:vAlign w:val="center"/>
              </w:tcPr>
              <w:p w14:paraId="17917830"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Involuntary Resettlement OP/BP 4.12</w:t>
                </w:r>
              </w:p>
            </w:tc>
            <w:tc>
              <w:tcPr>
                <w:tcW w:w="900" w:type="dxa"/>
                <w:tcBorders>
                  <w:bottom w:val="single" w:sz="4" w:space="0" w:color="D9D9D9"/>
                </w:tcBorders>
                <w:shd w:val="clear" w:color="auto" w:fill="F7F7F7"/>
                <w:vAlign w:val="center"/>
              </w:tcPr>
              <w:p w14:paraId="42BC84C8" w14:textId="5FE28549"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553EC119" w14:textId="5820977E"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2ECE2B51" w14:textId="77777777" w:rsidTr="00E46684">
            <w:trPr>
              <w:trHeight w:val="432"/>
            </w:trPr>
            <w:tc>
              <w:tcPr>
                <w:tcW w:w="8606" w:type="dxa"/>
                <w:tcBorders>
                  <w:bottom w:val="single" w:sz="4" w:space="0" w:color="D9D9D9"/>
                </w:tcBorders>
                <w:shd w:val="clear" w:color="auto" w:fill="F7F7F7"/>
                <w:vAlign w:val="center"/>
              </w:tcPr>
              <w:p w14:paraId="2C9D6176"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Safety of Dams OP/BP 4.37</w:t>
                </w:r>
              </w:p>
            </w:tc>
            <w:tc>
              <w:tcPr>
                <w:tcW w:w="900" w:type="dxa"/>
                <w:tcBorders>
                  <w:bottom w:val="single" w:sz="4" w:space="0" w:color="D9D9D9"/>
                </w:tcBorders>
                <w:shd w:val="clear" w:color="auto" w:fill="F7F7F7"/>
                <w:vAlign w:val="center"/>
              </w:tcPr>
              <w:p w14:paraId="2CB0C57C" w14:textId="6277C850"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1494E2D1" w14:textId="5D506D69"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2B842676" w14:textId="77777777" w:rsidTr="00E46684">
            <w:trPr>
              <w:trHeight w:val="432"/>
            </w:trPr>
            <w:tc>
              <w:tcPr>
                <w:tcW w:w="8606" w:type="dxa"/>
                <w:tcBorders>
                  <w:bottom w:val="single" w:sz="4" w:space="0" w:color="D9D9D9"/>
                </w:tcBorders>
                <w:shd w:val="clear" w:color="auto" w:fill="F7F7F7"/>
                <w:vAlign w:val="center"/>
              </w:tcPr>
              <w:p w14:paraId="36608F87"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Projects on International Waterways OP/BP 7.50</w:t>
                </w:r>
              </w:p>
            </w:tc>
            <w:tc>
              <w:tcPr>
                <w:tcW w:w="900" w:type="dxa"/>
                <w:tcBorders>
                  <w:bottom w:val="single" w:sz="4" w:space="0" w:color="D9D9D9"/>
                </w:tcBorders>
                <w:shd w:val="clear" w:color="auto" w:fill="F7F7F7"/>
                <w:vAlign w:val="center"/>
              </w:tcPr>
              <w:p w14:paraId="316F045D" w14:textId="04A75938"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0B0720DB" w14:textId="7D6CAADA"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r w:rsidR="000C3959" w14:paraId="4DAD260E" w14:textId="77777777" w:rsidTr="00E46684">
            <w:trPr>
              <w:trHeight w:val="432"/>
            </w:trPr>
            <w:tc>
              <w:tcPr>
                <w:tcW w:w="8606" w:type="dxa"/>
                <w:tcBorders>
                  <w:bottom w:val="single" w:sz="4" w:space="0" w:color="D9D9D9"/>
                </w:tcBorders>
                <w:shd w:val="clear" w:color="auto" w:fill="F7F7F7"/>
                <w:vAlign w:val="center"/>
              </w:tcPr>
              <w:p w14:paraId="07C4397D" w14:textId="77777777" w:rsidR="004768AA" w:rsidRPr="00692E93" w:rsidRDefault="00B00100" w:rsidP="00E46684">
                <w:pPr>
                  <w:ind w:left="60" w:right="-518"/>
                  <w:rPr>
                    <w:rFonts w:asciiTheme="minorHAnsi" w:hAnsiTheme="minorHAnsi"/>
                    <w:b/>
                    <w:color w:val="7F7F7F" w:themeColor="text1" w:themeTint="80"/>
                    <w:sz w:val="22"/>
                    <w:szCs w:val="22"/>
                  </w:rPr>
                </w:pPr>
                <w:r w:rsidRPr="00501672">
                  <w:rPr>
                    <w:rFonts w:asciiTheme="minorHAnsi" w:hAnsiTheme="minorHAnsi"/>
                    <w:noProof/>
                    <w:sz w:val="22"/>
                    <w:szCs w:val="22"/>
                  </w:rPr>
                  <w:t>Projects in Disputed Areas OP/BP 7.60</w:t>
                </w:r>
              </w:p>
            </w:tc>
            <w:tc>
              <w:tcPr>
                <w:tcW w:w="900" w:type="dxa"/>
                <w:tcBorders>
                  <w:bottom w:val="single" w:sz="4" w:space="0" w:color="D9D9D9"/>
                </w:tcBorders>
                <w:shd w:val="clear" w:color="auto" w:fill="F7F7F7"/>
                <w:vAlign w:val="center"/>
              </w:tcPr>
              <w:p w14:paraId="0DDE21DE" w14:textId="264F8563"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="Y"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Pr>
                    <w:rFonts w:ascii="Segoe UI Symbol" w:hAnsi="Segoe UI Symbol" w:cs="Segoe UI Symbol"/>
                    <w:noProof/>
                    <w:color w:val="000000" w:themeColor="text1"/>
                    <w:sz w:val="22"/>
                    <w:szCs w:val="22"/>
                  </w:rPr>
                  <w:t xml:space="preserve">  </w:t>
                </w:r>
                <w:r w:rsidRPr="00501672">
                  <w:rPr>
                    <w:rFonts w:asciiTheme="minorHAnsi" w:hAnsiTheme="minorHAnsi"/>
                    <w:noProof/>
                    <w:sz w:val="22"/>
                    <w:szCs w:val="22"/>
                  </w:rPr>
                  <w:fldChar w:fldCharType="end"/>
                </w:r>
              </w:p>
            </w:tc>
            <w:tc>
              <w:tcPr>
                <w:tcW w:w="1114" w:type="dxa"/>
                <w:tcBorders>
                  <w:bottom w:val="single" w:sz="4" w:space="0" w:color="D9D9D9"/>
                </w:tcBorders>
                <w:shd w:val="clear" w:color="auto" w:fill="F7F7F7"/>
                <w:vAlign w:val="center"/>
              </w:tcPr>
              <w:p w14:paraId="1DC5F0A2" w14:textId="7801284D" w:rsidR="004768AA" w:rsidRDefault="00B00100" w:rsidP="00E46684">
                <w:pPr>
                  <w:ind w:right="-518"/>
                  <w:rPr>
                    <w:rFonts w:asciiTheme="minorHAnsi" w:hAnsiTheme="minorHAnsi"/>
                    <w:color w:val="767171" w:themeColor="background2" w:themeShade="80"/>
                    <w:sz w:val="22"/>
                    <w:szCs w:val="22"/>
                  </w:rPr>
                </w:pPr>
                <w:r w:rsidRPr="00501672">
                  <w:rPr>
                    <w:rFonts w:asciiTheme="minorHAnsi" w:hAnsiTheme="minorHAnsi"/>
                    <w:noProof/>
                    <w:sz w:val="22"/>
                    <w:szCs w:val="22"/>
                  </w:rPr>
                  <w:fldChar w:fldCharType="begin"/>
                </w:r>
                <w:r w:rsidRPr="00501672">
                  <w:rPr>
                    <w:rFonts w:asciiTheme="minorHAnsi" w:hAnsiTheme="minorHAnsi"/>
                    <w:noProof/>
                    <w:sz w:val="22"/>
                    <w:szCs w:val="22"/>
                  </w:rPr>
                  <w:instrText xml:space="preserve"> IF N ="N" </w:instrText>
                </w:r>
                <w:r w:rsidRPr="00501672">
                  <w:rPr>
                    <w:rFonts w:ascii="Segoe UI Symbol" w:hAnsi="Segoe UI Symbol" w:cs="Segoe UI Symbol"/>
                    <w:noProof/>
                    <w:sz w:val="22"/>
                    <w:szCs w:val="22"/>
                  </w:rPr>
                  <w:instrText>✔</w:instrText>
                </w:r>
                <w:r>
                  <w:rPr>
                    <w:rFonts w:ascii="Segoe UI Symbol" w:hAnsi="Segoe UI Symbol" w:cs="Segoe UI Symbol"/>
                    <w:color w:val="000000" w:themeColor="text1"/>
                    <w:sz w:val="22"/>
                    <w:szCs w:val="22"/>
                  </w:rPr>
                  <w:instrText xml:space="preserve"> "  "</w:instrText>
                </w:r>
                <w:r w:rsidRPr="00501672">
                  <w:rPr>
                    <w:rFonts w:asciiTheme="minorHAnsi" w:hAnsiTheme="minorHAnsi"/>
                    <w:noProof/>
                    <w:sz w:val="22"/>
                    <w:szCs w:val="22"/>
                  </w:rPr>
                  <w:instrText xml:space="preserve">    \* MERGEFORMAT </w:instrText>
                </w:r>
                <w:r w:rsidRPr="00501672">
                  <w:rPr>
                    <w:rFonts w:asciiTheme="minorHAnsi" w:hAnsiTheme="minorHAnsi"/>
                    <w:noProof/>
                    <w:sz w:val="22"/>
                    <w:szCs w:val="22"/>
                  </w:rPr>
                  <w:fldChar w:fldCharType="separate"/>
                </w:r>
                <w:r w:rsidR="00552983" w:rsidRPr="00552983">
                  <w:rPr>
                    <w:rFonts w:ascii="Segoe UI Symbol" w:hAnsi="Segoe UI Symbol" w:cs="Segoe UI Symbol"/>
                    <w:noProof/>
                    <w:color w:val="000000" w:themeColor="text1"/>
                    <w:sz w:val="22"/>
                    <w:szCs w:val="22"/>
                  </w:rPr>
                  <w:t>✔</w:t>
                </w:r>
                <w:r w:rsidRPr="00501672">
                  <w:rPr>
                    <w:rFonts w:asciiTheme="minorHAnsi" w:hAnsiTheme="minorHAnsi"/>
                    <w:noProof/>
                    <w:sz w:val="22"/>
                    <w:szCs w:val="22"/>
                  </w:rPr>
                  <w:fldChar w:fldCharType="end"/>
                </w:r>
                <w:r>
                  <w:rPr>
                    <w:rFonts w:asciiTheme="minorHAnsi" w:hAnsiTheme="minorHAnsi"/>
                    <w:noProof/>
                    <w:sz w:val="22"/>
                    <w:szCs w:val="22"/>
                  </w:rPr>
                  <w:t xml:space="preserve"> </w:t>
                </w:r>
              </w:p>
            </w:tc>
          </w:tr>
        </w:tbl>
        <w:p w14:paraId="0699D190" w14:textId="77777777" w:rsidR="003615CB" w:rsidRPr="00DF5481"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0C3959" w14:paraId="3ADED3AF" w14:textId="77777777" w:rsidTr="00DF5481">
            <w:trPr>
              <w:trHeight w:val="374"/>
            </w:trPr>
            <w:tc>
              <w:tcPr>
                <w:tcW w:w="10620" w:type="dxa"/>
                <w:shd w:val="clear" w:color="auto" w:fill="F7F7F7"/>
              </w:tcPr>
              <w:p w14:paraId="5609390F" w14:textId="77777777" w:rsidR="003615CB" w:rsidRPr="00692E93" w:rsidRDefault="00B00100" w:rsidP="00370635">
                <w:pPr>
                  <w:keepNext/>
                  <w:widowControl/>
                  <w:ind w:left="90" w:right="-198"/>
                  <w:rPr>
                    <w:rFonts w:asciiTheme="minorHAnsi" w:hAnsiTheme="minorHAnsi"/>
                    <w:color w:val="7F7F7F" w:themeColor="text1" w:themeTint="80"/>
                    <w:sz w:val="22"/>
                    <w:szCs w:val="22"/>
                  </w:rPr>
                </w:pPr>
                <w:r w:rsidRPr="00692E93">
                  <w:rPr>
                    <w:rFonts w:asciiTheme="minorHAnsi" w:hAnsiTheme="minorHAnsi"/>
                    <w:b/>
                    <w:color w:val="172D5F"/>
                    <w:sz w:val="22"/>
                    <w:szCs w:val="22"/>
                  </w:rPr>
                  <w:t>Legal Covenants</w:t>
                </w:r>
              </w:p>
            </w:tc>
          </w:tr>
        </w:tbl>
        <w:p w14:paraId="116BB53F" w14:textId="77777777" w:rsidR="008F0622" w:rsidRPr="00DF5481" w:rsidRDefault="008F0622" w:rsidP="00E71533">
          <w:pPr>
            <w:widowControl/>
            <w:shd w:val="clear" w:color="auto" w:fill="F7F7F7"/>
            <w:spacing w:line="140" w:lineRule="exact"/>
            <w:ind w:left="-691" w:right="29"/>
            <w:rPr>
              <w:rFonts w:asciiTheme="minorHAnsi" w:hAnsiTheme="minorHAnsi"/>
              <w:color w:val="767171" w:themeColor="background2" w:themeShade="80"/>
              <w:sz w:val="22"/>
              <w:szCs w:val="22"/>
            </w:rPr>
          </w:pPr>
        </w:p>
        <w:p w14:paraId="6C14EF1A"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10B711AF" w14:textId="77777777" w:rsidTr="00794B17">
            <w:trPr>
              <w:trHeight w:val="20"/>
            </w:trPr>
            <w:tc>
              <w:tcPr>
                <w:tcW w:w="10620" w:type="dxa"/>
                <w:gridSpan w:val="2"/>
                <w:shd w:val="clear" w:color="auto" w:fill="F7F7F7"/>
              </w:tcPr>
              <w:p w14:paraId="7A25A1A4"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62855868" w14:textId="77777777" w:rsidTr="00794B17">
            <w:trPr>
              <w:trHeight w:val="20"/>
            </w:trPr>
            <w:tc>
              <w:tcPr>
                <w:tcW w:w="10620" w:type="dxa"/>
                <w:gridSpan w:val="2"/>
                <w:shd w:val="clear" w:color="auto" w:fill="F7F7F7"/>
              </w:tcPr>
              <w:p w14:paraId="5A2E18DA"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 E, 1 – Verification of DLIs (applicable to The Gambia)</w:t>
                </w:r>
              </w:p>
              <w:p w14:paraId="357C3877"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 F, 1 – Verification of DLIs (applicable to Benin, The Gambia, Niger, Nigeria and Togo)</w:t>
                </w:r>
              </w:p>
              <w:p w14:paraId="798EFBD4" w14:textId="77777777" w:rsidR="000C3959" w:rsidRDefault="000C3959" w:rsidP="00873D21">
                <w:pPr>
                  <w:ind w:left="90" w:right="75"/>
                  <w:rPr>
                    <w:rFonts w:asciiTheme="minorHAnsi" w:hAnsiTheme="minorHAnsi"/>
                    <w:color w:val="000000" w:themeColor="text1"/>
                    <w:sz w:val="22"/>
                    <w:szCs w:val="22"/>
                  </w:rPr>
                </w:pPr>
              </w:p>
              <w:p w14:paraId="7D5FE29B"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by no later than three (3) months after the Effective Date, appoint external monitoring and evaluation experts (“Independent Verifiers”), to act as third-party verifiers of the proper fulfillment of DLIs as set forth in Schedule 4 to this Agreement.</w:t>
                </w:r>
              </w:p>
            </w:tc>
          </w:tr>
          <w:tr w:rsidR="000C3959" w14:paraId="528DEE98" w14:textId="77777777" w:rsidTr="00794B17">
            <w:trPr>
              <w:trHeight w:val="20"/>
            </w:trPr>
            <w:tc>
              <w:tcPr>
                <w:tcW w:w="5220" w:type="dxa"/>
                <w:tcBorders>
                  <w:bottom w:val="single" w:sz="4" w:space="0" w:color="D9D9D9"/>
                </w:tcBorders>
                <w:shd w:val="clear" w:color="auto" w:fill="F7F7F7"/>
              </w:tcPr>
              <w:p w14:paraId="309D709D"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22F600EB" w14:textId="77777777" w:rsidR="003615CB" w:rsidRDefault="003615CB" w:rsidP="00370635">
                <w:pPr>
                  <w:ind w:left="90" w:right="-198"/>
                  <w:rPr>
                    <w:rFonts w:asciiTheme="minorHAnsi" w:hAnsiTheme="minorHAnsi"/>
                    <w:color w:val="000000" w:themeColor="text1"/>
                    <w:sz w:val="22"/>
                    <w:szCs w:val="22"/>
                  </w:rPr>
                </w:pPr>
              </w:p>
            </w:tc>
          </w:tr>
        </w:tbl>
        <w:p w14:paraId="2A07120A"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6C4BD4C9"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0AB86976" w14:textId="77777777" w:rsidTr="00794B17">
            <w:trPr>
              <w:trHeight w:val="20"/>
            </w:trPr>
            <w:tc>
              <w:tcPr>
                <w:tcW w:w="10620" w:type="dxa"/>
                <w:gridSpan w:val="2"/>
                <w:shd w:val="clear" w:color="auto" w:fill="F7F7F7"/>
              </w:tcPr>
              <w:p w14:paraId="342F03FA"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5DA84E37" w14:textId="77777777" w:rsidTr="00794B17">
            <w:trPr>
              <w:trHeight w:val="20"/>
            </w:trPr>
            <w:tc>
              <w:tcPr>
                <w:tcW w:w="10620" w:type="dxa"/>
                <w:gridSpan w:val="2"/>
                <w:shd w:val="clear" w:color="auto" w:fill="F7F7F7"/>
              </w:tcPr>
              <w:p w14:paraId="5FB28CF6"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 F, 1 – Project Implementation Plans (applicable to The Gambia)</w:t>
                </w:r>
              </w:p>
              <w:p w14:paraId="5FD6A2F1"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 G, 1 – Project Implementation Plans (applicable to Benin, Niger, Nigeria and Togo)</w:t>
                </w:r>
              </w:p>
              <w:p w14:paraId="4835CEC4" w14:textId="77777777" w:rsidR="000C3959" w:rsidRDefault="000C3959" w:rsidP="00873D21">
                <w:pPr>
                  <w:ind w:left="90" w:right="75"/>
                  <w:rPr>
                    <w:rFonts w:asciiTheme="minorHAnsi" w:hAnsiTheme="minorHAnsi"/>
                    <w:color w:val="000000" w:themeColor="text1"/>
                    <w:sz w:val="22"/>
                    <w:szCs w:val="22"/>
                  </w:rPr>
                </w:pPr>
              </w:p>
              <w:p w14:paraId="534A1F87"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shall cause the ACEs to: (a) adopt not later than three (3) months after the Effective Date and, thereafter maintain their respective Project Implementation Plans in form and substance satisfactory to the Association; and (b) carry out the Project in accordance with the Project Implementation Plan and the Environmental and Social Management Plan.</w:t>
                </w:r>
              </w:p>
            </w:tc>
          </w:tr>
          <w:tr w:rsidR="000C3959" w14:paraId="0CF118DC" w14:textId="77777777" w:rsidTr="00794B17">
            <w:trPr>
              <w:trHeight w:val="20"/>
            </w:trPr>
            <w:tc>
              <w:tcPr>
                <w:tcW w:w="5220" w:type="dxa"/>
                <w:tcBorders>
                  <w:bottom w:val="single" w:sz="4" w:space="0" w:color="D9D9D9"/>
                </w:tcBorders>
                <w:shd w:val="clear" w:color="auto" w:fill="F7F7F7"/>
              </w:tcPr>
              <w:p w14:paraId="1CCD7B75"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12060B6D" w14:textId="77777777" w:rsidR="003615CB" w:rsidRDefault="003615CB" w:rsidP="00370635">
                <w:pPr>
                  <w:ind w:left="90" w:right="-198"/>
                  <w:rPr>
                    <w:rFonts w:asciiTheme="minorHAnsi" w:hAnsiTheme="minorHAnsi"/>
                    <w:color w:val="000000" w:themeColor="text1"/>
                    <w:sz w:val="22"/>
                    <w:szCs w:val="22"/>
                  </w:rPr>
                </w:pPr>
              </w:p>
            </w:tc>
          </w:tr>
        </w:tbl>
        <w:p w14:paraId="1853759C"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54D3924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4BF7FDDD" w14:textId="77777777" w:rsidTr="00794B17">
            <w:trPr>
              <w:trHeight w:val="20"/>
            </w:trPr>
            <w:tc>
              <w:tcPr>
                <w:tcW w:w="10620" w:type="dxa"/>
                <w:gridSpan w:val="2"/>
                <w:shd w:val="clear" w:color="auto" w:fill="F7F7F7"/>
              </w:tcPr>
              <w:p w14:paraId="53A06964"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227E5E2B" w14:textId="77777777" w:rsidTr="00794B17">
            <w:trPr>
              <w:trHeight w:val="20"/>
            </w:trPr>
            <w:tc>
              <w:tcPr>
                <w:tcW w:w="10620" w:type="dxa"/>
                <w:gridSpan w:val="2"/>
                <w:shd w:val="clear" w:color="auto" w:fill="F7F7F7"/>
              </w:tcPr>
              <w:p w14:paraId="03D2EDA4"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(applicable to Benin)</w:t>
                </w:r>
              </w:p>
              <w:p w14:paraId="4DF364B3" w14:textId="77777777" w:rsidR="000C3959" w:rsidRDefault="000C3959" w:rsidP="00873D21">
                <w:pPr>
                  <w:ind w:left="90" w:right="75"/>
                  <w:rPr>
                    <w:rFonts w:asciiTheme="minorHAnsi" w:hAnsiTheme="minorHAnsi"/>
                    <w:color w:val="000000" w:themeColor="text1"/>
                    <w:sz w:val="22"/>
                    <w:szCs w:val="22"/>
                  </w:rPr>
                </w:pPr>
              </w:p>
              <w:p w14:paraId="0D6B02BE"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w:t>
                </w:r>
                <w:r>
                  <w:rPr>
                    <w:rFonts w:asciiTheme="minorHAnsi" w:hAnsiTheme="minorHAnsi"/>
                    <w:noProof/>
                    <w:color w:val="000000" w:themeColor="text1"/>
                    <w:sz w:val="22"/>
                    <w:szCs w:val="22"/>
                  </w:rPr>
                  <w:tab/>
                  <w:t xml:space="preserve">The Recipient shall no later than three (3) months after the Effective Date :(i) recruit in three ACEs an accountant with qualifications, experience and terms of reference, satisfactory to the Association, each for ACE: Mathematical Sciences, Computer Science and Applications (CEA-SMIA), ACE: Water and Sanitation (C2EA), and College of engineering EIE (CoE-EIE); (ii) cause the University of Abomey-Calavi to extend CEA-SMIA’s audit committee arrangements to C2EA, and CoE-EIE; (iii) deploy CEA-SMIA’s current accounting software, in form and substance satisfactory to the Association; and (iv) recruit an internal auditor, with experience and qualifications satisfactory to the Association, with the responsibility for internal audits for CEA-SMIA, C2EA, and CoE-EIE; and </w:t>
                </w:r>
              </w:p>
              <w:p w14:paraId="5D54F316" w14:textId="77777777" w:rsidR="000C3959" w:rsidRDefault="000C3959" w:rsidP="00873D21">
                <w:pPr>
                  <w:ind w:left="90" w:right="75"/>
                  <w:rPr>
                    <w:rFonts w:asciiTheme="minorHAnsi" w:hAnsiTheme="minorHAnsi"/>
                    <w:color w:val="000000" w:themeColor="text1"/>
                    <w:sz w:val="22"/>
                    <w:szCs w:val="22"/>
                  </w:rPr>
                </w:pPr>
              </w:p>
              <w:p w14:paraId="1EFE7873"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w:t>
                </w:r>
                <w:r>
                  <w:rPr>
                    <w:rFonts w:asciiTheme="minorHAnsi" w:hAnsiTheme="minorHAnsi"/>
                    <w:noProof/>
                    <w:color w:val="000000" w:themeColor="text1"/>
                    <w:sz w:val="22"/>
                    <w:szCs w:val="22"/>
                  </w:rPr>
                  <w:tab/>
                  <w:t xml:space="preserve">no later than six (6) months after the Effective Date, recruit an external auditor in accordance with the provisions of the Procurement Regulations.  </w:t>
                </w:r>
              </w:p>
              <w:p w14:paraId="235F8502" w14:textId="77777777" w:rsidR="00794B17" w:rsidRPr="008440E9" w:rsidRDefault="00794B17" w:rsidP="00873D21">
                <w:pPr>
                  <w:ind w:left="90" w:right="75"/>
                  <w:rPr>
                    <w:rFonts w:asciiTheme="minorHAnsi" w:hAnsiTheme="minorHAnsi"/>
                    <w:color w:val="000000" w:themeColor="text1"/>
                    <w:sz w:val="22"/>
                    <w:szCs w:val="22"/>
                  </w:rPr>
                </w:pPr>
              </w:p>
            </w:tc>
          </w:tr>
          <w:tr w:rsidR="000C3959" w14:paraId="4A83A4B2" w14:textId="77777777" w:rsidTr="00794B17">
            <w:trPr>
              <w:trHeight w:val="20"/>
            </w:trPr>
            <w:tc>
              <w:tcPr>
                <w:tcW w:w="5220" w:type="dxa"/>
                <w:tcBorders>
                  <w:bottom w:val="single" w:sz="4" w:space="0" w:color="D9D9D9"/>
                </w:tcBorders>
                <w:shd w:val="clear" w:color="auto" w:fill="F7F7F7"/>
              </w:tcPr>
              <w:p w14:paraId="64EF5330"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4C5741C9" w14:textId="77777777" w:rsidR="003615CB" w:rsidRDefault="003615CB" w:rsidP="00370635">
                <w:pPr>
                  <w:ind w:left="90" w:right="-198"/>
                  <w:rPr>
                    <w:rFonts w:asciiTheme="minorHAnsi" w:hAnsiTheme="minorHAnsi"/>
                    <w:color w:val="000000" w:themeColor="text1"/>
                    <w:sz w:val="22"/>
                    <w:szCs w:val="22"/>
                  </w:rPr>
                </w:pPr>
              </w:p>
            </w:tc>
          </w:tr>
        </w:tbl>
        <w:p w14:paraId="375210F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626288F5"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50F3BE5E" w14:textId="77777777" w:rsidTr="00794B17">
            <w:trPr>
              <w:trHeight w:val="20"/>
            </w:trPr>
            <w:tc>
              <w:tcPr>
                <w:tcW w:w="10620" w:type="dxa"/>
                <w:gridSpan w:val="2"/>
                <w:shd w:val="clear" w:color="auto" w:fill="F7F7F7"/>
              </w:tcPr>
              <w:p w14:paraId="792D110B"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78AC351E" w14:textId="77777777" w:rsidTr="00794B17">
            <w:trPr>
              <w:trHeight w:val="20"/>
            </w:trPr>
            <w:tc>
              <w:tcPr>
                <w:tcW w:w="10620" w:type="dxa"/>
                <w:gridSpan w:val="2"/>
                <w:shd w:val="clear" w:color="auto" w:fill="F7F7F7"/>
              </w:tcPr>
              <w:p w14:paraId="31DB013A"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1 &amp; 2  – Specific Financial Management Covenant (applicable to The Gambia)</w:t>
                </w:r>
              </w:p>
              <w:p w14:paraId="39CAE92F" w14:textId="77777777" w:rsidR="000C3959" w:rsidRDefault="000C3959" w:rsidP="00873D21">
                <w:pPr>
                  <w:ind w:left="90" w:right="75"/>
                  <w:rPr>
                    <w:rFonts w:asciiTheme="minorHAnsi" w:hAnsiTheme="minorHAnsi"/>
                    <w:color w:val="000000" w:themeColor="text1"/>
                    <w:sz w:val="22"/>
                    <w:szCs w:val="22"/>
                  </w:rPr>
                </w:pPr>
              </w:p>
              <w:p w14:paraId="3860851E"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1.</w:t>
                </w:r>
                <w:r>
                  <w:rPr>
                    <w:rFonts w:asciiTheme="minorHAnsi" w:hAnsiTheme="minorHAnsi"/>
                    <w:noProof/>
                    <w:color w:val="000000" w:themeColor="text1"/>
                    <w:sz w:val="22"/>
                    <w:szCs w:val="22"/>
                  </w:rPr>
                  <w:tab/>
                  <w:t xml:space="preserve"> The Recipient shall no later than three (3) months after the Effective Date :(i) recruit within PCU Gambia a senior financial management specialist, and an internal audit consultant, all in accordance with the provisions of the Procurement Regulations; and (ii) customize the accounting software for Project’s bookkeeping, in form and substance satisfactory to the Association; and </w:t>
                </w:r>
              </w:p>
              <w:p w14:paraId="69DFAFF4" w14:textId="77777777" w:rsidR="000C3959" w:rsidRDefault="000C3959" w:rsidP="00873D21">
                <w:pPr>
                  <w:ind w:left="90" w:right="75"/>
                  <w:rPr>
                    <w:rFonts w:asciiTheme="minorHAnsi" w:hAnsiTheme="minorHAnsi"/>
                    <w:color w:val="000000" w:themeColor="text1"/>
                    <w:sz w:val="22"/>
                    <w:szCs w:val="22"/>
                  </w:rPr>
                </w:pPr>
              </w:p>
              <w:p w14:paraId="456E1E99"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2.</w:t>
                </w:r>
                <w:r>
                  <w:rPr>
                    <w:rFonts w:asciiTheme="minorHAnsi" w:hAnsiTheme="minorHAnsi"/>
                    <w:noProof/>
                    <w:color w:val="000000" w:themeColor="text1"/>
                    <w:sz w:val="22"/>
                    <w:szCs w:val="22"/>
                  </w:rPr>
                  <w:tab/>
                  <w:t xml:space="preserve">no later than six (6) months after the Effective Date, recruit independent external auditors for the Project, in accordance with the provisions of the Procurement Regulations.  </w:t>
                </w:r>
              </w:p>
              <w:p w14:paraId="2C98B032" w14:textId="77777777" w:rsidR="00794B17" w:rsidRPr="008440E9" w:rsidRDefault="00794B17" w:rsidP="00873D21">
                <w:pPr>
                  <w:ind w:left="90" w:right="75"/>
                  <w:rPr>
                    <w:rFonts w:asciiTheme="minorHAnsi" w:hAnsiTheme="minorHAnsi"/>
                    <w:color w:val="000000" w:themeColor="text1"/>
                    <w:sz w:val="22"/>
                    <w:szCs w:val="22"/>
                  </w:rPr>
                </w:pPr>
              </w:p>
            </w:tc>
          </w:tr>
          <w:tr w:rsidR="000C3959" w14:paraId="6F853843" w14:textId="77777777" w:rsidTr="00794B17">
            <w:trPr>
              <w:trHeight w:val="20"/>
            </w:trPr>
            <w:tc>
              <w:tcPr>
                <w:tcW w:w="5220" w:type="dxa"/>
                <w:tcBorders>
                  <w:bottom w:val="single" w:sz="4" w:space="0" w:color="D9D9D9"/>
                </w:tcBorders>
                <w:shd w:val="clear" w:color="auto" w:fill="F7F7F7"/>
              </w:tcPr>
              <w:p w14:paraId="017EC0A1"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76B0965C" w14:textId="77777777" w:rsidR="003615CB" w:rsidRDefault="003615CB" w:rsidP="00370635">
                <w:pPr>
                  <w:ind w:left="90" w:right="-198"/>
                  <w:rPr>
                    <w:rFonts w:asciiTheme="minorHAnsi" w:hAnsiTheme="minorHAnsi"/>
                    <w:color w:val="000000" w:themeColor="text1"/>
                    <w:sz w:val="22"/>
                    <w:szCs w:val="22"/>
                  </w:rPr>
                </w:pPr>
              </w:p>
            </w:tc>
          </w:tr>
        </w:tbl>
        <w:p w14:paraId="64CC5CD8"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0F12CA13"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2B575ACC" w14:textId="77777777" w:rsidTr="00794B17">
            <w:trPr>
              <w:trHeight w:val="20"/>
            </w:trPr>
            <w:tc>
              <w:tcPr>
                <w:tcW w:w="10620" w:type="dxa"/>
                <w:gridSpan w:val="2"/>
                <w:shd w:val="clear" w:color="auto" w:fill="F7F7F7"/>
              </w:tcPr>
              <w:p w14:paraId="5EDEFB30"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4AC22C37" w14:textId="77777777" w:rsidTr="00794B17">
            <w:trPr>
              <w:trHeight w:val="20"/>
            </w:trPr>
            <w:tc>
              <w:tcPr>
                <w:tcW w:w="10620" w:type="dxa"/>
                <w:gridSpan w:val="2"/>
                <w:shd w:val="clear" w:color="auto" w:fill="F7F7F7"/>
              </w:tcPr>
              <w:p w14:paraId="51430F56"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(applicable to Niger)</w:t>
                </w:r>
              </w:p>
              <w:p w14:paraId="14B03E2C" w14:textId="77777777" w:rsidR="000C3959" w:rsidRDefault="000C3959" w:rsidP="00873D21">
                <w:pPr>
                  <w:ind w:left="90" w:right="75"/>
                  <w:rPr>
                    <w:rFonts w:asciiTheme="minorHAnsi" w:hAnsiTheme="minorHAnsi"/>
                    <w:color w:val="000000" w:themeColor="text1"/>
                    <w:sz w:val="22"/>
                    <w:szCs w:val="22"/>
                  </w:rPr>
                </w:pPr>
              </w:p>
              <w:p w14:paraId="484DCEFD"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lastRenderedPageBreak/>
                  <w:t>(a) The Recipient shall no later than three (3) months after the Effective Date :(i) acquire a computerized accounting information system for the management of the Project with specifications satisfactory to the Association; (ii) recruit an internal auditor and two senior accountants with qualifications and terms of reference satisfactory to the Association, to support the two centers at the Université Abdou Moumouni University (UAM); and (iii) recruit a senior accountant with qualifications and terms of reference satisfactory to the Association to support the center at the Ecole des Mines, de l’Industrie et de la Géologie (EMIG) ; and</w:t>
                </w:r>
              </w:p>
              <w:p w14:paraId="6C0A91CE" w14:textId="77777777" w:rsidR="000C3959" w:rsidRDefault="000C3959" w:rsidP="00873D21">
                <w:pPr>
                  <w:ind w:left="90" w:right="75"/>
                  <w:rPr>
                    <w:rFonts w:asciiTheme="minorHAnsi" w:hAnsiTheme="minorHAnsi"/>
                    <w:color w:val="000000" w:themeColor="text1"/>
                    <w:sz w:val="22"/>
                    <w:szCs w:val="22"/>
                  </w:rPr>
                </w:pPr>
              </w:p>
              <w:p w14:paraId="6C887A21"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w:t>
                </w:r>
                <w:r>
                  <w:rPr>
                    <w:rFonts w:asciiTheme="minorHAnsi" w:hAnsiTheme="minorHAnsi"/>
                    <w:noProof/>
                    <w:color w:val="000000" w:themeColor="text1"/>
                    <w:sz w:val="22"/>
                    <w:szCs w:val="22"/>
                  </w:rPr>
                  <w:tab/>
                  <w:t>no later than six (6) months after the Effective Date, recruit an external auditor in accordance with the Procurement Regulations.</w:t>
                </w:r>
              </w:p>
            </w:tc>
          </w:tr>
          <w:tr w:rsidR="000C3959" w14:paraId="60840190" w14:textId="77777777" w:rsidTr="00794B17">
            <w:trPr>
              <w:trHeight w:val="20"/>
            </w:trPr>
            <w:tc>
              <w:tcPr>
                <w:tcW w:w="5220" w:type="dxa"/>
                <w:tcBorders>
                  <w:bottom w:val="single" w:sz="4" w:space="0" w:color="D9D9D9"/>
                </w:tcBorders>
                <w:shd w:val="clear" w:color="auto" w:fill="F7F7F7"/>
              </w:tcPr>
              <w:p w14:paraId="162706EF"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7241C734" w14:textId="77777777" w:rsidR="003615CB" w:rsidRDefault="003615CB" w:rsidP="00370635">
                <w:pPr>
                  <w:ind w:left="90" w:right="-198"/>
                  <w:rPr>
                    <w:rFonts w:asciiTheme="minorHAnsi" w:hAnsiTheme="minorHAnsi"/>
                    <w:color w:val="000000" w:themeColor="text1"/>
                    <w:sz w:val="22"/>
                    <w:szCs w:val="22"/>
                  </w:rPr>
                </w:pPr>
              </w:p>
            </w:tc>
          </w:tr>
        </w:tbl>
        <w:p w14:paraId="433CCBE7"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0E67278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0B33CD65" w14:textId="77777777" w:rsidTr="00794B17">
            <w:trPr>
              <w:trHeight w:val="20"/>
            </w:trPr>
            <w:tc>
              <w:tcPr>
                <w:tcW w:w="10620" w:type="dxa"/>
                <w:gridSpan w:val="2"/>
                <w:shd w:val="clear" w:color="auto" w:fill="F7F7F7"/>
              </w:tcPr>
              <w:p w14:paraId="2664FC67"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6173E743" w14:textId="77777777" w:rsidTr="00794B17">
            <w:trPr>
              <w:trHeight w:val="20"/>
            </w:trPr>
            <w:tc>
              <w:tcPr>
                <w:tcW w:w="10620" w:type="dxa"/>
                <w:gridSpan w:val="2"/>
                <w:shd w:val="clear" w:color="auto" w:fill="F7F7F7"/>
              </w:tcPr>
              <w:p w14:paraId="5D5B443A"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1 &amp; 2  – Specific Financial Management Covenant (applicable to Nigeria)</w:t>
                </w:r>
              </w:p>
              <w:p w14:paraId="1155492D" w14:textId="77777777" w:rsidR="000C3959" w:rsidRDefault="000C3959" w:rsidP="00873D21">
                <w:pPr>
                  <w:ind w:left="90" w:right="75"/>
                  <w:rPr>
                    <w:rFonts w:asciiTheme="minorHAnsi" w:hAnsiTheme="minorHAnsi"/>
                    <w:color w:val="000000" w:themeColor="text1"/>
                    <w:sz w:val="22"/>
                    <w:szCs w:val="22"/>
                  </w:rPr>
                </w:pPr>
              </w:p>
              <w:p w14:paraId="0FE5109A"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1.</w:t>
                </w:r>
                <w:r>
                  <w:rPr>
                    <w:rFonts w:asciiTheme="minorHAnsi" w:hAnsiTheme="minorHAnsi"/>
                    <w:noProof/>
                    <w:color w:val="000000" w:themeColor="text1"/>
                    <w:sz w:val="22"/>
                    <w:szCs w:val="22"/>
                  </w:rPr>
                  <w:tab/>
                  <w:t>The Recipient shall no later than three (3) months after the Effective Date :</w:t>
                </w:r>
              </w:p>
              <w:p w14:paraId="61BAA1D6" w14:textId="77777777" w:rsidR="000C3959" w:rsidRDefault="000C3959" w:rsidP="00873D21">
                <w:pPr>
                  <w:ind w:left="90" w:right="75"/>
                  <w:rPr>
                    <w:rFonts w:asciiTheme="minorHAnsi" w:hAnsiTheme="minorHAnsi"/>
                    <w:color w:val="000000" w:themeColor="text1"/>
                    <w:sz w:val="22"/>
                    <w:szCs w:val="22"/>
                  </w:rPr>
                </w:pPr>
              </w:p>
              <w:p w14:paraId="4FDF69EE"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w:t>
                </w:r>
                <w:r>
                  <w:rPr>
                    <w:rFonts w:asciiTheme="minorHAnsi" w:hAnsiTheme="minorHAnsi"/>
                    <w:noProof/>
                    <w:color w:val="000000" w:themeColor="text1"/>
                    <w:sz w:val="22"/>
                    <w:szCs w:val="22"/>
                  </w:rPr>
                  <w:tab/>
                  <w:t>cause the National Universities Commission (NUC) to: (i) update the Financial Management Manual, in form and substance satisfactory to the Association; and (ii) recruit, or if already available in NUC second a financial management consultant in accordance with the provisions of the Procurement Regulations; and</w:t>
                </w:r>
              </w:p>
              <w:p w14:paraId="48EFAB79" w14:textId="77777777" w:rsidR="000C3959" w:rsidRDefault="000C3959" w:rsidP="00873D21">
                <w:pPr>
                  <w:ind w:left="90" w:right="75"/>
                  <w:rPr>
                    <w:rFonts w:asciiTheme="minorHAnsi" w:hAnsiTheme="minorHAnsi"/>
                    <w:color w:val="000000" w:themeColor="text1"/>
                    <w:sz w:val="22"/>
                    <w:szCs w:val="22"/>
                  </w:rPr>
                </w:pPr>
              </w:p>
              <w:p w14:paraId="2D921CE5"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w:t>
                </w:r>
                <w:r>
                  <w:rPr>
                    <w:rFonts w:asciiTheme="minorHAnsi" w:hAnsiTheme="minorHAnsi"/>
                    <w:noProof/>
                    <w:color w:val="000000" w:themeColor="text1"/>
                    <w:sz w:val="22"/>
                    <w:szCs w:val="22"/>
                  </w:rPr>
                  <w:tab/>
                  <w:t xml:space="preserve">cause the relevant Higher Education Institutions to: (i) complete the computerization and upgrades of respective accounting system, in form and substance satisfactory to the Association; (ii) establish an audit committee with functions, resources and terms of reference, satisfactory to the Association , to ensure appropriate follow-up and action on audit recommendations, in a manner satisfactory to the Association; (iii) submit the audit report conducted for Fiscal Year 2016 – 2018, in form and substance satisfactory to the Association; and (iv) recruit or, if already available in the pertinent Higher Education Institution, second an accountant and internal audit staff, all with qualifications, experience and terms of reference, satisfactory to the Association; and </w:t>
                </w:r>
              </w:p>
              <w:p w14:paraId="596B5229" w14:textId="77777777" w:rsidR="000C3959" w:rsidRDefault="000C3959" w:rsidP="00873D21">
                <w:pPr>
                  <w:ind w:left="90" w:right="75"/>
                  <w:rPr>
                    <w:rFonts w:asciiTheme="minorHAnsi" w:hAnsiTheme="minorHAnsi"/>
                    <w:color w:val="000000" w:themeColor="text1"/>
                    <w:sz w:val="22"/>
                    <w:szCs w:val="22"/>
                  </w:rPr>
                </w:pPr>
              </w:p>
              <w:p w14:paraId="053BC7FD"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2.</w:t>
                </w:r>
                <w:r>
                  <w:rPr>
                    <w:rFonts w:asciiTheme="minorHAnsi" w:hAnsiTheme="minorHAnsi"/>
                    <w:noProof/>
                    <w:color w:val="000000" w:themeColor="text1"/>
                    <w:sz w:val="22"/>
                    <w:szCs w:val="22"/>
                  </w:rPr>
                  <w:tab/>
                  <w:t>no later than six (6) months after the Effective Date, cause NUC and the relevant Higher Education Institutions to adopt internal reforms, satisfactory to the Association, to ensure timely submission of the Project Interim Financial Reports and internal audit reports.</w:t>
                </w:r>
              </w:p>
            </w:tc>
          </w:tr>
          <w:tr w:rsidR="000C3959" w14:paraId="471E6A7E" w14:textId="77777777" w:rsidTr="00794B17">
            <w:trPr>
              <w:trHeight w:val="20"/>
            </w:trPr>
            <w:tc>
              <w:tcPr>
                <w:tcW w:w="5220" w:type="dxa"/>
                <w:tcBorders>
                  <w:bottom w:val="single" w:sz="4" w:space="0" w:color="D9D9D9"/>
                </w:tcBorders>
                <w:shd w:val="clear" w:color="auto" w:fill="F7F7F7"/>
              </w:tcPr>
              <w:p w14:paraId="367BD194"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4723E53F" w14:textId="77777777" w:rsidR="003615CB" w:rsidRDefault="003615CB" w:rsidP="00370635">
                <w:pPr>
                  <w:ind w:left="90" w:right="-198"/>
                  <w:rPr>
                    <w:rFonts w:asciiTheme="minorHAnsi" w:hAnsiTheme="minorHAnsi"/>
                    <w:color w:val="000000" w:themeColor="text1"/>
                    <w:sz w:val="22"/>
                    <w:szCs w:val="22"/>
                  </w:rPr>
                </w:pPr>
              </w:p>
            </w:tc>
          </w:tr>
        </w:tbl>
        <w:p w14:paraId="74E83DFC"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0C9EE110"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43C0888D" w14:textId="77777777" w:rsidTr="00794B17">
            <w:trPr>
              <w:trHeight w:val="20"/>
            </w:trPr>
            <w:tc>
              <w:tcPr>
                <w:tcW w:w="10620" w:type="dxa"/>
                <w:gridSpan w:val="2"/>
                <w:shd w:val="clear" w:color="auto" w:fill="F7F7F7"/>
              </w:tcPr>
              <w:p w14:paraId="462CE7AC"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76F34DA2" w14:textId="77777777" w:rsidTr="00794B17">
            <w:trPr>
              <w:trHeight w:val="20"/>
            </w:trPr>
            <w:tc>
              <w:tcPr>
                <w:tcW w:w="10620" w:type="dxa"/>
                <w:gridSpan w:val="2"/>
                <w:shd w:val="clear" w:color="auto" w:fill="F7F7F7"/>
              </w:tcPr>
              <w:p w14:paraId="4C43659C"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IV.1 a &amp; b  – Specific Financial Management Covenant (applicable to Togo)</w:t>
                </w:r>
              </w:p>
              <w:p w14:paraId="509DEA16" w14:textId="77777777" w:rsidR="000C3959" w:rsidRDefault="000C3959" w:rsidP="00873D21">
                <w:pPr>
                  <w:ind w:left="90" w:right="75"/>
                  <w:rPr>
                    <w:rFonts w:asciiTheme="minorHAnsi" w:hAnsiTheme="minorHAnsi"/>
                    <w:color w:val="000000" w:themeColor="text1"/>
                    <w:sz w:val="22"/>
                    <w:szCs w:val="22"/>
                  </w:rPr>
                </w:pPr>
              </w:p>
              <w:p w14:paraId="552A34B8"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 The Recipient shall no later than three (3) months after the Effective Date :(i) recruit in the two new Togolese ACEs a financial management specialist, with experience, qualifications and terms of reference, satisfactory to the Association, each for ACE: Power Management (CERME), and ACE: Sustainable Cities in Africa (ACE-DOUNEDON); (ii) re-assign two accountants, with experience, qualifications and terms of reference, satisfactory to the Association, each for CERME and ACE-DOUNEDON; (iii) extend the internal audit as well as audit committee arrangements of the ACE: Poultry Science’s (CERSA) to ACE: Power Management (CERME), and ACE: Sustainable Cities in Africa (ACE-DOUNEDON); and (iv) upgrade CERSA accounting software with a software acceptable to the Association, and deploy said software at CERME and ACE-DOUNEDON for the management of the Project accounts; and</w:t>
                </w:r>
              </w:p>
              <w:p w14:paraId="4F3551CE" w14:textId="77777777" w:rsidR="000C3959" w:rsidRDefault="000C3959" w:rsidP="00873D21">
                <w:pPr>
                  <w:ind w:left="90" w:right="75"/>
                  <w:rPr>
                    <w:rFonts w:asciiTheme="minorHAnsi" w:hAnsiTheme="minorHAnsi"/>
                    <w:color w:val="000000" w:themeColor="text1"/>
                    <w:sz w:val="22"/>
                    <w:szCs w:val="22"/>
                  </w:rPr>
                </w:pPr>
              </w:p>
              <w:p w14:paraId="4B90394E"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w:t>
                </w:r>
                <w:r>
                  <w:rPr>
                    <w:rFonts w:asciiTheme="minorHAnsi" w:hAnsiTheme="minorHAnsi"/>
                    <w:noProof/>
                    <w:color w:val="000000" w:themeColor="text1"/>
                    <w:sz w:val="22"/>
                    <w:szCs w:val="22"/>
                  </w:rPr>
                  <w:tab/>
                  <w:t xml:space="preserve">no later than six (6) months after the Effective Date, recruit an external auditor in accordance with the </w:t>
                </w:r>
                <w:r>
                  <w:rPr>
                    <w:rFonts w:asciiTheme="minorHAnsi" w:hAnsiTheme="minorHAnsi"/>
                    <w:noProof/>
                    <w:color w:val="000000" w:themeColor="text1"/>
                    <w:sz w:val="22"/>
                    <w:szCs w:val="22"/>
                  </w:rPr>
                  <w:lastRenderedPageBreak/>
                  <w:t>provisions of the Procurement Regulations.</w:t>
                </w:r>
              </w:p>
            </w:tc>
          </w:tr>
          <w:tr w:rsidR="000C3959" w14:paraId="5CEAF68F" w14:textId="77777777" w:rsidTr="00794B17">
            <w:trPr>
              <w:trHeight w:val="20"/>
            </w:trPr>
            <w:tc>
              <w:tcPr>
                <w:tcW w:w="5220" w:type="dxa"/>
                <w:tcBorders>
                  <w:bottom w:val="single" w:sz="4" w:space="0" w:color="D9D9D9"/>
                </w:tcBorders>
                <w:shd w:val="clear" w:color="auto" w:fill="F7F7F7"/>
              </w:tcPr>
              <w:p w14:paraId="6EF63A0F"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771E352D" w14:textId="77777777" w:rsidR="003615CB" w:rsidRDefault="003615CB" w:rsidP="00370635">
                <w:pPr>
                  <w:ind w:left="90" w:right="-198"/>
                  <w:rPr>
                    <w:rFonts w:asciiTheme="minorHAnsi" w:hAnsiTheme="minorHAnsi"/>
                    <w:color w:val="000000" w:themeColor="text1"/>
                    <w:sz w:val="22"/>
                    <w:szCs w:val="22"/>
                  </w:rPr>
                </w:pPr>
              </w:p>
            </w:tc>
          </w:tr>
        </w:tbl>
        <w:p w14:paraId="3D01A57D"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03368893"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0C3959" w14:paraId="610807BC" w14:textId="77777777" w:rsidTr="00794B17">
            <w:trPr>
              <w:trHeight w:val="20"/>
            </w:trPr>
            <w:tc>
              <w:tcPr>
                <w:tcW w:w="10620" w:type="dxa"/>
                <w:gridSpan w:val="2"/>
                <w:shd w:val="clear" w:color="auto" w:fill="F7F7F7"/>
              </w:tcPr>
              <w:p w14:paraId="5E2232E9" w14:textId="77777777" w:rsidR="00794B17" w:rsidRPr="00692E93" w:rsidRDefault="00B00100"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0C3959" w14:paraId="287341AC" w14:textId="77777777" w:rsidTr="00794B17">
            <w:trPr>
              <w:trHeight w:val="20"/>
            </w:trPr>
            <w:tc>
              <w:tcPr>
                <w:tcW w:w="10620" w:type="dxa"/>
                <w:gridSpan w:val="2"/>
                <w:shd w:val="clear" w:color="auto" w:fill="F7F7F7"/>
              </w:tcPr>
              <w:p w14:paraId="0C1DA824"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Schedule 2, Section I.3 a &amp; b  – Specific Implementation Covenants (applicable to the Regional Facilitation Unit - RFU)</w:t>
                </w:r>
              </w:p>
              <w:p w14:paraId="68C835AE"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 </w:t>
                </w:r>
              </w:p>
              <w:p w14:paraId="63C054C9"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 xml:space="preserve">The Recipient shall at all times during the implementation of the Project: </w:t>
                </w:r>
              </w:p>
              <w:p w14:paraId="64819788" w14:textId="77777777" w:rsidR="000C3959" w:rsidRDefault="000C3959" w:rsidP="00873D21">
                <w:pPr>
                  <w:ind w:left="90" w:right="75"/>
                  <w:rPr>
                    <w:rFonts w:asciiTheme="minorHAnsi" w:hAnsiTheme="minorHAnsi"/>
                    <w:color w:val="000000" w:themeColor="text1"/>
                    <w:sz w:val="22"/>
                    <w:szCs w:val="22"/>
                  </w:rPr>
                </w:pPr>
              </w:p>
              <w:p w14:paraId="5A9F278D" w14:textId="77777777" w:rsidR="000C395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(a) maintain within RFU, the Project manager recruited in accordance with the provisions of the Procurement Regulations. Said Project manager will, inter alia, lead the RFU reporting to the Recipient’s Secretary General under terms of reference, satisfactory to the Association</w:t>
                </w:r>
              </w:p>
              <w:p w14:paraId="26BD42B0" w14:textId="77777777" w:rsidR="000C3959" w:rsidRDefault="000C3959" w:rsidP="00873D21">
                <w:pPr>
                  <w:ind w:left="90" w:right="75"/>
                  <w:rPr>
                    <w:rFonts w:asciiTheme="minorHAnsi" w:hAnsiTheme="minorHAnsi"/>
                    <w:color w:val="000000" w:themeColor="text1"/>
                    <w:sz w:val="22"/>
                    <w:szCs w:val="22"/>
                  </w:rPr>
                </w:pPr>
              </w:p>
              <w:p w14:paraId="45B41415" w14:textId="77777777" w:rsidR="00794B17" w:rsidRPr="008440E9" w:rsidRDefault="00B00100"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(b) ensure that the RFU participates in annual performance assessments in accordance with agreed performance metrics, in form and substance satisfactory to the Association</w:t>
                </w:r>
              </w:p>
            </w:tc>
          </w:tr>
          <w:tr w:rsidR="000C3959" w14:paraId="19E3C815" w14:textId="77777777" w:rsidTr="00794B17">
            <w:trPr>
              <w:trHeight w:val="20"/>
            </w:trPr>
            <w:tc>
              <w:tcPr>
                <w:tcW w:w="5220" w:type="dxa"/>
                <w:tcBorders>
                  <w:bottom w:val="single" w:sz="4" w:space="0" w:color="D9D9D9"/>
                </w:tcBorders>
                <w:shd w:val="clear" w:color="auto" w:fill="F7F7F7"/>
              </w:tcPr>
              <w:p w14:paraId="68AB275E" w14:textId="77777777"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14:paraId="091230B8" w14:textId="77777777" w:rsidR="003615CB" w:rsidRDefault="003615CB" w:rsidP="00370635">
                <w:pPr>
                  <w:ind w:left="90" w:right="-198"/>
                  <w:rPr>
                    <w:rFonts w:asciiTheme="minorHAnsi" w:hAnsiTheme="minorHAnsi"/>
                    <w:color w:val="000000" w:themeColor="text1"/>
                    <w:sz w:val="22"/>
                    <w:szCs w:val="22"/>
                  </w:rPr>
                </w:pPr>
              </w:p>
            </w:tc>
          </w:tr>
        </w:tbl>
        <w:p w14:paraId="527F7ACF"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7F974557" w14:textId="77777777" w:rsidR="003615CB" w:rsidRPr="00DF5481"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34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0C3959" w14:paraId="27BE882C" w14:textId="77777777" w:rsidTr="00A41146">
            <w:trPr>
              <w:trHeight w:val="144"/>
            </w:trPr>
            <w:tc>
              <w:tcPr>
                <w:tcW w:w="10620" w:type="dxa"/>
                <w:shd w:val="clear" w:color="auto" w:fill="F7F7F7"/>
              </w:tcPr>
              <w:p w14:paraId="694C1B41" w14:textId="77777777" w:rsidR="003615CB" w:rsidRPr="00692E93" w:rsidRDefault="00B00100" w:rsidP="00370635">
                <w:pPr>
                  <w:keepNext/>
                  <w:widowControl/>
                  <w:ind w:left="90" w:right="-198"/>
                  <w:rPr>
                    <w:rFonts w:asciiTheme="minorHAnsi" w:hAnsiTheme="minorHAnsi"/>
                    <w:color w:val="000000" w:themeColor="text1"/>
                    <w:sz w:val="22"/>
                    <w:szCs w:val="22"/>
                  </w:rPr>
                </w:pPr>
                <w:r>
                  <w:rPr>
                    <w:rFonts w:asciiTheme="minorHAnsi" w:hAnsiTheme="minorHAnsi"/>
                    <w:b/>
                    <w:color w:val="172D5F"/>
                    <w:sz w:val="22"/>
                    <w:szCs w:val="22"/>
                  </w:rPr>
                  <w:t>Conditions</w:t>
                </w:r>
              </w:p>
            </w:tc>
          </w:tr>
        </w:tbl>
        <w:p w14:paraId="537AC79D" w14:textId="77777777" w:rsidR="008F0622" w:rsidRPr="00DF5481" w:rsidRDefault="008F0622" w:rsidP="0072779A">
          <w:pPr>
            <w:keepNext/>
            <w:widowControl/>
            <w:shd w:val="clear" w:color="auto" w:fill="F7F7F7"/>
            <w:spacing w:line="160" w:lineRule="exact"/>
            <w:ind w:left="-691" w:right="29"/>
            <w:rPr>
              <w:rFonts w:asciiTheme="minorHAnsi" w:hAnsiTheme="minorHAnsi"/>
              <w:color w:val="767171" w:themeColor="background2" w:themeShade="80"/>
              <w:sz w:val="22"/>
              <w:szCs w:val="22"/>
            </w:rPr>
          </w:pPr>
        </w:p>
        <w:p w14:paraId="2848C4C1"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56779A4B" w14:textId="77777777" w:rsidTr="00873D21">
            <w:trPr>
              <w:trHeight w:val="20"/>
            </w:trPr>
            <w:tc>
              <w:tcPr>
                <w:tcW w:w="2070" w:type="dxa"/>
                <w:tcBorders>
                  <w:top w:val="nil"/>
                  <w:left w:val="nil"/>
                  <w:bottom w:val="nil"/>
                  <w:right w:val="single" w:sz="8" w:space="0" w:color="D9D9D9"/>
                </w:tcBorders>
                <w:shd w:val="clear" w:color="auto" w:fill="F7F7F7"/>
                <w:vAlign w:val="center"/>
              </w:tcPr>
              <w:p w14:paraId="0AB0D71D"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3D393373"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10DB0467"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45670F14"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1DBA5852"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Performance and Funding Agreements have been executed in form and substance satisfactory to the Association on behalf of the Recipient and the Higher Education Institutions. ARTICLE V, 5.01. (a)</w:t>
                </w:r>
              </w:p>
            </w:tc>
          </w:tr>
        </w:tbl>
        <w:p w14:paraId="3D44A940"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0E1DE12F"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5D17C00F" w14:textId="77777777" w:rsidTr="00873D21">
            <w:trPr>
              <w:trHeight w:val="20"/>
            </w:trPr>
            <w:tc>
              <w:tcPr>
                <w:tcW w:w="2070" w:type="dxa"/>
                <w:tcBorders>
                  <w:top w:val="nil"/>
                  <w:left w:val="nil"/>
                  <w:bottom w:val="nil"/>
                  <w:right w:val="single" w:sz="8" w:space="0" w:color="D9D9D9"/>
                </w:tcBorders>
                <w:shd w:val="clear" w:color="auto" w:fill="F7F7F7"/>
                <w:vAlign w:val="center"/>
              </w:tcPr>
              <w:p w14:paraId="2B546EE3"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612ED7C0"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00A1B781"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732FDB15"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0DF4BA74"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Project Regional Operations Manual has been endorsed by the Recipient in form and substance satisfactory to the Association. ARTICLE V, 5.01. (b)</w:t>
                </w:r>
              </w:p>
            </w:tc>
          </w:tr>
        </w:tbl>
        <w:p w14:paraId="57098EA7"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24B27EC1"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1244DBB8" w14:textId="77777777" w:rsidTr="00873D21">
            <w:trPr>
              <w:trHeight w:val="20"/>
            </w:trPr>
            <w:tc>
              <w:tcPr>
                <w:tcW w:w="2070" w:type="dxa"/>
                <w:tcBorders>
                  <w:top w:val="nil"/>
                  <w:left w:val="nil"/>
                  <w:bottom w:val="nil"/>
                  <w:right w:val="single" w:sz="8" w:space="0" w:color="D9D9D9"/>
                </w:tcBorders>
                <w:shd w:val="clear" w:color="auto" w:fill="F7F7F7"/>
                <w:vAlign w:val="center"/>
              </w:tcPr>
              <w:p w14:paraId="6EB56822"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4068DF21"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131CC8B2"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76ADD671"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06089A86"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Performance and Funding Agreements have been duly authorized or ratified by the Recipient and the Higher Education Institutions and are legally binding upon the Recipient and the Higher Education Institutions in accordance with their terms. ARTICLE V, 5.02 (applicable to Benin, The Gambia, Niger, Nigeria and Togo)</w:t>
                </w:r>
              </w:p>
            </w:tc>
          </w:tr>
        </w:tbl>
        <w:p w14:paraId="524C091D"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4A067D12"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34585FF6" w14:textId="77777777" w:rsidTr="00873D21">
            <w:trPr>
              <w:trHeight w:val="20"/>
            </w:trPr>
            <w:tc>
              <w:tcPr>
                <w:tcW w:w="2070" w:type="dxa"/>
                <w:tcBorders>
                  <w:top w:val="nil"/>
                  <w:left w:val="nil"/>
                  <w:bottom w:val="nil"/>
                  <w:right w:val="single" w:sz="8" w:space="0" w:color="D9D9D9"/>
                </w:tcBorders>
                <w:shd w:val="clear" w:color="auto" w:fill="F7F7F7"/>
                <w:vAlign w:val="center"/>
              </w:tcPr>
              <w:p w14:paraId="75F8E5B7"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689196F0"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39C80C90"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3D6633FD"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14:paraId="14E53FAA"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Co-financing Deadline for the effectiveness of the Co-financing Agreement is eighteen (18) months from the Effective Date. ARTICLE IV, 4.02 (applicable to Benin and Nigeria)</w:t>
                </w:r>
              </w:p>
            </w:tc>
          </w:tr>
        </w:tbl>
        <w:p w14:paraId="4A96C5CE"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152F5358"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30B43E23" w14:textId="77777777" w:rsidTr="00873D21">
            <w:trPr>
              <w:trHeight w:val="20"/>
            </w:trPr>
            <w:tc>
              <w:tcPr>
                <w:tcW w:w="2070" w:type="dxa"/>
                <w:tcBorders>
                  <w:top w:val="nil"/>
                  <w:left w:val="nil"/>
                  <w:bottom w:val="nil"/>
                  <w:right w:val="single" w:sz="8" w:space="0" w:color="D9D9D9"/>
                </w:tcBorders>
                <w:shd w:val="clear" w:color="auto" w:fill="F7F7F7"/>
                <w:vAlign w:val="center"/>
              </w:tcPr>
              <w:p w14:paraId="539D12D6"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4BE87A9A"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51A39E10"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0DC0968A"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8550" w:type="dxa"/>
                <w:tcBorders>
                  <w:top w:val="nil"/>
                  <w:left w:val="single" w:sz="8" w:space="0" w:color="D9D9D9"/>
                  <w:bottom w:val="single" w:sz="4" w:space="0" w:color="D9D9D9"/>
                </w:tcBorders>
                <w:shd w:val="clear" w:color="auto" w:fill="F7F7F7"/>
              </w:tcPr>
              <w:p w14:paraId="305BED19"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No withdrawal shall be made until and unless the Association has received from RFU or the Independent Verifiers, the EEP Spending Reports confirming that the DLI and DLR have been achieved and containing a proposal for disbursement under each Withdrawal. Schedule 2, Section III, B, 1 (b)  (applicable to Benin, The Gambia, Niger, Nigeria and Togo)</w:t>
                </w:r>
              </w:p>
            </w:tc>
          </w:tr>
        </w:tbl>
        <w:p w14:paraId="0CF3BEAE"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7DE6DE24" w14:textId="77777777"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340"/>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0C3959" w14:paraId="11209A28" w14:textId="77777777" w:rsidTr="00873D21">
            <w:trPr>
              <w:trHeight w:val="20"/>
            </w:trPr>
            <w:tc>
              <w:tcPr>
                <w:tcW w:w="2070" w:type="dxa"/>
                <w:tcBorders>
                  <w:top w:val="nil"/>
                  <w:left w:val="nil"/>
                  <w:bottom w:val="nil"/>
                  <w:right w:val="single" w:sz="8" w:space="0" w:color="D9D9D9"/>
                </w:tcBorders>
                <w:shd w:val="clear" w:color="auto" w:fill="F7F7F7"/>
                <w:vAlign w:val="center"/>
              </w:tcPr>
              <w:p w14:paraId="1CE50F7B" w14:textId="77777777" w:rsidR="00775441" w:rsidRPr="00692E93" w:rsidRDefault="00B00100"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14:paraId="1A8F93AA" w14:textId="77777777" w:rsidR="00775441" w:rsidRPr="00692E93" w:rsidRDefault="00B00100"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0C3959" w14:paraId="219FC0CB" w14:textId="77777777" w:rsidTr="00156BDC">
            <w:trPr>
              <w:trHeight w:val="432"/>
            </w:trPr>
            <w:tc>
              <w:tcPr>
                <w:tcW w:w="2070" w:type="dxa"/>
                <w:tcBorders>
                  <w:top w:val="nil"/>
                  <w:left w:val="nil"/>
                  <w:bottom w:val="single" w:sz="4" w:space="0" w:color="D9D9D9"/>
                  <w:right w:val="single" w:sz="8" w:space="0" w:color="D9D9D9"/>
                </w:tcBorders>
                <w:shd w:val="clear" w:color="auto" w:fill="F7F7F7"/>
              </w:tcPr>
              <w:p w14:paraId="2AC6A941" w14:textId="77777777" w:rsidR="00775441" w:rsidRDefault="00B00100"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Disbursement</w:t>
                </w:r>
              </w:p>
            </w:tc>
            <w:tc>
              <w:tcPr>
                <w:tcW w:w="8550" w:type="dxa"/>
                <w:tcBorders>
                  <w:top w:val="nil"/>
                  <w:left w:val="single" w:sz="8" w:space="0" w:color="D9D9D9"/>
                  <w:bottom w:val="single" w:sz="4" w:space="0" w:color="D9D9D9"/>
                </w:tcBorders>
                <w:shd w:val="clear" w:color="auto" w:fill="F7F7F7"/>
              </w:tcPr>
              <w:p w14:paraId="2257E959" w14:textId="77777777" w:rsidR="00775441" w:rsidRPr="00692E93" w:rsidRDefault="00B00100"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 xml:space="preserve">For RSIF grants and scholarships under Category (2) unless: (i) the Subsidiary Agreement has been executed in form and substance satisfactory to the Association on behalf of the </w:t>
                </w:r>
                <w:r>
                  <w:rPr>
                    <w:rFonts w:asciiTheme="minorHAnsi" w:hAnsiTheme="minorHAnsi"/>
                    <w:noProof/>
                    <w:color w:val="000000" w:themeColor="text1"/>
                    <w:sz w:val="22"/>
                    <w:szCs w:val="22"/>
                  </w:rPr>
                  <w:lastRenderedPageBreak/>
                  <w:t>Recipient and ICIPE; and (ii) the Recipient has submitted a legal opinion, satisfactory to the Association, confirming that said Subsidiary Agreement has been duly authorized or ratified by the Recipient and ICIPE and is legally binding upon the Recipient and ICIPE in accordance with their terms. Schedule 2, Section III, B, 1 (c) - (applicable to Benin and Nigeria)</w:t>
                </w:r>
              </w:p>
            </w:tc>
          </w:tr>
        </w:tbl>
        <w:p w14:paraId="08B3EDD6" w14:textId="77777777"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14:paraId="79B7E628" w14:textId="77777777" w:rsidR="00FB2669" w:rsidRDefault="00FB2669" w:rsidP="008009BB">
          <w:pPr>
            <w:shd w:val="clear" w:color="auto" w:fill="F7F7F7"/>
            <w:ind w:left="-691" w:right="29"/>
            <w:rPr>
              <w:rFonts w:asciiTheme="minorHAnsi" w:hAnsiTheme="minorHAnsi"/>
              <w:color w:val="767171" w:themeColor="background2" w:themeShade="80"/>
              <w:sz w:val="22"/>
              <w:szCs w:val="22"/>
            </w:rPr>
          </w:pPr>
        </w:p>
        <w:p w14:paraId="1F058E4F" w14:textId="77777777" w:rsidR="00344412" w:rsidRDefault="00B00100" w:rsidP="00370635">
          <w:pPr>
            <w:pStyle w:val="Normal3"/>
            <w:widowControl w:val="0"/>
            <w:spacing w:after="0" w:line="240" w:lineRule="auto"/>
            <w:ind w:left="-907"/>
          </w:pPr>
          <w:r>
            <w:rPr>
              <w:noProof/>
            </w:rPr>
            <mc:AlternateContent>
              <mc:Choice Requires="wps">
                <w:drawing>
                  <wp:anchor distT="0" distB="0" distL="114300" distR="114300" simplePos="0" relativeHeight="251658243" behindDoc="0" locked="0" layoutInCell="1" allowOverlap="1" wp14:anchorId="38D2D8B0" wp14:editId="0BCFB2C1">
                    <wp:simplePos x="0" y="0"/>
                    <wp:positionH relativeFrom="column">
                      <wp:posOffset>-937895</wp:posOffset>
                    </wp:positionH>
                    <wp:positionV relativeFrom="paragraph">
                      <wp:posOffset>186055</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6428F" id="Straight Connector 22"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4.65pt" to="540.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" strokecolor="gray [1629]">
                    <v:stroke dashstyle="dash" opacity="26214f" joinstyle="miter"/>
                  </v:line>
                </w:pict>
              </mc:Fallback>
            </mc:AlternateContent>
          </w:r>
        </w:p>
        <w:sdt>
          <w:sdtPr>
            <w:tag w:val="OPS_CORE_SECTION_END_4"/>
            <w:id w:val="373871680"/>
            <w:lock w:val="sdtContentLocked"/>
            <w:placeholder>
              <w:docPart w:val="78ED5D8AF7FB4293B60F728F0F97B4DC"/>
            </w:placeholder>
          </w:sdtPr>
          <w:sdtEndPr/>
          <w:sdtContent>
            <w:p w14:paraId="33313741" w14:textId="77777777" w:rsidR="00BB1532" w:rsidRDefault="00B00100" w:rsidP="00585E07">
              <w:pPr>
                <w:pStyle w:val="Normal3"/>
                <w:widowControl w:val="0"/>
                <w:spacing w:after="0" w:line="14" w:lineRule="exact"/>
                <w:ind w:left="-907"/>
              </w:pPr>
              <w:r>
                <w:t xml:space="preserve"> </w:t>
              </w:r>
            </w:p>
          </w:sdtContent>
        </w:sdt>
      </w:sdtContent>
    </w:sdt>
    <w:p w14:paraId="02218831" w14:textId="77777777" w:rsidR="00344412" w:rsidRDefault="00344412" w:rsidP="00585E07">
      <w:pPr>
        <w:pStyle w:val="Normal3"/>
        <w:widowControl w:val="0"/>
        <w:spacing w:after="0" w:line="14" w:lineRule="exact"/>
        <w:ind w:left="-907"/>
      </w:pPr>
    </w:p>
    <w:p w14:paraId="5B726F87" w14:textId="77777777" w:rsidR="00917788" w:rsidRDefault="00917788" w:rsidP="00370635">
      <w:pPr>
        <w:pStyle w:val="Normal3"/>
        <w:widowControl w:val="0"/>
        <w:spacing w:after="0" w:line="240" w:lineRule="auto"/>
        <w:ind w:left="-907"/>
        <w:sectPr w:rsidR="00917788" w:rsidSect="00B816A4">
          <w:headerReference w:type="default" r:id="rId23"/>
          <w:footerReference w:type="default" r:id="rId24"/>
          <w:type w:val="continuous"/>
          <w:pgSz w:w="12240" w:h="15840"/>
          <w:pgMar w:top="1440" w:right="900" w:bottom="1440" w:left="1440" w:header="720" w:footer="720" w:gutter="0"/>
          <w:cols w:space="720"/>
          <w:docGrid w:linePitch="360"/>
        </w:sectPr>
      </w:pPr>
    </w:p>
    <w:p w14:paraId="502D82EF" w14:textId="77777777" w:rsidR="001C4803" w:rsidRDefault="001C4803" w:rsidP="00DC5388">
      <w:pPr>
        <w:pStyle w:val="Normal3"/>
        <w:widowControl w:val="0"/>
        <w:spacing w:after="0" w:line="14" w:lineRule="exact"/>
        <w:ind w:left="-907"/>
      </w:pPr>
    </w:p>
    <w:p w14:paraId="7D04E316" w14:textId="77777777" w:rsidR="001C4803" w:rsidRDefault="001C4803" w:rsidP="00370635">
      <w:pPr>
        <w:pStyle w:val="Normal3"/>
        <w:widowControl w:val="0"/>
        <w:spacing w:after="0" w:line="240" w:lineRule="auto"/>
        <w:ind w:left="-907"/>
      </w:pPr>
    </w:p>
    <w:p w14:paraId="3F88C225" w14:textId="77777777" w:rsidR="00917788" w:rsidRDefault="00917788" w:rsidP="00497D9E">
      <w:pPr>
        <w:pStyle w:val="Normal3"/>
        <w:widowControl w:val="0"/>
        <w:spacing w:after="0" w:line="240" w:lineRule="auto"/>
        <w:ind w:left="-630"/>
      </w:pPr>
    </w:p>
    <w:p w14:paraId="7C8CE8B8" w14:textId="77777777" w:rsidR="00585E07" w:rsidRDefault="00585E07" w:rsidP="00370635">
      <w:pPr>
        <w:pStyle w:val="Normal3"/>
        <w:widowControl w:val="0"/>
        <w:spacing w:after="0" w:line="240" w:lineRule="auto"/>
        <w:ind w:left="-720"/>
      </w:pPr>
    </w:p>
    <w:sdt>
      <w:sdtPr>
        <w:id w:val="920543970"/>
        <w:lock w:val="sdtContentLocked"/>
        <w:placeholder>
          <w:docPart w:val="AA825C0FC63F4FAAB6C17F4EDBC4ECAB"/>
        </w:placeholder>
        <w:showingPlcHdr/>
      </w:sdtPr>
      <w:sdtEndPr/>
      <w:sdtContent>
        <w:p w14:paraId="44C8CE88" w14:textId="77777777" w:rsidR="003615CB" w:rsidRPr="007F0644" w:rsidRDefault="00B00100" w:rsidP="00585E07">
          <w:pPr>
            <w:pStyle w:val="Normal3"/>
            <w:widowControl w:val="0"/>
            <w:spacing w:after="0" w:line="14" w:lineRule="exact"/>
            <w:ind w:left="-907"/>
            <w:sectPr w:rsidR="003615CB" w:rsidRPr="007F0644" w:rsidSect="003615CB">
              <w:type w:val="continuous"/>
              <w:pgSz w:w="12240" w:h="15840"/>
              <w:pgMar w:top="1440" w:right="1440" w:bottom="1440" w:left="1440" w:header="720" w:footer="720" w:gutter="0"/>
              <w:cols w:space="720"/>
              <w:docGrid w:linePitch="360"/>
            </w:sectPr>
          </w:pPr>
          <w:r>
            <w:t xml:space="preserve"> </w:t>
          </w:r>
        </w:p>
      </w:sdtContent>
    </w:sdt>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0C3959" w14:paraId="5B45518E" w14:textId="77777777" w:rsidTr="00827842">
        <w:trPr>
          <w:trHeight w:val="432"/>
        </w:trPr>
        <w:tc>
          <w:tcPr>
            <w:tcW w:w="10800" w:type="dxa"/>
            <w:shd w:val="clear" w:color="auto" w:fill="F2F7FC"/>
            <w:vAlign w:val="center"/>
          </w:tcPr>
          <w:p w14:paraId="66A822A0" w14:textId="77777777" w:rsidR="003615CB" w:rsidRPr="00991ED0" w:rsidRDefault="00B00100" w:rsidP="00370635">
            <w:pPr>
              <w:pStyle w:val="NoSpacing"/>
              <w:numPr>
                <w:ilvl w:val="0"/>
                <w:numId w:val="1"/>
              </w:numPr>
              <w:ind w:left="288" w:hanging="288"/>
              <w:outlineLvl w:val="0"/>
              <w:rPr>
                <w:szCs w:val="22"/>
              </w:rPr>
            </w:pPr>
            <w:bookmarkStart w:id="11" w:name="_Toc256000106"/>
            <w:bookmarkStart w:id="12" w:name="_Toc256000082"/>
            <w:bookmarkStart w:id="13" w:name="_Toc256000041"/>
            <w:bookmarkStart w:id="14" w:name="_Toc256000003"/>
            <w:bookmarkStart w:id="15" w:name="_Toc256000004"/>
            <w:bookmarkStart w:id="16" w:name="_Toc256000001"/>
            <w:bookmarkStart w:id="17" w:name="_Toc433982404"/>
            <w:bookmarkStart w:id="18" w:name="_Toc511651896"/>
            <w:bookmarkStart w:id="19" w:name="_Toc14789334"/>
            <w:bookmarkStart w:id="20" w:name="_Toc22655904"/>
            <w:bookmarkStart w:id="21" w:name="_Toc23779833"/>
            <w:bookmarkStart w:id="22" w:name="_Toc23866049"/>
            <w:bookmarkStart w:id="23" w:name="_Toc23930660"/>
            <w:r w:rsidRPr="00991ED0">
              <w:rPr>
                <w:szCs w:val="22"/>
              </w:rPr>
              <w:lastRenderedPageBreak/>
              <w:t>STRATEGIC CONTEXT</w:t>
            </w:r>
            <w:bookmarkEnd w:id="11"/>
            <w:bookmarkEnd w:id="12"/>
            <w:bookmarkEnd w:id="13"/>
            <w:bookmarkEnd w:id="14"/>
            <w:bookmarkEnd w:id="15"/>
            <w:bookmarkEnd w:id="16"/>
            <w:bookmarkEnd w:id="17"/>
            <w:bookmarkEnd w:id="18"/>
            <w:bookmarkEnd w:id="19"/>
            <w:bookmarkEnd w:id="20"/>
            <w:bookmarkEnd w:id="21"/>
            <w:bookmarkEnd w:id="22"/>
            <w:bookmarkEnd w:id="23"/>
          </w:p>
        </w:tc>
      </w:tr>
    </w:tbl>
    <w:p w14:paraId="0D5690FA" w14:textId="77777777" w:rsidR="006D6252" w:rsidRDefault="006D6252" w:rsidP="00370635">
      <w:pPr>
        <w:ind w:left="-810"/>
        <w:rPr>
          <w:rFonts w:ascii="Calibri" w:hAnsi="Calibri"/>
          <w:b/>
          <w:color w:val="262626"/>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3F9DE9BD" w14:textId="77777777" w:rsidTr="003615CB">
        <w:trPr>
          <w:trHeight w:val="80"/>
        </w:trPr>
        <w:tc>
          <w:tcPr>
            <w:tcW w:w="10710" w:type="dxa"/>
          </w:tcPr>
          <w:p w14:paraId="4D0478DF" w14:textId="77777777" w:rsidR="003615CB" w:rsidRPr="003F68ED" w:rsidRDefault="00B00100" w:rsidP="00E72E64">
            <w:pPr>
              <w:pStyle w:val="Heading2"/>
              <w:keepLines w:val="0"/>
              <w:outlineLvl w:val="1"/>
              <w:rPr>
                <w:rFonts w:asciiTheme="minorHAnsi" w:hAnsiTheme="minorHAnsi"/>
                <w:bCs/>
                <w:color w:val="172D5F"/>
                <w:sz w:val="22"/>
                <w:szCs w:val="22"/>
              </w:rPr>
            </w:pPr>
            <w:bookmarkStart w:id="24" w:name="_Toc256000115"/>
            <w:bookmarkStart w:id="25" w:name="_Toc256000086"/>
            <w:bookmarkStart w:id="26" w:name="_Toc256000050"/>
            <w:bookmarkStart w:id="27" w:name="_Toc256000009"/>
            <w:bookmarkStart w:id="28" w:name="_Toc256000005"/>
            <w:bookmarkStart w:id="29" w:name="_Toc256000002"/>
            <w:bookmarkStart w:id="30" w:name="_Toc433982405"/>
            <w:bookmarkStart w:id="31" w:name="_Toc511651897"/>
            <w:bookmarkStart w:id="32" w:name="_Toc14789335"/>
            <w:bookmarkStart w:id="33" w:name="_Toc22655905"/>
            <w:bookmarkStart w:id="34" w:name="_Toc23779834"/>
            <w:bookmarkStart w:id="35" w:name="_Toc23866050"/>
            <w:bookmarkStart w:id="36" w:name="_Toc23930661"/>
            <w:r w:rsidRPr="003F68ED">
              <w:rPr>
                <w:rFonts w:asciiTheme="minorHAnsi" w:hAnsiTheme="minorHAnsi"/>
                <w:bCs/>
                <w:color w:val="172D5F"/>
                <w:sz w:val="22"/>
                <w:szCs w:val="22"/>
              </w:rPr>
              <w:t>A.</w:t>
            </w:r>
            <w:r w:rsidRPr="003F68ED">
              <w:rPr>
                <w:rFonts w:asciiTheme="minorHAnsi" w:hAnsiTheme="minorHAnsi"/>
                <w:color w:val="172D5F"/>
                <w:sz w:val="22"/>
                <w:szCs w:val="22"/>
              </w:rPr>
              <w:t xml:space="preserve"> </w:t>
            </w:r>
            <w:r w:rsidR="002E1A3F">
              <w:rPr>
                <w:rFonts w:asciiTheme="minorHAnsi" w:hAnsiTheme="minorHAnsi"/>
                <w:bCs/>
                <w:color w:val="172D5F"/>
                <w:sz w:val="22"/>
                <w:szCs w:val="22"/>
              </w:rPr>
              <w:t>Regional</w:t>
            </w:r>
            <w:r w:rsidR="002E1A3F" w:rsidRPr="003F68ED">
              <w:rPr>
                <w:rFonts w:asciiTheme="minorHAnsi" w:hAnsiTheme="minorHAnsi"/>
                <w:bCs/>
                <w:color w:val="172D5F"/>
                <w:sz w:val="22"/>
                <w:szCs w:val="22"/>
              </w:rPr>
              <w:t xml:space="preserve"> </w:t>
            </w:r>
            <w:r w:rsidRPr="003F68ED">
              <w:rPr>
                <w:rFonts w:asciiTheme="minorHAnsi" w:hAnsiTheme="minorHAnsi"/>
                <w:bCs/>
                <w:color w:val="172D5F"/>
                <w:sz w:val="22"/>
                <w:szCs w:val="22"/>
              </w:rPr>
              <w:t>Context</w:t>
            </w:r>
            <w:bookmarkEnd w:id="24"/>
            <w:bookmarkEnd w:id="25"/>
            <w:bookmarkEnd w:id="26"/>
            <w:bookmarkEnd w:id="27"/>
            <w:bookmarkEnd w:id="28"/>
            <w:bookmarkEnd w:id="29"/>
            <w:bookmarkEnd w:id="30"/>
            <w:bookmarkEnd w:id="31"/>
            <w:bookmarkEnd w:id="32"/>
            <w:bookmarkEnd w:id="33"/>
            <w:bookmarkEnd w:id="34"/>
            <w:bookmarkEnd w:id="35"/>
            <w:bookmarkEnd w:id="36"/>
          </w:p>
        </w:tc>
      </w:tr>
    </w:tbl>
    <w:p w14:paraId="281CD2A0" w14:textId="77777777" w:rsidR="003615CB" w:rsidRPr="00F81AC2" w:rsidRDefault="003615CB" w:rsidP="00E72E64">
      <w:pPr>
        <w:ind w:left="-634"/>
        <w:rPr>
          <w:rFonts w:asciiTheme="minorHAnsi" w:hAnsiTheme="minorHAnsi"/>
          <w:bCs/>
          <w:color w:val="auto"/>
          <w:sz w:val="22"/>
          <w:szCs w:val="22"/>
        </w:rPr>
      </w:pPr>
    </w:p>
    <w:p w14:paraId="74C90B3B" w14:textId="77777777" w:rsidR="002E1A3F" w:rsidRPr="002E1A3F" w:rsidRDefault="00B00100" w:rsidP="00D87E9B">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2E1A3F">
        <w:rPr>
          <w:rFonts w:ascii="Calibri" w:eastAsia="Calibri" w:hAnsi="Calibri" w:cs="Calibri"/>
          <w:b/>
          <w:bCs/>
          <w:sz w:val="22"/>
          <w:szCs w:val="22"/>
        </w:rPr>
        <w:t>Sub</w:t>
      </w:r>
      <w:r w:rsidRPr="002E1A3F">
        <w:rPr>
          <w:rFonts w:ascii="Calibri" w:eastAsia="Calibri" w:hAnsi="Calibri" w:cs="Calibri"/>
          <w:b/>
          <w:bCs/>
          <w:spacing w:val="-1"/>
          <w:sz w:val="22"/>
          <w:szCs w:val="22"/>
        </w:rPr>
        <w:t>-Saharan Africa (SSA)</w:t>
      </w:r>
      <w:r>
        <w:rPr>
          <w:rFonts w:ascii="Calibri" w:eastAsia="Calibri" w:hAnsi="Calibri" w:cs="Calibri"/>
          <w:b/>
          <w:bCs/>
          <w:spacing w:val="-1"/>
          <w:sz w:val="22"/>
          <w:szCs w:val="22"/>
          <w:vertAlign w:val="superscript"/>
        </w:rPr>
        <w:footnoteReference w:id="2"/>
      </w:r>
      <w:r w:rsidRPr="002E1A3F">
        <w:rPr>
          <w:rFonts w:ascii="Calibri" w:eastAsia="Calibri" w:hAnsi="Calibri" w:cs="Calibri"/>
          <w:b/>
          <w:bCs/>
          <w:spacing w:val="-1"/>
          <w:sz w:val="22"/>
          <w:szCs w:val="22"/>
        </w:rPr>
        <w:t xml:space="preserve"> is home to the largest share of the global poor and demonstrates the widest poverty gap</w:t>
      </w:r>
      <w:r w:rsidRPr="002E1A3F">
        <w:rPr>
          <w:rFonts w:ascii="Calibri" w:eastAsia="Calibri,Times New Roman" w:hAnsi="Calibri" w:cs="Calibri"/>
          <w:b/>
          <w:bCs/>
          <w:spacing w:val="-1"/>
          <w:sz w:val="22"/>
          <w:szCs w:val="22"/>
        </w:rPr>
        <w:t xml:space="preserve">.  </w:t>
      </w:r>
      <w:r w:rsidRPr="002E1A3F">
        <w:rPr>
          <w:rFonts w:ascii="Calibri" w:eastAsia="Calibri" w:hAnsi="Calibri" w:cs="Calibri"/>
          <w:spacing w:val="-1"/>
          <w:sz w:val="22"/>
          <w:szCs w:val="22"/>
        </w:rPr>
        <w:t>Of the 767 million people</w:t>
      </w:r>
      <w:r w:rsidR="006637C8">
        <w:rPr>
          <w:rFonts w:ascii="Calibri" w:eastAsia="Calibri" w:hAnsi="Calibri" w:cs="Calibri"/>
          <w:spacing w:val="-1"/>
          <w:sz w:val="22"/>
          <w:szCs w:val="22"/>
        </w:rPr>
        <w:t>,</w:t>
      </w:r>
      <w:r w:rsidRPr="002E1A3F">
        <w:rPr>
          <w:rFonts w:ascii="Calibri" w:eastAsia="Calibri" w:hAnsi="Calibri" w:cs="Calibri"/>
          <w:spacing w:val="-1"/>
          <w:sz w:val="22"/>
          <w:szCs w:val="22"/>
        </w:rPr>
        <w:t xml:space="preserve"> globally, living below the extreme poverty line in 2013, 389 million (51 percent) were in SSA.  Although the overall global number of the extremely poor is decreasing (dropp</w:t>
      </w:r>
      <w:r w:rsidR="006637C8">
        <w:rPr>
          <w:rFonts w:ascii="Calibri" w:eastAsia="Calibri" w:hAnsi="Calibri" w:cs="Calibri"/>
          <w:spacing w:val="-1"/>
          <w:sz w:val="22"/>
          <w:szCs w:val="22"/>
        </w:rPr>
        <w:t>ing</w:t>
      </w:r>
      <w:r w:rsidRPr="002E1A3F">
        <w:rPr>
          <w:rFonts w:ascii="Calibri" w:eastAsia="Calibri" w:hAnsi="Calibri" w:cs="Calibri"/>
          <w:spacing w:val="-1"/>
          <w:sz w:val="22"/>
          <w:szCs w:val="22"/>
        </w:rPr>
        <w:t xml:space="preserve"> to 736 </w:t>
      </w:r>
      <w:r w:rsidRPr="002E1A3F">
        <w:rPr>
          <w:rFonts w:ascii="Calibri" w:eastAsia="Calibri" w:hAnsi="Calibri" w:cs="Calibri"/>
          <w:bCs/>
          <w:spacing w:val="-1"/>
          <w:sz w:val="22"/>
          <w:szCs w:val="22"/>
        </w:rPr>
        <w:t xml:space="preserve">million in 2015) and is expected to continue to decrease, </w:t>
      </w:r>
      <w:r w:rsidR="00712DE6">
        <w:rPr>
          <w:rFonts w:ascii="Calibri" w:eastAsia="Calibri" w:hAnsi="Calibri" w:cs="Calibri"/>
          <w:bCs/>
          <w:spacing w:val="-1"/>
          <w:sz w:val="22"/>
          <w:szCs w:val="22"/>
        </w:rPr>
        <w:t xml:space="preserve">nearly 9 in 10 of the </w:t>
      </w:r>
      <w:r w:rsidRPr="002E1A3F">
        <w:rPr>
          <w:rFonts w:ascii="Calibri" w:eastAsia="Calibri" w:hAnsi="Calibri" w:cs="Calibri"/>
          <w:bCs/>
          <w:spacing w:val="-1"/>
          <w:sz w:val="22"/>
          <w:szCs w:val="22"/>
        </w:rPr>
        <w:t xml:space="preserve">global </w:t>
      </w:r>
      <w:r w:rsidR="00236624">
        <w:rPr>
          <w:rFonts w:ascii="Calibri" w:eastAsia="Calibri" w:hAnsi="Calibri" w:cs="Calibri"/>
          <w:bCs/>
          <w:spacing w:val="-1"/>
          <w:sz w:val="22"/>
          <w:szCs w:val="22"/>
        </w:rPr>
        <w:t xml:space="preserve">extremely </w:t>
      </w:r>
      <w:r w:rsidRPr="002E1A3F">
        <w:rPr>
          <w:rFonts w:ascii="Calibri" w:eastAsia="Calibri" w:hAnsi="Calibri" w:cs="Calibri"/>
          <w:bCs/>
          <w:spacing w:val="-1"/>
          <w:sz w:val="22"/>
          <w:szCs w:val="22"/>
        </w:rPr>
        <w:t xml:space="preserve">poor </w:t>
      </w:r>
      <w:r w:rsidR="00A60C27">
        <w:rPr>
          <w:rFonts w:ascii="Calibri" w:eastAsia="Calibri" w:hAnsi="Calibri" w:cs="Calibri"/>
          <w:bCs/>
          <w:spacing w:val="-1"/>
          <w:sz w:val="22"/>
          <w:szCs w:val="22"/>
        </w:rPr>
        <w:t>are e</w:t>
      </w:r>
      <w:r w:rsidRPr="002E1A3F">
        <w:rPr>
          <w:rFonts w:ascii="Calibri" w:eastAsia="Calibri" w:hAnsi="Calibri" w:cs="Calibri"/>
          <w:bCs/>
          <w:spacing w:val="-1"/>
          <w:sz w:val="22"/>
          <w:szCs w:val="22"/>
        </w:rPr>
        <w:t xml:space="preserve">xpected to </w:t>
      </w:r>
      <w:r w:rsidR="00A60C27">
        <w:rPr>
          <w:rFonts w:ascii="Calibri" w:eastAsia="Calibri" w:hAnsi="Calibri" w:cs="Calibri"/>
          <w:bCs/>
          <w:spacing w:val="-1"/>
          <w:sz w:val="22"/>
          <w:szCs w:val="22"/>
        </w:rPr>
        <w:t xml:space="preserve">reside in SSA by </w:t>
      </w:r>
      <w:r w:rsidRPr="002E1A3F">
        <w:rPr>
          <w:rFonts w:ascii="Calibri" w:eastAsia="Calibri" w:hAnsi="Calibri" w:cs="Calibri"/>
          <w:bCs/>
          <w:spacing w:val="-1"/>
          <w:sz w:val="22"/>
          <w:szCs w:val="22"/>
        </w:rPr>
        <w:t>2030, should economic growth over the next 12 years follow historical growth patterns.</w:t>
      </w:r>
      <w:r w:rsidRPr="002E1A3F">
        <w:rPr>
          <w:rFonts w:ascii="Calibri" w:eastAsia="Calibri" w:hAnsi="Calibri" w:cs="Calibri"/>
          <w:spacing w:val="-1"/>
          <w:sz w:val="22"/>
          <w:szCs w:val="22"/>
        </w:rPr>
        <w:t xml:space="preserve"> Three of the predominant attributes of the profile of the poor are that they are poorly educated, young, and employed in the agricultural sector. The common drivers of inequality which need to be addressed to reduce the poverty gap are: slow human capital accumulation; disparities in</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access to jobs and income-generating opportunities; and unsuccessful government interventions that attempt to address market-based inequalities</w:t>
      </w:r>
      <w:r>
        <w:rPr>
          <w:rStyle w:val="FootnoteReference"/>
          <w:rFonts w:ascii="Calibri" w:eastAsia="Calibri" w:hAnsi="Calibri" w:cs="Calibri"/>
          <w:spacing w:val="-1"/>
          <w:sz w:val="22"/>
          <w:szCs w:val="22"/>
        </w:rPr>
        <w:footnoteReference w:id="3"/>
      </w:r>
      <w:r w:rsidRPr="002E1A3F">
        <w:rPr>
          <w:rFonts w:ascii="Calibri" w:eastAsia="Calibri" w:hAnsi="Calibri" w:cs="Calibri"/>
          <w:spacing w:val="-1"/>
          <w:sz w:val="22"/>
          <w:szCs w:val="22"/>
        </w:rPr>
        <w:t xml:space="preserve"> (such as taxes and transfers)</w:t>
      </w:r>
      <w:r w:rsidRPr="002E1A3F">
        <w:rPr>
          <w:rFonts w:ascii="Calibri,Times New Roman" w:eastAsia="Calibri,Times New Roman" w:hAnsi="Calibri,Times New Roman" w:cs="Calibri,Times New Roman"/>
          <w:spacing w:val="-1"/>
          <w:sz w:val="22"/>
          <w:szCs w:val="22"/>
        </w:rPr>
        <w:t>.</w:t>
      </w:r>
    </w:p>
    <w:p w14:paraId="5FC0BEBB"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2E1A3F">
        <w:rPr>
          <w:rFonts w:ascii="Calibri" w:eastAsia="Calibri" w:hAnsi="Calibri" w:cs="Calibri"/>
          <w:b/>
          <w:bCs/>
          <w:spacing w:val="-1"/>
          <w:sz w:val="22"/>
          <w:szCs w:val="22"/>
        </w:rPr>
        <w:t xml:space="preserve">Between 2003 and 2013, </w:t>
      </w:r>
      <w:r w:rsidRPr="002E1A3F">
        <w:rPr>
          <w:rFonts w:ascii="Calibri" w:eastAsia="Calibri" w:hAnsi="Calibri" w:cs="Calibri"/>
          <w:b/>
          <w:bCs/>
          <w:sz w:val="22"/>
          <w:szCs w:val="22"/>
        </w:rPr>
        <w:t xml:space="preserve">SSA </w:t>
      </w:r>
      <w:r w:rsidRPr="002E1A3F">
        <w:rPr>
          <w:rFonts w:ascii="Calibri" w:eastAsia="Calibri" w:hAnsi="Calibri" w:cs="Calibri"/>
          <w:b/>
          <w:bCs/>
          <w:spacing w:val="-1"/>
          <w:sz w:val="22"/>
          <w:szCs w:val="22"/>
        </w:rPr>
        <w:t>experienced remarkable</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economic growth with an average annual real gross domestic product (GDP) growth rate of 5.3 percent</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largely driven by a commodity price boom. This growth, however, did not translate into significant poverty reduction</w:t>
      </w:r>
      <w:r w:rsidRPr="002E1A3F">
        <w:rPr>
          <w:rFonts w:ascii="Calibri" w:eastAsia="Calibri,Times New Roman" w:hAnsi="Calibri" w:cs="Calibri"/>
          <w:b/>
          <w:bCs/>
          <w:spacing w:val="-1"/>
          <w:sz w:val="22"/>
          <w:szCs w:val="22"/>
        </w:rPr>
        <w:t xml:space="preserve">, </w:t>
      </w:r>
      <w:r w:rsidRPr="002E1A3F">
        <w:rPr>
          <w:rFonts w:ascii="Calibri" w:eastAsia="Calibri" w:hAnsi="Calibri" w:cs="Calibri"/>
          <w:spacing w:val="-1"/>
          <w:sz w:val="22"/>
          <w:szCs w:val="22"/>
        </w:rPr>
        <w:t>partly</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spacing w:val="-1"/>
          <w:sz w:val="22"/>
          <w:szCs w:val="22"/>
        </w:rPr>
        <w:t>due to high population growth, limited creation of jobs and an unequal distribution of the benefits of such economic growth. The pace of economic growth in SSA</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has increased recently – rising from 1.5 percent in 2016 to 2.6 percent in 2017, although this remains the lowest level of economic growth observed in the region in more than two decades. While SSA has tremendous potential for</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growth, recent trends and a modest outlook moving forward reflect, in part, insufficient progress on structural reforms</w:t>
      </w:r>
      <w:r w:rsidRPr="002E1A3F">
        <w:rPr>
          <w:rFonts w:ascii="Calibri,Times New Roman" w:eastAsia="Calibri,Times New Roman" w:hAnsi="Calibri,Times New Roman" w:cs="Calibri,Times New Roman"/>
          <w:spacing w:val="-1"/>
          <w:sz w:val="22"/>
          <w:szCs w:val="22"/>
        </w:rPr>
        <w:t xml:space="preserve">. </w:t>
      </w:r>
    </w:p>
    <w:p w14:paraId="00620625"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2E1A3F">
        <w:rPr>
          <w:rFonts w:ascii="Calibri" w:eastAsia="Calibri" w:hAnsi="Calibri" w:cs="Calibri"/>
          <w:b/>
          <w:bCs/>
          <w:sz w:val="22"/>
          <w:szCs w:val="22"/>
        </w:rPr>
        <w:t>To achieve strong economic growth and reduce poverty</w:t>
      </w:r>
      <w:r w:rsidRPr="002E1A3F">
        <w:rPr>
          <w:rFonts w:ascii="Calibri,Times New Roman" w:eastAsia="Calibri,Times New Roman" w:hAnsi="Calibri,Times New Roman" w:cs="Calibri,Times New Roman"/>
          <w:b/>
          <w:bCs/>
          <w:sz w:val="22"/>
          <w:szCs w:val="22"/>
        </w:rPr>
        <w:t xml:space="preserve">, </w:t>
      </w:r>
      <w:r w:rsidRPr="002E1A3F">
        <w:rPr>
          <w:rFonts w:ascii="Calibri" w:eastAsia="Calibri" w:hAnsi="Calibri" w:cs="Calibri"/>
          <w:b/>
          <w:bCs/>
          <w:sz w:val="22"/>
          <w:szCs w:val="22"/>
        </w:rPr>
        <w:t>increased productivity across key economic</w:t>
      </w:r>
      <w:r w:rsidRPr="002E1A3F">
        <w:rPr>
          <w:rFonts w:ascii="Calibri,Times New Roman" w:eastAsia="Calibri,Times New Roman" w:hAnsi="Calibri,Times New Roman" w:cs="Calibri,Times New Roman"/>
          <w:b/>
          <w:bCs/>
          <w:sz w:val="22"/>
          <w:szCs w:val="22"/>
        </w:rPr>
        <w:t xml:space="preserve"> </w:t>
      </w:r>
      <w:r w:rsidRPr="002E1A3F">
        <w:rPr>
          <w:rFonts w:ascii="Calibri" w:eastAsia="Calibri" w:hAnsi="Calibri" w:cs="Calibri"/>
          <w:b/>
          <w:bCs/>
          <w:sz w:val="22"/>
          <w:szCs w:val="22"/>
        </w:rPr>
        <w:t>priority sectors, economic diversification</w:t>
      </w:r>
      <w:r w:rsidRPr="002E1A3F">
        <w:rPr>
          <w:rFonts w:ascii="Calibri,Times New Roman" w:eastAsia="Calibri,Times New Roman" w:hAnsi="Calibri,Times New Roman" w:cs="Calibri,Times New Roman"/>
          <w:b/>
          <w:bCs/>
          <w:sz w:val="22"/>
          <w:szCs w:val="22"/>
        </w:rPr>
        <w:t>,</w:t>
      </w:r>
      <w:r w:rsidRPr="002E1A3F">
        <w:rPr>
          <w:rFonts w:ascii="Calibri" w:eastAsia="Calibri" w:hAnsi="Calibri" w:cs="Calibri"/>
          <w:b/>
          <w:bCs/>
          <w:sz w:val="22"/>
          <w:szCs w:val="22"/>
        </w:rPr>
        <w:t xml:space="preserve"> and implementation of structural reforms are needed</w:t>
      </w:r>
      <w:r w:rsidRPr="002E1A3F">
        <w:rPr>
          <w:rFonts w:ascii="Calibri" w:eastAsia="Calibri" w:hAnsi="Calibri" w:cs="Calibri"/>
          <w:sz w:val="22"/>
          <w:szCs w:val="22"/>
        </w:rPr>
        <w:t>. Human capital development is essential for increasing productivity and promoting economic diversification. SSA economies are highly dependent on unskilled labor and natural resources, preventing the region from moving up the value chain and becoming more specialized in</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knowledge-intensive, and high value-added activities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pacing w:val="-1"/>
          <w:sz w:val="22"/>
          <w:szCs w:val="22"/>
        </w:rPr>
        <w:t xml:space="preserve">An additional challenge relates to low institutional capacity in the region to train </w:t>
      </w:r>
      <w:r w:rsidR="00055793">
        <w:rPr>
          <w:rFonts w:ascii="Calibri" w:eastAsia="Calibri" w:hAnsi="Calibri" w:cs="Calibri"/>
          <w:spacing w:val="-1"/>
          <w:sz w:val="22"/>
          <w:szCs w:val="22"/>
        </w:rPr>
        <w:t xml:space="preserve">a </w:t>
      </w:r>
      <w:r w:rsidRPr="002E1A3F">
        <w:rPr>
          <w:rFonts w:ascii="Calibri" w:eastAsia="Calibri" w:hAnsi="Calibri" w:cs="Calibri"/>
          <w:spacing w:val="-1"/>
          <w:sz w:val="22"/>
          <w:szCs w:val="22"/>
        </w:rPr>
        <w:t xml:space="preserve">sufficient number of professionals with the technical and critical thinking skills (such as high-order cognitive skills) required to incorporate new knowledge and technologies into products and services. </w:t>
      </w:r>
    </w:p>
    <w:p w14:paraId="4B9276BB"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z w:val="22"/>
          <w:szCs w:val="22"/>
        </w:rPr>
      </w:pPr>
      <w:r w:rsidRPr="002E1A3F">
        <w:rPr>
          <w:rFonts w:ascii="Calibri" w:eastAsia="Calibri" w:hAnsi="Calibri" w:cs="Calibri"/>
          <w:b/>
          <w:sz w:val="22"/>
          <w:szCs w:val="22"/>
        </w:rPr>
        <w:t>A</w:t>
      </w:r>
      <w:r w:rsidRPr="002E1A3F">
        <w:rPr>
          <w:rFonts w:ascii="Calibri" w:eastAsia="Calibri" w:hAnsi="Calibri" w:cs="Calibri"/>
          <w:b/>
          <w:spacing w:val="-1"/>
          <w:sz w:val="22"/>
          <w:szCs w:val="22"/>
        </w:rPr>
        <w:t xml:space="preserve"> range of priority economic sectors face shortages in workers with high-level (postgraduate level) skills</w:t>
      </w:r>
      <w:r w:rsidR="002C7BC2">
        <w:rPr>
          <w:rFonts w:ascii="Calibri" w:eastAsia="Calibri" w:hAnsi="Calibri" w:cs="Calibri"/>
          <w:b/>
          <w:spacing w:val="-1"/>
          <w:sz w:val="22"/>
          <w:szCs w:val="22"/>
        </w:rPr>
        <w:t>,</w:t>
      </w:r>
      <w:r w:rsidRPr="002E1A3F">
        <w:rPr>
          <w:rFonts w:ascii="Calibri" w:eastAsia="Calibri" w:hAnsi="Calibri" w:cs="Calibri"/>
          <w:b/>
          <w:spacing w:val="-1"/>
          <w:sz w:val="22"/>
          <w:szCs w:val="22"/>
        </w:rPr>
        <w:t xml:space="preserve"> as well as limitations in applied research which is needed to increase productivity.</w:t>
      </w:r>
      <w:r w:rsidRPr="002E1A3F">
        <w:rPr>
          <w:rFonts w:ascii="Calibri" w:eastAsia="Calibri,Times New Roman" w:hAnsi="Calibri" w:cs="Calibri"/>
          <w:sz w:val="22"/>
          <w:szCs w:val="22"/>
        </w:rPr>
        <w:t xml:space="preserve"> The skills and applied research shortages in priority sectors </w:t>
      </w:r>
      <w:r w:rsidRPr="002E1A3F">
        <w:rPr>
          <w:rFonts w:ascii="Calibri" w:eastAsia="Calibri" w:hAnsi="Calibri" w:cs="Calibri"/>
          <w:spacing w:val="-1"/>
          <w:sz w:val="22"/>
          <w:szCs w:val="22"/>
        </w:rPr>
        <w:t xml:space="preserve">include: in the energy sector (power generation, transmission, and renewable energy); within extractives (mining, oil, and gas); sustainable urban planning, transport, sustainable agriculture, health and environment (coastal resilience, climate change, and assessments related to infrastructure and mining); in education </w:t>
      </w:r>
      <w:r w:rsidR="006637C8">
        <w:rPr>
          <w:rFonts w:ascii="Calibri" w:eastAsia="Calibri" w:hAnsi="Calibri" w:cs="Calibri"/>
          <w:spacing w:val="-1"/>
          <w:sz w:val="22"/>
          <w:szCs w:val="22"/>
        </w:rPr>
        <w:t>(</w:t>
      </w:r>
      <w:r w:rsidRPr="002E1A3F">
        <w:rPr>
          <w:rFonts w:ascii="Calibri" w:eastAsia="Calibri" w:hAnsi="Calibri" w:cs="Calibri"/>
          <w:spacing w:val="-1"/>
          <w:sz w:val="22"/>
          <w:szCs w:val="22"/>
        </w:rPr>
        <w:t xml:space="preserve">teacher training in science, technology, engineering and math </w:t>
      </w:r>
      <w:r w:rsidR="0099295A">
        <w:rPr>
          <w:rFonts w:ascii="Calibri" w:eastAsia="Calibri" w:hAnsi="Calibri" w:cs="Calibri"/>
          <w:spacing w:val="-1"/>
          <w:sz w:val="22"/>
          <w:szCs w:val="22"/>
        </w:rPr>
        <w:t xml:space="preserve">(STEM) </w:t>
      </w:r>
      <w:r w:rsidRPr="002E1A3F">
        <w:rPr>
          <w:rFonts w:ascii="Calibri" w:eastAsia="Calibri" w:hAnsi="Calibri" w:cs="Calibri"/>
          <w:spacing w:val="-1"/>
          <w:sz w:val="22"/>
          <w:szCs w:val="22"/>
        </w:rPr>
        <w:t xml:space="preserve">education); and </w:t>
      </w:r>
      <w:r w:rsidR="006637C8">
        <w:rPr>
          <w:rFonts w:ascii="Calibri" w:eastAsia="Calibri" w:hAnsi="Calibri" w:cs="Calibri"/>
          <w:spacing w:val="-1"/>
          <w:sz w:val="22"/>
          <w:szCs w:val="22"/>
        </w:rPr>
        <w:t xml:space="preserve">in </w:t>
      </w:r>
      <w:r w:rsidRPr="002E1A3F">
        <w:rPr>
          <w:rFonts w:ascii="Calibri" w:eastAsia="Calibri" w:hAnsi="Calibri" w:cs="Calibri"/>
          <w:spacing w:val="-1"/>
          <w:sz w:val="22"/>
          <w:szCs w:val="22"/>
        </w:rPr>
        <w:t>the information and communication</w:t>
      </w:r>
      <w:r w:rsidR="00055793">
        <w:rPr>
          <w:rFonts w:ascii="Calibri" w:eastAsia="Calibri" w:hAnsi="Calibri" w:cs="Calibri"/>
          <w:spacing w:val="-1"/>
          <w:sz w:val="22"/>
          <w:szCs w:val="22"/>
        </w:rPr>
        <w:t>s</w:t>
      </w:r>
      <w:r w:rsidRPr="002E1A3F">
        <w:rPr>
          <w:rFonts w:ascii="Calibri" w:eastAsia="Calibri" w:hAnsi="Calibri" w:cs="Calibri"/>
          <w:spacing w:val="-1"/>
          <w:sz w:val="22"/>
          <w:szCs w:val="22"/>
        </w:rPr>
        <w:t xml:space="preserve"> technology </w:t>
      </w:r>
      <w:r w:rsidRPr="002E1A3F">
        <w:rPr>
          <w:rFonts w:ascii="Calibri" w:eastAsia="Calibri,Times New Roman" w:hAnsi="Calibri" w:cs="Calibri"/>
          <w:spacing w:val="-1"/>
          <w:sz w:val="22"/>
          <w:szCs w:val="22"/>
        </w:rPr>
        <w:t>(</w:t>
      </w:r>
      <w:r w:rsidRPr="002E1A3F">
        <w:rPr>
          <w:rFonts w:ascii="Calibri" w:eastAsia="Calibri" w:hAnsi="Calibri" w:cs="Calibri"/>
          <w:spacing w:val="-1"/>
          <w:sz w:val="22"/>
          <w:szCs w:val="22"/>
        </w:rPr>
        <w:t>ICT</w:t>
      </w:r>
      <w:r w:rsidRPr="002E1A3F">
        <w:rPr>
          <w:rFonts w:ascii="Calibri" w:eastAsia="Calibri,Times New Roman" w:hAnsi="Calibri" w:cs="Calibri"/>
          <w:spacing w:val="-1"/>
          <w:sz w:val="22"/>
          <w:szCs w:val="22"/>
        </w:rPr>
        <w:t>)</w:t>
      </w:r>
      <w:r w:rsidRPr="002E1A3F">
        <w:rPr>
          <w:rFonts w:ascii="Calibri" w:eastAsia="Calibri" w:hAnsi="Calibri" w:cs="Calibri"/>
          <w:spacing w:val="-1"/>
          <w:sz w:val="22"/>
          <w:szCs w:val="22"/>
        </w:rPr>
        <w:t xml:space="preserve"> </w:t>
      </w:r>
      <w:r w:rsidRPr="002E1A3F">
        <w:rPr>
          <w:rFonts w:ascii="Calibri" w:eastAsia="Calibri" w:hAnsi="Calibri" w:cs="Calibri"/>
          <w:spacing w:val="-1"/>
          <w:sz w:val="22"/>
          <w:szCs w:val="22"/>
        </w:rPr>
        <w:lastRenderedPageBreak/>
        <w:t xml:space="preserve">sector </w:t>
      </w:r>
      <w:r w:rsidR="006637C8">
        <w:rPr>
          <w:rFonts w:ascii="Calibri" w:eastAsia="Calibri" w:hAnsi="Calibri" w:cs="Calibri"/>
          <w:spacing w:val="-1"/>
          <w:sz w:val="22"/>
          <w:szCs w:val="22"/>
        </w:rPr>
        <w:t xml:space="preserve">- </w:t>
      </w:r>
      <w:r w:rsidRPr="002E1A3F">
        <w:rPr>
          <w:rFonts w:ascii="Calibri" w:eastAsia="Calibri" w:hAnsi="Calibri" w:cs="Calibri"/>
          <w:spacing w:val="-1"/>
          <w:sz w:val="22"/>
          <w:szCs w:val="22"/>
        </w:rPr>
        <w:t xml:space="preserve">both in the ICT sector and cross-cutting </w:t>
      </w:r>
      <w:r w:rsidR="00DC1892">
        <w:rPr>
          <w:rFonts w:ascii="Calibri" w:eastAsia="Calibri" w:hAnsi="Calibri" w:cs="Calibri"/>
          <w:spacing w:val="-1"/>
          <w:sz w:val="22"/>
          <w:szCs w:val="22"/>
        </w:rPr>
        <w:t xml:space="preserve">areas </w:t>
      </w:r>
      <w:r w:rsidR="006637C8">
        <w:rPr>
          <w:rFonts w:ascii="Calibri" w:eastAsia="Calibri" w:hAnsi="Calibri" w:cs="Calibri"/>
          <w:spacing w:val="-1"/>
          <w:sz w:val="22"/>
          <w:szCs w:val="22"/>
        </w:rPr>
        <w:t>(advanced digital skills)</w:t>
      </w:r>
      <w:r w:rsidRPr="002E1A3F">
        <w:rPr>
          <w:rFonts w:ascii="Calibri" w:eastAsia="Calibri" w:hAnsi="Calibri" w:cs="Calibri"/>
          <w:spacing w:val="-1"/>
          <w:sz w:val="22"/>
          <w:szCs w:val="22"/>
        </w:rPr>
        <w:t xml:space="preserve">. </w:t>
      </w:r>
      <w:r w:rsidRPr="002E1A3F">
        <w:rPr>
          <w:rFonts w:ascii="Calibri" w:eastAsia="Calibri" w:hAnsi="Calibri" w:cs="Calibri"/>
          <w:sz w:val="22"/>
          <w:szCs w:val="22"/>
        </w:rPr>
        <w:t>Other important areas where high-level skills are needed are those fields focusing on more policy-relevant research on Africa’s development challenges that can inform policymakers and public debate, for example</w:t>
      </w:r>
      <w:r w:rsidR="00FA5D81">
        <w:rPr>
          <w:rFonts w:ascii="Calibri" w:eastAsia="Calibri" w:hAnsi="Calibri" w:cs="Calibri"/>
          <w:sz w:val="22"/>
          <w:szCs w:val="22"/>
        </w:rPr>
        <w:t>,</w:t>
      </w:r>
      <w:r w:rsidRPr="002E1A3F">
        <w:rPr>
          <w:rFonts w:ascii="Calibri" w:eastAsia="Calibri" w:hAnsi="Calibri" w:cs="Calibri"/>
          <w:sz w:val="22"/>
          <w:szCs w:val="22"/>
        </w:rPr>
        <w:t xml:space="preserve"> the fields of statistics and quantitative economics. The region also faces technical skills shortages in procurement, financial management (FM), and safeguards (environmental and social), affecting the design and implementation of development projects financed by governments and development partners</w:t>
      </w:r>
      <w:r w:rsidR="00055793">
        <w:rPr>
          <w:rFonts w:ascii="Calibri" w:eastAsia="Calibri" w:hAnsi="Calibri" w:cs="Calibri"/>
          <w:sz w:val="22"/>
          <w:szCs w:val="22"/>
        </w:rPr>
        <w:t xml:space="preserve"> (DPs)</w:t>
      </w:r>
      <w:r w:rsidRPr="002E1A3F">
        <w:rPr>
          <w:rFonts w:ascii="Calibri" w:eastAsia="Calibri,Times New Roman" w:hAnsi="Calibri" w:cs="Calibri"/>
          <w:sz w:val="22"/>
          <w:szCs w:val="22"/>
        </w:rPr>
        <w:t xml:space="preserve">. </w:t>
      </w:r>
      <w:r w:rsidR="005F4A1A">
        <w:rPr>
          <w:rFonts w:ascii="Calibri" w:eastAsia="Calibri" w:hAnsi="Calibri" w:cs="Calibri"/>
          <w:spacing w:val="-1"/>
          <w:sz w:val="22"/>
          <w:szCs w:val="22"/>
        </w:rPr>
        <w:t>T</w:t>
      </w:r>
      <w:r w:rsidRPr="002E1A3F">
        <w:rPr>
          <w:rFonts w:ascii="Calibri" w:eastAsia="Calibri" w:hAnsi="Calibri" w:cs="Calibri"/>
          <w:spacing w:val="-1"/>
          <w:sz w:val="22"/>
          <w:szCs w:val="22"/>
        </w:rPr>
        <w:t>his results in an</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overreliance on expatriates and international consultants</w:t>
      </w:r>
      <w:r w:rsidRPr="002E1A3F">
        <w:rPr>
          <w:rFonts w:ascii="Calibri" w:eastAsia="Calibri,Times New Roman" w:hAnsi="Calibri" w:cs="Calibri"/>
          <w:spacing w:val="-1"/>
          <w:sz w:val="22"/>
          <w:szCs w:val="22"/>
        </w:rPr>
        <w:t>.</w:t>
      </w:r>
    </w:p>
    <w:p w14:paraId="4CE1D41A"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2E1A3F">
        <w:rPr>
          <w:rFonts w:ascii="Calibri" w:eastAsia="Calibri" w:hAnsi="Calibri" w:cs="Calibri"/>
          <w:b/>
          <w:bCs/>
          <w:sz w:val="22"/>
          <w:szCs w:val="22"/>
        </w:rPr>
        <w:t>Human resource capacity in SSA remains particularly low in the science and technology</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b/>
          <w:bCs/>
          <w:spacing w:val="-1"/>
          <w:sz w:val="22"/>
          <w:szCs w:val="22"/>
        </w:rPr>
        <w:t>(S&amp;T) fields.</w:t>
      </w:r>
      <w:r w:rsidRPr="002E1A3F">
        <w:rPr>
          <w:rFonts w:ascii="Calibri" w:eastAsia="Calibri" w:hAnsi="Calibri" w:cs="Calibri"/>
          <w:spacing w:val="-1"/>
          <w:sz w:val="22"/>
          <w:szCs w:val="22"/>
        </w:rPr>
        <w:t xml:space="preserve"> A survey of executives shows that for the indicator “Availability of scientists and engineers”</w:t>
      </w:r>
      <w:r w:rsidR="00FA5D81">
        <w:rPr>
          <w:rFonts w:ascii="Calibri" w:eastAsia="Calibri" w:hAnsi="Calibri" w:cs="Calibri"/>
          <w:spacing w:val="-1"/>
          <w:sz w:val="22"/>
          <w:szCs w:val="22"/>
        </w:rPr>
        <w:t>,</w:t>
      </w:r>
      <w:r w:rsidRPr="002E1A3F">
        <w:rPr>
          <w:rFonts w:ascii="Calibri" w:eastAsia="Calibri" w:hAnsi="Calibri" w:cs="Calibri"/>
          <w:spacing w:val="-1"/>
          <w:sz w:val="22"/>
          <w:szCs w:val="22"/>
        </w:rPr>
        <w:t xml:space="preserve"> Nigeria and Mauritania rank 79</w:t>
      </w:r>
      <w:r w:rsidRPr="002E1A3F">
        <w:rPr>
          <w:rFonts w:ascii="Calibri" w:eastAsia="Calibri" w:hAnsi="Calibri" w:cs="Calibri"/>
          <w:spacing w:val="-1"/>
          <w:sz w:val="22"/>
          <w:szCs w:val="22"/>
          <w:vertAlign w:val="superscript"/>
        </w:rPr>
        <w:t xml:space="preserve">th </w:t>
      </w:r>
      <w:r w:rsidRPr="002E1A3F">
        <w:rPr>
          <w:rFonts w:ascii="Calibri" w:eastAsia="Calibri" w:hAnsi="Calibri" w:cs="Calibri"/>
          <w:spacing w:val="-1"/>
          <w:sz w:val="22"/>
          <w:szCs w:val="22"/>
        </w:rPr>
        <w:t>and 137</w:t>
      </w:r>
      <w:r w:rsidRPr="002E1A3F">
        <w:rPr>
          <w:rFonts w:ascii="Calibri" w:eastAsia="Calibri" w:hAnsi="Calibri" w:cs="Calibri"/>
          <w:spacing w:val="-1"/>
          <w:sz w:val="22"/>
          <w:szCs w:val="22"/>
          <w:vertAlign w:val="superscript"/>
        </w:rPr>
        <w:t>th</w:t>
      </w:r>
      <w:r w:rsidRPr="002E1A3F">
        <w:rPr>
          <w:rFonts w:ascii="Calibri" w:eastAsia="Calibri" w:hAnsi="Calibri" w:cs="Calibri"/>
          <w:spacing w:val="-1"/>
          <w:sz w:val="22"/>
          <w:szCs w:val="22"/>
        </w:rPr>
        <w:t>, respectively, out of 137 countries globally.</w:t>
      </w:r>
      <w:r>
        <w:rPr>
          <w:rFonts w:ascii="Calibri" w:eastAsia="Calibri" w:hAnsi="Calibri" w:cs="Calibri"/>
          <w:spacing w:val="-1"/>
          <w:sz w:val="22"/>
          <w:szCs w:val="22"/>
          <w:vertAlign w:val="superscript"/>
        </w:rPr>
        <w:footnoteReference w:id="4"/>
      </w:r>
      <w:r w:rsidRPr="002E1A3F">
        <w:rPr>
          <w:rFonts w:ascii="Calibri" w:eastAsia="Calibri" w:hAnsi="Calibri" w:cs="Calibri"/>
          <w:spacing w:val="-1"/>
          <w:sz w:val="22"/>
          <w:szCs w:val="22"/>
        </w:rPr>
        <w:t xml:space="preserve"> </w:t>
      </w:r>
      <w:r w:rsidRPr="00D96FC4">
        <w:rPr>
          <w:rFonts w:ascii="Calibri" w:eastAsia="Calibri" w:hAnsi="Calibri" w:cs="Calibri"/>
          <w:spacing w:val="-1"/>
          <w:sz w:val="22"/>
          <w:szCs w:val="22"/>
        </w:rPr>
        <w:t>In 2010, the share of researchers in Senegal and Ghana engaged in engineering and technology-related research was</w:t>
      </w:r>
      <w:r w:rsidRPr="00D96FC4">
        <w:rPr>
          <w:rFonts w:ascii="Calibri,Times New Roman" w:eastAsia="Calibri,Times New Roman" w:hAnsi="Calibri,Times New Roman" w:cs="Calibri,Times New Roman"/>
          <w:spacing w:val="-1"/>
          <w:sz w:val="22"/>
          <w:szCs w:val="22"/>
        </w:rPr>
        <w:t xml:space="preserve"> </w:t>
      </w:r>
      <w:r w:rsidRPr="00D96FC4">
        <w:rPr>
          <w:rFonts w:ascii="Calibri" w:eastAsia="Calibri" w:hAnsi="Calibri" w:cs="Calibri"/>
          <w:spacing w:val="-1"/>
          <w:sz w:val="22"/>
          <w:szCs w:val="22"/>
        </w:rPr>
        <w:t>2 and 13 percent, respectively, compared to 62 percent (2013)</w:t>
      </w:r>
      <w:r w:rsidRPr="00D96FC4">
        <w:rPr>
          <w:rFonts w:ascii="Calibri,Times New Roman" w:eastAsia="Calibri,Times New Roman" w:hAnsi="Calibri,Times New Roman" w:cs="Calibri,Times New Roman"/>
          <w:spacing w:val="-1"/>
          <w:sz w:val="22"/>
          <w:szCs w:val="22"/>
        </w:rPr>
        <w:t xml:space="preserve"> </w:t>
      </w:r>
      <w:r w:rsidRPr="00D96FC4">
        <w:rPr>
          <w:rFonts w:ascii="Calibri" w:eastAsia="Calibri" w:hAnsi="Calibri" w:cs="Calibri"/>
          <w:spacing w:val="-1"/>
          <w:sz w:val="22"/>
          <w:szCs w:val="22"/>
        </w:rPr>
        <w:t>in Singapore</w:t>
      </w:r>
      <w:r w:rsidRPr="00D96FC4">
        <w:rPr>
          <w:rFonts w:ascii="Calibri,Times New Roman" w:eastAsia="Calibri,Times New Roman" w:hAnsi="Calibri,Times New Roman" w:cs="Calibri,Times New Roman"/>
          <w:spacing w:val="-1"/>
          <w:sz w:val="22"/>
          <w:szCs w:val="22"/>
        </w:rPr>
        <w:t xml:space="preserve">. </w:t>
      </w:r>
      <w:r w:rsidRPr="00D96FC4">
        <w:rPr>
          <w:rFonts w:ascii="Calibri" w:eastAsia="Calibri" w:hAnsi="Calibri" w:cs="Calibri"/>
          <w:spacing w:val="-1"/>
          <w:sz w:val="22"/>
          <w:szCs w:val="22"/>
        </w:rPr>
        <w:t>In 2014, the number</w:t>
      </w:r>
      <w:r w:rsidRPr="002E1A3F">
        <w:rPr>
          <w:rFonts w:ascii="Calibri" w:eastAsia="Calibri" w:hAnsi="Calibri" w:cs="Calibri"/>
          <w:spacing w:val="-1"/>
          <w:sz w:val="22"/>
          <w:szCs w:val="22"/>
        </w:rPr>
        <w:t xml:space="preserve"> of researchers per one million inhabitants in South Korea was 6,899 compared to only 88 in SSA. While it is home to 14 percent of the world’s population, SSA’s share of global expenditure on research and development (R&amp;D) was only 0.8 percent in 2014, and this figure remained unchanged</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for the prior five years.</w:t>
      </w:r>
      <w:r>
        <w:rPr>
          <w:rFonts w:ascii="Calibri" w:eastAsia="Calibri" w:hAnsi="Calibri" w:cs="Calibri"/>
          <w:spacing w:val="-1"/>
          <w:sz w:val="22"/>
          <w:szCs w:val="22"/>
          <w:vertAlign w:val="superscript"/>
        </w:rPr>
        <w:footnoteReference w:id="5"/>
      </w:r>
    </w:p>
    <w:p w14:paraId="0E92CE74"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2E1A3F">
        <w:rPr>
          <w:rFonts w:ascii="Calibri" w:eastAsia="Calibri" w:hAnsi="Calibri" w:cs="Calibri"/>
          <w:b/>
          <w:bCs/>
          <w:sz w:val="22"/>
          <w:szCs w:val="22"/>
        </w:rPr>
        <w:t xml:space="preserve">Improved productivity can be achieved by equipping the workforce with relevant S&amp;T skills and ensuring </w:t>
      </w:r>
      <w:r w:rsidRPr="002E1A3F">
        <w:rPr>
          <w:rFonts w:ascii="Calibri" w:eastAsia="Calibri" w:hAnsi="Calibri" w:cs="Calibri"/>
          <w:b/>
          <w:bCs/>
          <w:spacing w:val="-1"/>
          <w:sz w:val="22"/>
          <w:szCs w:val="22"/>
        </w:rPr>
        <w:t>competencies necessary</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to develop, adapt and apply solutions to sectoral challenges in Africa</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e.g., in supporting industries in producing higher value-added products and services</w:t>
      </w:r>
      <w:r w:rsidRPr="002E1A3F">
        <w:rPr>
          <w:rFonts w:ascii="Calibri" w:eastAsia="Calibri,Times New Roman" w:hAnsi="Calibri" w:cs="Calibri"/>
          <w:sz w:val="22"/>
          <w:szCs w:val="22"/>
        </w:rPr>
        <w:t xml:space="preserve">). </w:t>
      </w:r>
      <w:r w:rsidRPr="002E1A3F">
        <w:rPr>
          <w:rFonts w:ascii="Calibri" w:eastAsia="Calibri" w:hAnsi="Calibri" w:cs="Calibri"/>
          <w:spacing w:val="-1"/>
          <w:sz w:val="22"/>
          <w:szCs w:val="22"/>
        </w:rPr>
        <w:t xml:space="preserve">If African higher education institutions are transformed to deliver international-quality training and applied research, becoming more dynamic and internationally connected, such training and research could be increasingly undertaken in Africa. Thus, African talent would be more likely to stay in the region and in turn increase institutional capacity in the region to adopt more technology, deliver innovative services and support evidence-based policy making. </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70AF67E5" w14:textId="77777777" w:rsidTr="009277AD">
        <w:trPr>
          <w:trHeight w:val="80"/>
        </w:trPr>
        <w:tc>
          <w:tcPr>
            <w:tcW w:w="10710" w:type="dxa"/>
          </w:tcPr>
          <w:p w14:paraId="3106E5EC" w14:textId="77777777" w:rsidR="002E1A3F" w:rsidRPr="002E1A3F" w:rsidRDefault="00B00100" w:rsidP="006C451F">
            <w:pPr>
              <w:keepNext/>
              <w:widowControl/>
              <w:autoSpaceDE/>
              <w:autoSpaceDN/>
              <w:adjustRightInd/>
              <w:spacing w:before="40"/>
              <w:outlineLvl w:val="1"/>
              <w:rPr>
                <w:rFonts w:ascii="Calibri" w:eastAsia="Times New Roman" w:hAnsi="Calibri" w:cs="Times New Roman"/>
                <w:b/>
                <w:color w:val="172D5F"/>
                <w:sz w:val="22"/>
                <w:szCs w:val="22"/>
              </w:rPr>
            </w:pPr>
            <w:bookmarkStart w:id="37" w:name="_Toc256000119"/>
            <w:bookmarkStart w:id="38" w:name="_Toc256000098"/>
            <w:bookmarkStart w:id="39" w:name="_Toc256000054"/>
            <w:bookmarkStart w:id="40" w:name="_Toc256000018"/>
            <w:bookmarkStart w:id="41" w:name="_Toc256000006"/>
            <w:bookmarkStart w:id="42" w:name="_Toc8301920"/>
            <w:bookmarkStart w:id="43" w:name="_Toc14789336"/>
            <w:bookmarkStart w:id="44" w:name="_Toc22655906"/>
            <w:bookmarkStart w:id="45" w:name="_Toc23779835"/>
            <w:bookmarkStart w:id="46" w:name="_Toc23866051"/>
            <w:bookmarkStart w:id="47" w:name="_Toc23930662"/>
            <w:r w:rsidRPr="002E1A3F">
              <w:rPr>
                <w:rFonts w:ascii="Calibri" w:eastAsia="Times New Roman" w:hAnsi="Calibri" w:cs="Times New Roman"/>
                <w:b/>
                <w:bCs/>
                <w:color w:val="172D5F"/>
                <w:sz w:val="22"/>
                <w:szCs w:val="22"/>
              </w:rPr>
              <w:t>B.</w:t>
            </w:r>
            <w:r w:rsidRPr="002E1A3F">
              <w:rPr>
                <w:rFonts w:ascii="Calibri" w:eastAsia="Times New Roman" w:hAnsi="Calibri" w:cs="Times New Roman"/>
                <w:b/>
                <w:color w:val="172D5F"/>
                <w:sz w:val="22"/>
                <w:szCs w:val="22"/>
              </w:rPr>
              <w:t xml:space="preserve"> Sectoral and Institutional Context</w:t>
            </w:r>
            <w:bookmarkEnd w:id="37"/>
            <w:bookmarkEnd w:id="38"/>
            <w:bookmarkEnd w:id="39"/>
            <w:bookmarkEnd w:id="40"/>
            <w:bookmarkEnd w:id="41"/>
            <w:bookmarkEnd w:id="42"/>
            <w:bookmarkEnd w:id="43"/>
            <w:bookmarkEnd w:id="44"/>
            <w:bookmarkEnd w:id="45"/>
            <w:bookmarkEnd w:id="46"/>
            <w:bookmarkEnd w:id="47"/>
          </w:p>
        </w:tc>
      </w:tr>
    </w:tbl>
    <w:p w14:paraId="1431C23E" w14:textId="77777777" w:rsidR="002E1A3F" w:rsidRPr="002E1A3F" w:rsidRDefault="002E1A3F" w:rsidP="006C451F">
      <w:pPr>
        <w:ind w:left="-634"/>
        <w:rPr>
          <w:rFonts w:ascii="Calibri" w:eastAsia="Times New Roman" w:hAnsi="Calibri" w:cs="Calibri"/>
          <w:bCs/>
        </w:rPr>
      </w:pPr>
    </w:p>
    <w:p w14:paraId="53F5765A"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bookmarkStart w:id="48" w:name="_Hlk263529"/>
      <w:r w:rsidRPr="002E1A3F">
        <w:rPr>
          <w:rFonts w:ascii="Calibri" w:eastAsia="Calibri" w:hAnsi="Calibri" w:cs="Calibri"/>
          <w:b/>
          <w:bCs/>
          <w:spacing w:val="-1"/>
          <w:sz w:val="22"/>
          <w:szCs w:val="22"/>
        </w:rPr>
        <w:t>The education systems in SSA face important challenges at all levels.</w:t>
      </w:r>
      <w:r w:rsidRPr="002E1A3F">
        <w:rPr>
          <w:rFonts w:ascii="Calibri" w:eastAsia="Calibri" w:hAnsi="Calibri" w:cs="Calibri"/>
          <w:spacing w:val="-1"/>
          <w:sz w:val="22"/>
          <w:szCs w:val="22"/>
        </w:rPr>
        <w:t xml:space="preserve"> While significant gains have been observed in increasing access to primary education, major efforts are still needed to ensure that all children have access to quality basic education – as this provides the foundation for an individual’s success in post-basic education.  Continued and </w:t>
      </w:r>
      <w:r w:rsidR="00055793">
        <w:rPr>
          <w:rFonts w:ascii="Calibri" w:eastAsia="Calibri" w:hAnsi="Calibri" w:cs="Calibri"/>
          <w:spacing w:val="-1"/>
          <w:sz w:val="22"/>
          <w:szCs w:val="22"/>
        </w:rPr>
        <w:t xml:space="preserve">additional </w:t>
      </w:r>
      <w:r w:rsidRPr="002E1A3F">
        <w:rPr>
          <w:rFonts w:ascii="Calibri" w:eastAsia="Calibri" w:hAnsi="Calibri" w:cs="Calibri"/>
          <w:spacing w:val="-1"/>
          <w:sz w:val="22"/>
          <w:szCs w:val="22"/>
        </w:rPr>
        <w:t>efforts are needed</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to increase access to and improve the quality and relevance of secondary, technical and vocational education and training (TVET) and higher education, to combat youth unemployment and underemployment and build overall capacity in the region</w:t>
      </w:r>
      <w:r w:rsidRPr="002E1A3F">
        <w:rPr>
          <w:rFonts w:ascii="Calibri,Times New Roman" w:eastAsia="Calibri,Times New Roman" w:hAnsi="Calibri,Times New Roman" w:cs="Calibri,Times New Roman"/>
          <w:spacing w:val="-1"/>
          <w:sz w:val="22"/>
          <w:szCs w:val="22"/>
        </w:rPr>
        <w:t xml:space="preserve">. </w:t>
      </w:r>
    </w:p>
    <w:p w14:paraId="0ACA2C85"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spacing w:val="-1"/>
          <w:sz w:val="22"/>
          <w:szCs w:val="22"/>
        </w:rPr>
        <w:t>Key challenges facing the higher education sector in the region include the following:</w:t>
      </w:r>
    </w:p>
    <w:p w14:paraId="091AAB48" w14:textId="77777777" w:rsidR="002E1A3F" w:rsidRPr="002E1A3F" w:rsidRDefault="00B00100" w:rsidP="006C70A5">
      <w:pPr>
        <w:widowControl/>
        <w:numPr>
          <w:ilvl w:val="0"/>
          <w:numId w:val="42"/>
        </w:numPr>
        <w:autoSpaceDE/>
        <w:autoSpaceDN/>
        <w:adjustRightInd/>
        <w:spacing w:after="120"/>
        <w:ind w:left="108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Low quality of higher education programs. </w:t>
      </w:r>
      <w:r w:rsidRPr="002E1A3F">
        <w:rPr>
          <w:rFonts w:ascii="Calibri" w:eastAsia="Calibri" w:hAnsi="Calibri" w:cs="Calibri"/>
          <w:bCs/>
          <w:spacing w:val="-1"/>
          <w:sz w:val="22"/>
          <w:szCs w:val="22"/>
        </w:rPr>
        <w:t>Global higher education rankings provide some indication of the quality of universities and the programs they offer. The most widely used rankings show that, in SSA, only a few South African universities feature in the top 500.</w:t>
      </w:r>
      <w:r>
        <w:rPr>
          <w:rFonts w:ascii="Calibri" w:eastAsia="Calibri" w:hAnsi="Calibri" w:cs="Calibri"/>
          <w:bCs/>
          <w:spacing w:val="-1"/>
          <w:sz w:val="22"/>
          <w:szCs w:val="22"/>
          <w:vertAlign w:val="superscript"/>
        </w:rPr>
        <w:footnoteReference w:id="6"/>
      </w:r>
      <w:r w:rsidRPr="002E1A3F">
        <w:rPr>
          <w:rFonts w:ascii="Calibri" w:eastAsia="Calibri" w:hAnsi="Calibri" w:cs="Calibri"/>
          <w:bCs/>
          <w:spacing w:val="-1"/>
          <w:sz w:val="22"/>
          <w:szCs w:val="22"/>
          <w:vertAlign w:val="superscript"/>
        </w:rPr>
        <w:t xml:space="preserve">  </w:t>
      </w:r>
      <w:r w:rsidRPr="002E1A3F">
        <w:rPr>
          <w:rFonts w:ascii="Calibri" w:eastAsia="Calibri" w:hAnsi="Calibri" w:cs="Calibri"/>
          <w:bCs/>
          <w:spacing w:val="-1"/>
          <w:sz w:val="22"/>
          <w:szCs w:val="22"/>
        </w:rPr>
        <w:t xml:space="preserve">International accreditation assessments of education programs in engineering undertaken in </w:t>
      </w:r>
      <w:r w:rsidRPr="002E1A3F">
        <w:rPr>
          <w:rFonts w:ascii="Calibri" w:eastAsia="Calibri" w:hAnsi="Calibri" w:cs="Calibri"/>
          <w:bCs/>
          <w:spacing w:val="-1"/>
          <w:sz w:val="22"/>
          <w:szCs w:val="22"/>
        </w:rPr>
        <w:lastRenderedPageBreak/>
        <w:t xml:space="preserve">the context of the World Bank-financed Africa Higher Education Centers of Excellence Project (ACE I) (P126974) highlight the following as key drivers of poor quality programs: </w:t>
      </w:r>
      <w:bookmarkStart w:id="49" w:name="_Hlk528632173"/>
      <w:r w:rsidRPr="002E1A3F">
        <w:rPr>
          <w:rFonts w:ascii="Calibri" w:eastAsia="Calibri" w:hAnsi="Calibri" w:cs="Calibri"/>
          <w:bCs/>
          <w:spacing w:val="-1"/>
          <w:sz w:val="22"/>
          <w:szCs w:val="22"/>
        </w:rPr>
        <w:t xml:space="preserve">(a) the educational objectives of programs and student learning outcomes are not clearly stated nor are they assessed; (b) there are no periodic reviews of the competencies of graduates that are in demand by employers; (c) programs provide few hands-on practical projects/opportunities, placing an emphasis on theoretical knowledge; (d) student admissions processes do not adequately capture the preparedness of students for technical fields such as engineering; (e) weak processes for selecting and determining the basic coursework for various fields of study; and (f) no mechanisms to ensure that teaching and assessment procedures are followed. </w:t>
      </w:r>
      <w:bookmarkEnd w:id="49"/>
      <w:r w:rsidRPr="002E1A3F">
        <w:rPr>
          <w:rFonts w:ascii="Calibri" w:eastAsia="Calibri" w:hAnsi="Calibri" w:cs="Calibri"/>
          <w:bCs/>
          <w:spacing w:val="-1"/>
          <w:sz w:val="22"/>
          <w:szCs w:val="22"/>
        </w:rPr>
        <w:t>These shortcomings are found to be more important than</w:t>
      </w:r>
      <w:r w:rsidRPr="00B81291">
        <w:rPr>
          <w:rFonts w:ascii="Calibri" w:eastAsia="Calibri" w:hAnsi="Calibri" w:cs="Calibri"/>
          <w:bCs/>
          <w:i/>
          <w:spacing w:val="-1"/>
          <w:sz w:val="22"/>
          <w:szCs w:val="22"/>
        </w:rPr>
        <w:t>, inter alia,</w:t>
      </w:r>
      <w:r w:rsidRPr="002E1A3F">
        <w:rPr>
          <w:rFonts w:ascii="Calibri" w:eastAsia="Calibri" w:hAnsi="Calibri" w:cs="Calibri"/>
          <w:bCs/>
          <w:spacing w:val="-1"/>
          <w:sz w:val="22"/>
          <w:szCs w:val="22"/>
        </w:rPr>
        <w:t xml:space="preserve"> limited qualifications of the faculty and limitations in the teaching and learning environment (</w:t>
      </w:r>
      <w:r w:rsidR="00055793">
        <w:rPr>
          <w:rFonts w:ascii="Calibri" w:eastAsia="Calibri" w:hAnsi="Calibri" w:cs="Calibri"/>
          <w:bCs/>
          <w:spacing w:val="-1"/>
          <w:sz w:val="22"/>
          <w:szCs w:val="22"/>
        </w:rPr>
        <w:t>e.g.</w:t>
      </w:r>
      <w:r w:rsidRPr="002E1A3F">
        <w:rPr>
          <w:rFonts w:ascii="Calibri" w:eastAsia="Calibri" w:hAnsi="Calibri" w:cs="Calibri"/>
          <w:bCs/>
          <w:spacing w:val="-1"/>
          <w:sz w:val="22"/>
          <w:szCs w:val="22"/>
        </w:rPr>
        <w:t xml:space="preserve"> limited internet connectivity, and insufficient and inadequate equipment and laboratories for teaching and research). </w:t>
      </w:r>
    </w:p>
    <w:p w14:paraId="5F29AF23" w14:textId="77777777" w:rsidR="002E1A3F" w:rsidRPr="002E1A3F" w:rsidRDefault="00B00100" w:rsidP="006C70A5">
      <w:pPr>
        <w:widowControl/>
        <w:numPr>
          <w:ilvl w:val="0"/>
          <w:numId w:val="42"/>
        </w:numPr>
        <w:autoSpaceDE/>
        <w:autoSpaceDN/>
        <w:adjustRightInd/>
        <w:spacing w:after="120"/>
        <w:ind w:left="1080" w:hanging="367"/>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Limited impact of postgraduate education (including linkages with labor-market needs of the priority sectors) and applied research on economic development. </w:t>
      </w:r>
      <w:r w:rsidRPr="002E1A3F">
        <w:rPr>
          <w:rFonts w:ascii="Calibri" w:eastAsia="Calibri" w:hAnsi="Calibri" w:cs="Calibri"/>
          <w:bCs/>
          <w:spacing w:val="-1"/>
          <w:sz w:val="22"/>
          <w:szCs w:val="22"/>
        </w:rPr>
        <w:t xml:space="preserve">Key sector stakeholders, such as companies and line ministries who stand to benefit significantly from the availability of skilled graduates and relevant research outputs, are usually not active participants in the education or research programs and activities of most SSA universities. Their absence contributes to a mismatch in the demand for and supply of skills, and a misalignment of applied research with priority sector needs. As a result, graduates and research outputs of these academic programs have only a limited impact </w:t>
      </w:r>
      <w:r w:rsidR="00055793">
        <w:rPr>
          <w:rFonts w:ascii="Calibri" w:eastAsia="Calibri" w:hAnsi="Calibri" w:cs="Calibri"/>
          <w:bCs/>
          <w:spacing w:val="-1"/>
          <w:sz w:val="22"/>
          <w:szCs w:val="22"/>
        </w:rPr>
        <w:t>i</w:t>
      </w:r>
      <w:r w:rsidRPr="002E1A3F">
        <w:rPr>
          <w:rFonts w:ascii="Calibri" w:eastAsia="Calibri" w:hAnsi="Calibri" w:cs="Calibri"/>
          <w:bCs/>
          <w:spacing w:val="-1"/>
          <w:sz w:val="22"/>
          <w:szCs w:val="22"/>
        </w:rPr>
        <w:t xml:space="preserve">n </w:t>
      </w:r>
      <w:r w:rsidR="00055793">
        <w:rPr>
          <w:rFonts w:ascii="Calibri" w:eastAsia="Calibri" w:hAnsi="Calibri" w:cs="Calibri"/>
          <w:bCs/>
          <w:spacing w:val="-1"/>
          <w:sz w:val="22"/>
          <w:szCs w:val="22"/>
        </w:rPr>
        <w:t xml:space="preserve">terms of </w:t>
      </w:r>
      <w:r w:rsidRPr="002E1A3F">
        <w:rPr>
          <w:rFonts w:ascii="Calibri" w:eastAsia="Calibri" w:hAnsi="Calibri" w:cs="Calibri"/>
          <w:bCs/>
          <w:spacing w:val="-1"/>
          <w:sz w:val="22"/>
          <w:szCs w:val="22"/>
        </w:rPr>
        <w:t xml:space="preserve">addressing challenges that the priority sectors face. There is inadequate engagement on the part of industry stakeholders in, for example, curricula development, advisory boards at universities, the identification of research topics and the provision of internships to students. </w:t>
      </w:r>
    </w:p>
    <w:p w14:paraId="5D30C494" w14:textId="77777777" w:rsidR="002E1A3F" w:rsidRPr="002E1A3F" w:rsidRDefault="00B00100" w:rsidP="006C70A5">
      <w:pPr>
        <w:widowControl/>
        <w:numPr>
          <w:ilvl w:val="0"/>
          <w:numId w:val="42"/>
        </w:numPr>
        <w:autoSpaceDE/>
        <w:autoSpaceDN/>
        <w:adjustRightInd/>
        <w:spacing w:after="120"/>
        <w:ind w:left="108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Limited supply (quantity) of higher education graduates, particularly from </w:t>
      </w:r>
      <w:r w:rsidR="00713D44">
        <w:rPr>
          <w:rFonts w:ascii="Calibri" w:eastAsia="Calibri" w:hAnsi="Calibri" w:cs="Calibri"/>
          <w:b/>
          <w:bCs/>
          <w:spacing w:val="-1"/>
          <w:sz w:val="22"/>
          <w:szCs w:val="22"/>
        </w:rPr>
        <w:t>m</w:t>
      </w:r>
      <w:r w:rsidRPr="002E1A3F">
        <w:rPr>
          <w:rFonts w:ascii="Calibri" w:eastAsia="Calibri" w:hAnsi="Calibri" w:cs="Calibri"/>
          <w:b/>
          <w:bCs/>
          <w:spacing w:val="-1"/>
          <w:sz w:val="22"/>
          <w:szCs w:val="22"/>
        </w:rPr>
        <w:t xml:space="preserve">aster’s and Doctor of Philosophy (PhD) programs in priority sectors. </w:t>
      </w:r>
      <w:r w:rsidRPr="002E1A3F">
        <w:rPr>
          <w:rFonts w:ascii="Calibri" w:eastAsia="Calibri" w:hAnsi="Calibri" w:cs="Calibri"/>
          <w:bCs/>
          <w:spacing w:val="-1"/>
          <w:sz w:val="22"/>
          <w:szCs w:val="22"/>
        </w:rPr>
        <w:t xml:space="preserve">The region has experienced a massive expansion in student enrollment in higher education, with many public universities in Africa experiencing increases in enrollment far beyond what they were designed to accommodate. In the region, higher education enrollment increased from 2.5 million in 2000 to 7.4 million in 2015. Despite this significant expansion in enrollment, gross higher education enrollment rate remains low at 9 percent (compared to 74 percent in </w:t>
      </w:r>
      <w:r w:rsidR="00954011">
        <w:rPr>
          <w:rFonts w:ascii="Calibri" w:eastAsia="Calibri" w:hAnsi="Calibri" w:cs="Calibri"/>
          <w:bCs/>
          <w:spacing w:val="-1"/>
          <w:sz w:val="22"/>
          <w:szCs w:val="22"/>
        </w:rPr>
        <w:t>industrialized countries</w:t>
      </w:r>
      <w:r w:rsidR="000207B4">
        <w:rPr>
          <w:rFonts w:ascii="Calibri" w:eastAsia="Calibri" w:hAnsi="Calibri" w:cs="Calibri"/>
          <w:bCs/>
          <w:spacing w:val="-1"/>
          <w:sz w:val="22"/>
          <w:szCs w:val="22"/>
        </w:rPr>
        <w:t>)</w:t>
      </w:r>
      <w:r w:rsidRPr="002E1A3F">
        <w:rPr>
          <w:rFonts w:ascii="Calibri" w:eastAsia="Calibri" w:hAnsi="Calibri" w:cs="Calibri"/>
          <w:bCs/>
          <w:spacing w:val="-1"/>
          <w:sz w:val="22"/>
          <w:szCs w:val="22"/>
        </w:rPr>
        <w:t>. There is a noticeable gender gap with 10.5 percent of men in the relevant age-cohort enrolled compared to only 7.5 percent for women. Further, only six percent of total enrollment is in master’s degree programs and one percent in PhD programs. In West Africa, the share of higher education students enrolled in STEM programs, which are critical fields for economic growth and development, is as low as 9 percent</w:t>
      </w:r>
      <w:r>
        <w:rPr>
          <w:rStyle w:val="FootnoteReference"/>
          <w:rFonts w:ascii="Calibri" w:eastAsia="Calibri" w:hAnsi="Calibri" w:cs="Calibri"/>
          <w:bCs/>
          <w:spacing w:val="-1"/>
          <w:sz w:val="22"/>
          <w:szCs w:val="22"/>
        </w:rPr>
        <w:footnoteReference w:id="7"/>
      </w:r>
      <w:r w:rsidRPr="002E1A3F">
        <w:rPr>
          <w:rFonts w:ascii="Calibri" w:eastAsia="Calibri" w:hAnsi="Calibri" w:cs="Calibri"/>
          <w:bCs/>
          <w:spacing w:val="-1"/>
          <w:sz w:val="22"/>
          <w:szCs w:val="22"/>
        </w:rPr>
        <w:t xml:space="preserve"> in some countries, according to available data.  The share of female enrollment in STEM fields </w:t>
      </w:r>
      <w:r w:rsidR="004D409A">
        <w:rPr>
          <w:rFonts w:ascii="Calibri" w:eastAsia="Calibri" w:hAnsi="Calibri" w:cs="Calibri"/>
          <w:bCs/>
          <w:spacing w:val="-1"/>
          <w:sz w:val="22"/>
          <w:szCs w:val="22"/>
        </w:rPr>
        <w:t xml:space="preserve">with </w:t>
      </w:r>
      <w:r w:rsidRPr="002E1A3F">
        <w:rPr>
          <w:rFonts w:ascii="Calibri" w:eastAsia="Calibri" w:hAnsi="Calibri" w:cs="Calibri"/>
          <w:bCs/>
          <w:spacing w:val="-1"/>
          <w:sz w:val="22"/>
          <w:szCs w:val="22"/>
        </w:rPr>
        <w:t xml:space="preserve">respect to the overall enrollment of higher education students in STEM programs is also extremely low – accounting for just 5 percent in Niger and 8 percent in Ghana. Such low higher education enrollment rates, coupled with a </w:t>
      </w:r>
      <w:r w:rsidRPr="002E1A3F">
        <w:rPr>
          <w:rFonts w:ascii="Calibri" w:eastAsia="Calibri" w:hAnsi="Calibri" w:cs="Calibri"/>
          <w:bCs/>
          <w:spacing w:val="-1"/>
          <w:sz w:val="22"/>
          <w:szCs w:val="22"/>
        </w:rPr>
        <w:lastRenderedPageBreak/>
        <w:t xml:space="preserve">shortage of skilled labor, points to the significant need for a strategic expansion of the higher education sector. </w:t>
      </w:r>
    </w:p>
    <w:p w14:paraId="32F24D1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pacing w:val="-1"/>
          <w:sz w:val="22"/>
          <w:szCs w:val="22"/>
        </w:rPr>
      </w:pPr>
      <w:r w:rsidRPr="002E1A3F">
        <w:rPr>
          <w:rFonts w:ascii="Calibri" w:eastAsia="Calibri" w:hAnsi="Calibri" w:cs="Calibri"/>
          <w:b/>
          <w:bCs/>
          <w:spacing w:val="-1"/>
          <w:sz w:val="22"/>
          <w:szCs w:val="22"/>
        </w:rPr>
        <w:t>Other major challenges limit</w:t>
      </w:r>
      <w:r w:rsidR="000207B4">
        <w:rPr>
          <w:rFonts w:ascii="Calibri" w:eastAsia="Calibri" w:hAnsi="Calibri" w:cs="Calibri"/>
          <w:b/>
          <w:bCs/>
          <w:spacing w:val="-1"/>
          <w:sz w:val="22"/>
          <w:szCs w:val="22"/>
        </w:rPr>
        <w:t>ing</w:t>
      </w:r>
      <w:r w:rsidRPr="002E1A3F">
        <w:rPr>
          <w:rFonts w:ascii="Calibri" w:eastAsia="Calibri" w:hAnsi="Calibri" w:cs="Calibri"/>
          <w:b/>
          <w:bCs/>
          <w:spacing w:val="-1"/>
          <w:sz w:val="22"/>
          <w:szCs w:val="22"/>
        </w:rPr>
        <w:t xml:space="preserve"> the quality and relevance of higher education include</w:t>
      </w:r>
      <w:r w:rsidRPr="002E1A3F">
        <w:rPr>
          <w:rFonts w:ascii="Calibri,Times New Roman" w:eastAsia="Calibri,Times New Roman" w:hAnsi="Calibri,Times New Roman" w:cs="Calibri,Times New Roman"/>
          <w:b/>
          <w:bCs/>
          <w:spacing w:val="-1"/>
          <w:sz w:val="22"/>
          <w:szCs w:val="22"/>
        </w:rPr>
        <w:t xml:space="preserve">: </w:t>
      </w:r>
    </w:p>
    <w:p w14:paraId="14833CDA" w14:textId="18F8C147" w:rsidR="002E1A3F" w:rsidRPr="002E1A3F" w:rsidRDefault="00B00100" w:rsidP="00CE42B2">
      <w:pPr>
        <w:widowControl/>
        <w:numPr>
          <w:ilvl w:val="0"/>
          <w:numId w:val="68"/>
        </w:numPr>
        <w:autoSpaceDE/>
        <w:autoSpaceDN/>
        <w:adjustRightInd/>
        <w:spacing w:after="120"/>
        <w:ind w:left="108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Limited </w:t>
      </w:r>
      <w:r w:rsidR="009148FD" w:rsidRPr="009148FD">
        <w:rPr>
          <w:rFonts w:ascii="Calibri" w:eastAsia="Calibri" w:hAnsi="Calibri" w:cs="Calibri"/>
          <w:b/>
          <w:bCs/>
          <w:spacing w:val="-1"/>
          <w:sz w:val="22"/>
          <w:szCs w:val="22"/>
        </w:rPr>
        <w:t>cross-country collaboration</w:t>
      </w:r>
      <w:r w:rsidR="009148FD">
        <w:rPr>
          <w:rFonts w:ascii="Calibri" w:eastAsia="Calibri" w:hAnsi="Calibri" w:cs="Calibri"/>
          <w:b/>
          <w:bCs/>
          <w:spacing w:val="-1"/>
          <w:sz w:val="22"/>
          <w:szCs w:val="22"/>
        </w:rPr>
        <w:t xml:space="preserve"> in</w:t>
      </w:r>
      <w:r w:rsidRPr="002E1A3F">
        <w:rPr>
          <w:rFonts w:ascii="Calibri" w:eastAsia="Calibri" w:hAnsi="Calibri" w:cs="Calibri"/>
          <w:b/>
          <w:bCs/>
          <w:spacing w:val="-1"/>
          <w:sz w:val="22"/>
          <w:szCs w:val="22"/>
        </w:rPr>
        <w:t xml:space="preserve"> higher education: </w:t>
      </w:r>
      <w:r w:rsidRPr="002E1A3F">
        <w:rPr>
          <w:rFonts w:ascii="Calibri" w:eastAsia="Calibri" w:hAnsi="Calibri" w:cs="Calibri"/>
          <w:bCs/>
          <w:spacing w:val="-1"/>
          <w:sz w:val="22"/>
          <w:szCs w:val="22"/>
        </w:rPr>
        <w:t xml:space="preserve">Regional higher education </w:t>
      </w:r>
      <w:r w:rsidR="009148FD" w:rsidRPr="009148FD">
        <w:rPr>
          <w:rFonts w:ascii="Calibri" w:eastAsia="Calibri" w:hAnsi="Calibri" w:cs="Calibri"/>
          <w:bCs/>
          <w:spacing w:val="-1"/>
          <w:sz w:val="22"/>
          <w:szCs w:val="22"/>
        </w:rPr>
        <w:t xml:space="preserve">cross-country </w:t>
      </w:r>
      <w:r w:rsidR="00CE42B2" w:rsidRPr="009148FD">
        <w:rPr>
          <w:rFonts w:ascii="Calibri" w:eastAsia="Calibri" w:hAnsi="Calibri" w:cs="Calibri"/>
          <w:bCs/>
          <w:spacing w:val="-1"/>
          <w:sz w:val="22"/>
          <w:szCs w:val="22"/>
        </w:rPr>
        <w:t xml:space="preserve">collaboration </w:t>
      </w:r>
      <w:r w:rsidR="00CE42B2" w:rsidRPr="002E1A3F">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which has been limited</w:t>
      </w:r>
      <w:r w:rsidR="00C7099D">
        <w:rPr>
          <w:rFonts w:ascii="Calibri" w:eastAsia="Calibri" w:hAnsi="Calibri" w:cs="Calibri"/>
          <w:bCs/>
          <w:spacing w:val="-1"/>
          <w:sz w:val="22"/>
          <w:szCs w:val="22"/>
        </w:rPr>
        <w:t xml:space="preserve"> </w:t>
      </w:r>
      <w:r w:rsidR="00C7099D" w:rsidRPr="002E1A3F">
        <w:rPr>
          <w:rFonts w:ascii="Calibri" w:eastAsia="Calibri" w:hAnsi="Calibri" w:cs="Calibri"/>
          <w:bCs/>
          <w:spacing w:val="-1"/>
          <w:sz w:val="22"/>
          <w:szCs w:val="22"/>
        </w:rPr>
        <w:t>to date</w:t>
      </w:r>
      <w:r w:rsidRPr="002E1A3F">
        <w:rPr>
          <w:rFonts w:ascii="Calibri" w:eastAsia="Calibri" w:hAnsi="Calibri" w:cs="Calibri"/>
          <w:bCs/>
          <w:spacing w:val="-1"/>
          <w:sz w:val="22"/>
          <w:szCs w:val="22"/>
        </w:rPr>
        <w:t xml:space="preserve"> – is advantageous as no one country can afford to fund quality higher education in all the areas required for the development of their economies and challenges they face. As such, it is inefficient and a missed opportunity if knowledge and skills acquisition are not generated as public goods to solve common regional problems. Further, the limited demand for higher education at a national level results in little competition among higher education institutions, and hence there is lower value-for-money (whether public or private). To date, there has only been limited regional coordination in higher education, leading to unnecessary duplication of efforts and inefficient public investments. Governments and most institutions are yet to develop a regional vision, strategy and capacity to support the development of a competitive regional market for higher education. A practical issue stemming from the lack of regional integration is the cumbersome nature of mutual and international recognition of accreditation.</w:t>
      </w:r>
    </w:p>
    <w:p w14:paraId="09C2291A" w14:textId="77777777" w:rsidR="002E1A3F" w:rsidRPr="002E1A3F" w:rsidRDefault="00B00100" w:rsidP="006C70A5">
      <w:pPr>
        <w:widowControl/>
        <w:numPr>
          <w:ilvl w:val="0"/>
          <w:numId w:val="68"/>
        </w:numPr>
        <w:autoSpaceDE/>
        <w:autoSpaceDN/>
        <w:adjustRightInd/>
        <w:spacing w:after="120"/>
        <w:ind w:left="108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t xml:space="preserve">Ineffective governance and inefficient management of higher education institutions: </w:t>
      </w:r>
      <w:r w:rsidRPr="002E1A3F">
        <w:rPr>
          <w:rFonts w:ascii="Calibri" w:eastAsia="Calibri" w:hAnsi="Calibri" w:cs="Calibri"/>
          <w:bCs/>
          <w:spacing w:val="-1"/>
          <w:sz w:val="22"/>
          <w:szCs w:val="22"/>
        </w:rPr>
        <w:t>Weak institutional governance is often manifested in internal conflicts between faculties and departments, faculty and student strikes, and non-merit-based appointments. Weak governance stems from: a lack of pro-active, transparent, and professional leadership; political interference; and decisions motivated by other non-academic (including personal and political) objectives. The lack of a consistently maintained academic calendar with timely admissions and exams – combined with limited management information systems (MIS), weak FM and procurement at the institutional level – often lead</w:t>
      </w:r>
      <w:r w:rsidR="00C7099D">
        <w:rPr>
          <w:rFonts w:ascii="Calibri" w:eastAsia="Calibri" w:hAnsi="Calibri" w:cs="Calibri"/>
          <w:bCs/>
          <w:spacing w:val="-1"/>
          <w:sz w:val="22"/>
          <w:szCs w:val="22"/>
        </w:rPr>
        <w:t>s</w:t>
      </w:r>
      <w:r w:rsidRPr="002E1A3F">
        <w:rPr>
          <w:rFonts w:ascii="Calibri" w:eastAsia="Calibri" w:hAnsi="Calibri" w:cs="Calibri"/>
          <w:bCs/>
          <w:spacing w:val="-1"/>
          <w:sz w:val="22"/>
          <w:szCs w:val="22"/>
        </w:rPr>
        <w:t xml:space="preserve"> to low quality programs and, hence, graduates with low competency levels. Specifically, the lack of reliable and timely data results in poor planning, lack of accountability of institutional leadership, an inefficient use of resources, and difficulties in assessing institutional performance.</w:t>
      </w:r>
      <w:r w:rsidRPr="002E1A3F">
        <w:rPr>
          <w:rFonts w:ascii="Calibri" w:eastAsia="Calibri" w:hAnsi="Calibri" w:cs="Calibri"/>
          <w:b/>
          <w:bCs/>
          <w:spacing w:val="-1"/>
          <w:sz w:val="22"/>
          <w:szCs w:val="22"/>
        </w:rPr>
        <w:t xml:space="preserve"> </w:t>
      </w:r>
    </w:p>
    <w:p w14:paraId="78AF7CDE" w14:textId="77777777" w:rsidR="00D02CAD" w:rsidRPr="00D02CAD" w:rsidRDefault="00B00100" w:rsidP="006C70A5">
      <w:pPr>
        <w:widowControl/>
        <w:numPr>
          <w:ilvl w:val="0"/>
          <w:numId w:val="68"/>
        </w:numPr>
        <w:autoSpaceDE/>
        <w:autoSpaceDN/>
        <w:adjustRightInd/>
        <w:spacing w:after="240"/>
        <w:ind w:left="108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t xml:space="preserve">Inadequate financing for higher education: </w:t>
      </w:r>
      <w:r w:rsidRPr="002E1A3F">
        <w:rPr>
          <w:rFonts w:ascii="Calibri" w:eastAsia="Calibri" w:hAnsi="Calibri" w:cs="Calibri"/>
          <w:bCs/>
          <w:spacing w:val="-1"/>
          <w:sz w:val="22"/>
          <w:szCs w:val="22"/>
        </w:rPr>
        <w:t xml:space="preserve">The provision of quality higher education cannot be sustained without additional contributions from affluent households and the private sector. Public funding for higher education is scarce across the region – and, by itself, is insufficient to finance the expansion of and improvements in higher education. With the exception of </w:t>
      </w:r>
      <w:r w:rsidR="0073621F">
        <w:rPr>
          <w:rFonts w:ascii="Calibri" w:eastAsia="Calibri" w:hAnsi="Calibri" w:cs="Calibri"/>
          <w:bCs/>
          <w:spacing w:val="-1"/>
          <w:sz w:val="22"/>
          <w:szCs w:val="22"/>
        </w:rPr>
        <w:t xml:space="preserve">countries such as </w:t>
      </w:r>
      <w:r w:rsidRPr="002E1A3F">
        <w:rPr>
          <w:rFonts w:ascii="Calibri" w:eastAsia="Calibri" w:hAnsi="Calibri" w:cs="Calibri"/>
          <w:bCs/>
          <w:spacing w:val="-1"/>
          <w:sz w:val="22"/>
          <w:szCs w:val="22"/>
        </w:rPr>
        <w:t>Senegal, Sierra Leone, Ghana, Côte d’Ivoire, and Gabon, government investments in higher education are less than 1 percent of GDP</w:t>
      </w:r>
      <w:r w:rsidR="00E976E8">
        <w:rPr>
          <w:rFonts w:ascii="Calibri" w:eastAsia="Calibri" w:hAnsi="Calibri" w:cs="Calibri"/>
          <w:bCs/>
          <w:spacing w:val="-1"/>
          <w:sz w:val="22"/>
          <w:szCs w:val="22"/>
        </w:rPr>
        <w:t xml:space="preserve"> </w:t>
      </w:r>
      <w:r w:rsidR="0073621F" w:rsidRPr="0073621F">
        <w:rPr>
          <w:rFonts w:ascii="Calibri" w:eastAsia="Calibri" w:hAnsi="Calibri" w:cs="Calibri"/>
          <w:bCs/>
          <w:spacing w:val="-1"/>
          <w:sz w:val="22"/>
          <w:szCs w:val="22"/>
        </w:rPr>
        <w:t xml:space="preserve">in most countries in West and Central Africa </w:t>
      </w:r>
      <w:r w:rsidR="009862A0">
        <w:rPr>
          <w:rFonts w:ascii="Calibri" w:eastAsia="Calibri" w:hAnsi="Calibri" w:cs="Calibri"/>
          <w:bCs/>
          <w:spacing w:val="-1"/>
          <w:sz w:val="22"/>
          <w:szCs w:val="22"/>
        </w:rPr>
        <w:t>(see Table 1)</w:t>
      </w:r>
      <w:r w:rsidR="006821B6">
        <w:rPr>
          <w:rFonts w:ascii="Calibri" w:eastAsia="Calibri" w:hAnsi="Calibri" w:cs="Calibri"/>
          <w:bCs/>
          <w:spacing w:val="-1"/>
          <w:sz w:val="22"/>
          <w:szCs w:val="22"/>
        </w:rPr>
        <w:t>.</w:t>
      </w:r>
      <w:r w:rsidR="00E53A6A">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Most students enrolled in higher education in SSA come from relatively affluent households that can contribute more towards covering the costs of higher education</w:t>
      </w:r>
      <w:r w:rsidR="00873E2B">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particularly at the postgraduate level. Currently, public funding in SSA targeting low-income students is insufficient. Further, public funding is not channeled to strategic areas of higher education where private investments are not forthcoming (such as STEM). Moreover, institutions do not give adequate attention to supplementing public funding through non-budgetary services (e.g., student fees, consultancies, private donations, and international R&amp;D competitions).</w:t>
      </w:r>
      <w:r w:rsidRPr="002E1A3F">
        <w:rPr>
          <w:rFonts w:ascii="Calibri" w:eastAsia="Calibri" w:hAnsi="Calibri" w:cs="Calibri"/>
          <w:b/>
          <w:bCs/>
          <w:spacing w:val="-1"/>
          <w:sz w:val="22"/>
          <w:szCs w:val="22"/>
        </w:rPr>
        <w:t xml:space="preserve"> </w:t>
      </w:r>
    </w:p>
    <w:p w14:paraId="7F565A37" w14:textId="77777777" w:rsidR="00F66E0E" w:rsidRDefault="00F66E0E" w:rsidP="00F66E0E">
      <w:pPr>
        <w:widowControl/>
        <w:autoSpaceDE/>
        <w:autoSpaceDN/>
        <w:adjustRightInd/>
        <w:spacing w:after="240"/>
        <w:jc w:val="both"/>
        <w:rPr>
          <w:rFonts w:ascii="Calibri" w:eastAsia="Calibri" w:hAnsi="Calibri" w:cs="Calibri"/>
          <w:b/>
          <w:bCs/>
          <w:spacing w:val="-1"/>
          <w:sz w:val="22"/>
          <w:szCs w:val="22"/>
        </w:rPr>
      </w:pPr>
    </w:p>
    <w:p w14:paraId="7752AE71" w14:textId="77777777" w:rsidR="00986FDD" w:rsidRPr="00126CD2" w:rsidRDefault="00B00100" w:rsidP="008E2709">
      <w:pPr>
        <w:widowControl/>
        <w:autoSpaceDE/>
        <w:autoSpaceDN/>
        <w:adjustRightInd/>
        <w:ind w:left="907"/>
        <w:jc w:val="center"/>
        <w:rPr>
          <w:rFonts w:ascii="Calibri" w:eastAsia="Calibri" w:hAnsi="Calibri" w:cs="Calibri"/>
          <w:b/>
          <w:bCs/>
          <w:i/>
          <w:spacing w:val="-1"/>
          <w:sz w:val="22"/>
          <w:szCs w:val="22"/>
        </w:rPr>
      </w:pPr>
      <w:r>
        <w:rPr>
          <w:rFonts w:ascii="Calibri" w:eastAsia="Calibri" w:hAnsi="Calibri" w:cs="Calibri"/>
          <w:b/>
          <w:bCs/>
          <w:spacing w:val="-1"/>
          <w:sz w:val="22"/>
          <w:szCs w:val="22"/>
        </w:rPr>
        <w:lastRenderedPageBreak/>
        <w:t xml:space="preserve">Table 1. </w:t>
      </w:r>
      <w:r w:rsidRPr="00126CD2">
        <w:rPr>
          <w:rFonts w:ascii="Calibri" w:eastAsia="Calibri" w:hAnsi="Calibri" w:cs="Calibri"/>
          <w:b/>
          <w:bCs/>
          <w:i/>
          <w:spacing w:val="-1"/>
          <w:sz w:val="22"/>
          <w:szCs w:val="22"/>
        </w:rPr>
        <w:t xml:space="preserve">Public </w:t>
      </w:r>
      <w:r w:rsidR="000A5DA3">
        <w:rPr>
          <w:rFonts w:ascii="Calibri" w:eastAsia="Calibri" w:hAnsi="Calibri" w:cs="Calibri"/>
          <w:b/>
          <w:bCs/>
          <w:i/>
          <w:spacing w:val="-1"/>
          <w:sz w:val="22"/>
          <w:szCs w:val="22"/>
        </w:rPr>
        <w:t>E</w:t>
      </w:r>
      <w:r w:rsidR="00580023" w:rsidRPr="00126CD2">
        <w:rPr>
          <w:rFonts w:ascii="Calibri" w:eastAsia="Calibri" w:hAnsi="Calibri" w:cs="Calibri"/>
          <w:b/>
          <w:bCs/>
          <w:i/>
          <w:spacing w:val="-1"/>
          <w:sz w:val="22"/>
          <w:szCs w:val="22"/>
        </w:rPr>
        <w:t xml:space="preserve">xpenditure </w:t>
      </w:r>
      <w:r w:rsidR="00580023">
        <w:rPr>
          <w:rFonts w:ascii="Calibri" w:eastAsia="Calibri" w:hAnsi="Calibri" w:cs="Calibri"/>
          <w:b/>
          <w:bCs/>
          <w:i/>
          <w:spacing w:val="-1"/>
          <w:sz w:val="22"/>
          <w:szCs w:val="22"/>
        </w:rPr>
        <w:t xml:space="preserve">on </w:t>
      </w:r>
      <w:r w:rsidR="000A5DA3">
        <w:rPr>
          <w:rFonts w:ascii="Calibri" w:eastAsia="Calibri" w:hAnsi="Calibri" w:cs="Calibri"/>
          <w:b/>
          <w:bCs/>
          <w:i/>
          <w:spacing w:val="-1"/>
          <w:sz w:val="22"/>
          <w:szCs w:val="22"/>
        </w:rPr>
        <w:t>H</w:t>
      </w:r>
      <w:r w:rsidRPr="00126CD2">
        <w:rPr>
          <w:rFonts w:ascii="Calibri" w:eastAsia="Calibri" w:hAnsi="Calibri" w:cs="Calibri"/>
          <w:b/>
          <w:bCs/>
          <w:i/>
          <w:spacing w:val="-1"/>
          <w:sz w:val="22"/>
          <w:szCs w:val="22"/>
        </w:rPr>
        <w:t xml:space="preserve">igher </w:t>
      </w:r>
      <w:r w:rsidR="000A5DA3">
        <w:rPr>
          <w:rFonts w:ascii="Calibri" w:eastAsia="Calibri" w:hAnsi="Calibri" w:cs="Calibri"/>
          <w:b/>
          <w:bCs/>
          <w:i/>
          <w:spacing w:val="-1"/>
          <w:sz w:val="22"/>
          <w:szCs w:val="22"/>
        </w:rPr>
        <w:t>E</w:t>
      </w:r>
      <w:r w:rsidRPr="00126CD2">
        <w:rPr>
          <w:rFonts w:ascii="Calibri" w:eastAsia="Calibri" w:hAnsi="Calibri" w:cs="Calibri"/>
          <w:b/>
          <w:bCs/>
          <w:i/>
          <w:spacing w:val="-1"/>
          <w:sz w:val="22"/>
          <w:szCs w:val="22"/>
        </w:rPr>
        <w:t xml:space="preserve">ducation </w:t>
      </w:r>
      <w:r w:rsidR="00E91CEA" w:rsidRPr="00126CD2">
        <w:rPr>
          <w:rFonts w:ascii="Calibri" w:eastAsia="Calibri" w:hAnsi="Calibri" w:cs="Calibri"/>
          <w:b/>
          <w:bCs/>
          <w:i/>
          <w:spacing w:val="-1"/>
          <w:sz w:val="22"/>
          <w:szCs w:val="22"/>
        </w:rPr>
        <w:t>by Country</w:t>
      </w:r>
    </w:p>
    <w:tbl>
      <w:tblPr>
        <w:tblStyle w:val="TableGrid420"/>
        <w:tblW w:w="9207" w:type="dxa"/>
        <w:jc w:val="center"/>
        <w:tblLayout w:type="fixed"/>
        <w:tblLook w:val="04A0" w:firstRow="1" w:lastRow="0" w:firstColumn="1" w:lastColumn="0" w:noHBand="0" w:noVBand="1"/>
      </w:tblPr>
      <w:tblGrid>
        <w:gridCol w:w="3685"/>
        <w:gridCol w:w="1080"/>
        <w:gridCol w:w="1350"/>
        <w:gridCol w:w="810"/>
        <w:gridCol w:w="1141"/>
        <w:gridCol w:w="1141"/>
      </w:tblGrid>
      <w:tr w:rsidR="000C3959" w14:paraId="7857D44D" w14:textId="77777777" w:rsidTr="000C4313">
        <w:trPr>
          <w:trHeight w:val="358"/>
          <w:jc w:val="center"/>
        </w:trPr>
        <w:tc>
          <w:tcPr>
            <w:tcW w:w="3685" w:type="dxa"/>
            <w:shd w:val="clear" w:color="auto" w:fill="D0CECE" w:themeFill="background2" w:themeFillShade="E6"/>
            <w:hideMark/>
          </w:tcPr>
          <w:p w14:paraId="39FB2913" w14:textId="77777777" w:rsidR="00A078FD" w:rsidRPr="00126CD2" w:rsidRDefault="00B00100" w:rsidP="006C451F">
            <w:pPr>
              <w:widowControl/>
              <w:autoSpaceDE/>
              <w:autoSpaceDN/>
              <w:adjustRightInd/>
              <w:jc w:val="center"/>
              <w:rPr>
                <w:rFonts w:ascii="Times New Roman" w:eastAsia="Times New Roman" w:hAnsi="Times New Roman" w:cs="Times New Roman"/>
                <w:b/>
                <w:color w:val="auto"/>
                <w:sz w:val="20"/>
                <w:szCs w:val="20"/>
              </w:rPr>
            </w:pPr>
            <w:r w:rsidRPr="00126CD2">
              <w:rPr>
                <w:rFonts w:ascii="Calibri" w:eastAsia="Times New Roman" w:hAnsi="Calibri" w:cs="Calibri"/>
                <w:b/>
                <w:sz w:val="22"/>
                <w:szCs w:val="22"/>
              </w:rPr>
              <w:t>Country</w:t>
            </w:r>
          </w:p>
        </w:tc>
        <w:tc>
          <w:tcPr>
            <w:tcW w:w="1080" w:type="dxa"/>
            <w:shd w:val="clear" w:color="auto" w:fill="D0CECE" w:themeFill="background2" w:themeFillShade="E6"/>
            <w:noWrap/>
            <w:hideMark/>
          </w:tcPr>
          <w:p w14:paraId="736399D6" w14:textId="77777777" w:rsidR="00A078FD" w:rsidRPr="00126CD2" w:rsidRDefault="00B00100" w:rsidP="00D87E9B">
            <w:pPr>
              <w:widowControl/>
              <w:autoSpaceDE/>
              <w:autoSpaceDN/>
              <w:adjustRightInd/>
              <w:jc w:val="center"/>
              <w:rPr>
                <w:rFonts w:ascii="Calibri" w:eastAsia="Times New Roman" w:hAnsi="Calibri" w:cs="Calibri"/>
                <w:b/>
                <w:sz w:val="22"/>
                <w:szCs w:val="22"/>
              </w:rPr>
            </w:pPr>
            <w:r w:rsidRPr="00126CD2">
              <w:rPr>
                <w:rFonts w:ascii="Calibri" w:eastAsia="Times New Roman" w:hAnsi="Calibri" w:cs="Calibri"/>
                <w:b/>
                <w:sz w:val="22"/>
                <w:szCs w:val="22"/>
              </w:rPr>
              <w:t xml:space="preserve">Benin </w:t>
            </w:r>
            <w:r w:rsidRPr="00126CD2">
              <w:rPr>
                <w:rFonts w:ascii="Calibri" w:eastAsia="Times New Roman" w:hAnsi="Calibri" w:cs="Calibri"/>
                <w:sz w:val="18"/>
                <w:szCs w:val="18"/>
              </w:rPr>
              <w:t>(2015)</w:t>
            </w:r>
          </w:p>
        </w:tc>
        <w:tc>
          <w:tcPr>
            <w:tcW w:w="1350" w:type="dxa"/>
            <w:shd w:val="clear" w:color="auto" w:fill="D0CECE" w:themeFill="background2" w:themeFillShade="E6"/>
            <w:noWrap/>
            <w:hideMark/>
          </w:tcPr>
          <w:p w14:paraId="4F11A213" w14:textId="77777777" w:rsidR="00A078FD" w:rsidRPr="00126CD2" w:rsidRDefault="00B00100" w:rsidP="001118F8">
            <w:pPr>
              <w:widowControl/>
              <w:autoSpaceDE/>
              <w:autoSpaceDN/>
              <w:adjustRightInd/>
              <w:jc w:val="center"/>
              <w:rPr>
                <w:rFonts w:ascii="Calibri" w:eastAsia="Times New Roman" w:hAnsi="Calibri" w:cs="Calibri"/>
                <w:b/>
                <w:sz w:val="22"/>
                <w:szCs w:val="22"/>
              </w:rPr>
            </w:pPr>
            <w:r>
              <w:rPr>
                <w:rFonts w:ascii="Calibri" w:eastAsia="Times New Roman" w:hAnsi="Calibri" w:cs="Calibri"/>
                <w:b/>
                <w:sz w:val="22"/>
                <w:szCs w:val="22"/>
              </w:rPr>
              <w:t xml:space="preserve">The </w:t>
            </w:r>
            <w:r w:rsidRPr="00126CD2">
              <w:rPr>
                <w:rFonts w:ascii="Calibri" w:eastAsia="Times New Roman" w:hAnsi="Calibri" w:cs="Calibri"/>
                <w:b/>
                <w:sz w:val="22"/>
                <w:szCs w:val="22"/>
              </w:rPr>
              <w:t xml:space="preserve">Gambia </w:t>
            </w:r>
            <w:r w:rsidRPr="00126CD2">
              <w:rPr>
                <w:rFonts w:ascii="Calibri" w:eastAsia="Times New Roman" w:hAnsi="Calibri" w:cs="Calibri"/>
                <w:sz w:val="18"/>
                <w:szCs w:val="18"/>
              </w:rPr>
              <w:t>(2015)</w:t>
            </w:r>
          </w:p>
        </w:tc>
        <w:tc>
          <w:tcPr>
            <w:tcW w:w="810" w:type="dxa"/>
            <w:shd w:val="clear" w:color="auto" w:fill="D0CECE" w:themeFill="background2" w:themeFillShade="E6"/>
            <w:noWrap/>
            <w:hideMark/>
          </w:tcPr>
          <w:p w14:paraId="72838C24" w14:textId="77777777" w:rsidR="00A078FD" w:rsidRPr="00126CD2" w:rsidRDefault="00B00100" w:rsidP="001118F8">
            <w:pPr>
              <w:widowControl/>
              <w:autoSpaceDE/>
              <w:autoSpaceDN/>
              <w:adjustRightInd/>
              <w:jc w:val="center"/>
              <w:rPr>
                <w:rFonts w:ascii="Calibri" w:eastAsia="Times New Roman" w:hAnsi="Calibri" w:cs="Calibri"/>
                <w:b/>
                <w:sz w:val="22"/>
                <w:szCs w:val="22"/>
              </w:rPr>
            </w:pPr>
            <w:r w:rsidRPr="00126CD2">
              <w:rPr>
                <w:rFonts w:ascii="Calibri" w:eastAsia="Times New Roman" w:hAnsi="Calibri" w:cs="Calibri"/>
                <w:b/>
                <w:sz w:val="22"/>
                <w:szCs w:val="22"/>
              </w:rPr>
              <w:t>Niger</w:t>
            </w:r>
          </w:p>
          <w:p w14:paraId="3BA427BB" w14:textId="77777777" w:rsidR="00A078FD" w:rsidRPr="00126CD2" w:rsidRDefault="00B00100" w:rsidP="001118F8">
            <w:pPr>
              <w:widowControl/>
              <w:autoSpaceDE/>
              <w:autoSpaceDN/>
              <w:adjustRightInd/>
              <w:jc w:val="center"/>
              <w:rPr>
                <w:rFonts w:ascii="Calibri" w:eastAsia="Times New Roman" w:hAnsi="Calibri" w:cs="Calibri"/>
                <w:sz w:val="18"/>
                <w:szCs w:val="18"/>
              </w:rPr>
            </w:pPr>
            <w:r w:rsidRPr="00126CD2">
              <w:rPr>
                <w:rFonts w:ascii="Calibri" w:eastAsia="Times New Roman" w:hAnsi="Calibri" w:cs="Calibri"/>
                <w:sz w:val="18"/>
                <w:szCs w:val="18"/>
              </w:rPr>
              <w:t>(2016)</w:t>
            </w:r>
          </w:p>
        </w:tc>
        <w:tc>
          <w:tcPr>
            <w:tcW w:w="1141" w:type="dxa"/>
            <w:shd w:val="clear" w:color="auto" w:fill="D0CECE" w:themeFill="background2" w:themeFillShade="E6"/>
          </w:tcPr>
          <w:p w14:paraId="23950515" w14:textId="77777777" w:rsidR="000C4313" w:rsidRPr="00126CD2" w:rsidRDefault="00B00100">
            <w:pPr>
              <w:widowControl/>
              <w:autoSpaceDE/>
              <w:autoSpaceDN/>
              <w:adjustRightInd/>
              <w:jc w:val="center"/>
              <w:rPr>
                <w:rFonts w:ascii="Calibri" w:eastAsia="Times New Roman" w:hAnsi="Calibri" w:cs="Calibri"/>
                <w:b/>
                <w:sz w:val="22"/>
                <w:szCs w:val="22"/>
              </w:rPr>
            </w:pPr>
            <w:r w:rsidRPr="00126CD2">
              <w:rPr>
                <w:rFonts w:ascii="Calibri" w:eastAsia="Times New Roman" w:hAnsi="Calibri" w:cs="Calibri"/>
                <w:b/>
                <w:sz w:val="22"/>
                <w:szCs w:val="22"/>
              </w:rPr>
              <w:t>Niger</w:t>
            </w:r>
            <w:r>
              <w:rPr>
                <w:rFonts w:ascii="Calibri" w:eastAsia="Times New Roman" w:hAnsi="Calibri" w:cs="Calibri"/>
                <w:b/>
                <w:sz w:val="22"/>
                <w:szCs w:val="22"/>
              </w:rPr>
              <w:t>ia</w:t>
            </w:r>
          </w:p>
          <w:p w14:paraId="26F0A96F" w14:textId="77777777" w:rsidR="000C4313" w:rsidRPr="00126CD2" w:rsidRDefault="00B00100" w:rsidP="00E31D75">
            <w:pPr>
              <w:widowControl/>
              <w:autoSpaceDE/>
              <w:autoSpaceDN/>
              <w:adjustRightInd/>
              <w:jc w:val="center"/>
              <w:rPr>
                <w:rFonts w:ascii="Calibri" w:eastAsia="Times New Roman" w:hAnsi="Calibri" w:cs="Calibri"/>
                <w:b/>
                <w:sz w:val="22"/>
                <w:szCs w:val="22"/>
              </w:rPr>
            </w:pPr>
            <w:r w:rsidRPr="00126CD2">
              <w:rPr>
                <w:rFonts w:ascii="Calibri" w:eastAsia="Times New Roman" w:hAnsi="Calibri" w:cs="Calibri"/>
                <w:sz w:val="18"/>
                <w:szCs w:val="18"/>
              </w:rPr>
              <w:t>(201</w:t>
            </w:r>
            <w:r>
              <w:rPr>
                <w:rFonts w:ascii="Calibri" w:eastAsia="Times New Roman" w:hAnsi="Calibri" w:cs="Calibri"/>
                <w:sz w:val="18"/>
                <w:szCs w:val="18"/>
              </w:rPr>
              <w:t>7</w:t>
            </w:r>
            <w:r w:rsidRPr="00126CD2">
              <w:rPr>
                <w:rFonts w:ascii="Calibri" w:eastAsia="Times New Roman" w:hAnsi="Calibri" w:cs="Calibri"/>
                <w:sz w:val="18"/>
                <w:szCs w:val="18"/>
              </w:rPr>
              <w:t>)</w:t>
            </w:r>
          </w:p>
        </w:tc>
        <w:tc>
          <w:tcPr>
            <w:tcW w:w="1141" w:type="dxa"/>
            <w:shd w:val="clear" w:color="auto" w:fill="D0CECE" w:themeFill="background2" w:themeFillShade="E6"/>
            <w:noWrap/>
            <w:hideMark/>
          </w:tcPr>
          <w:p w14:paraId="79A0C0A4" w14:textId="77777777" w:rsidR="00A078FD" w:rsidRPr="00126CD2" w:rsidRDefault="00B00100" w:rsidP="00F463C2">
            <w:pPr>
              <w:widowControl/>
              <w:autoSpaceDE/>
              <w:autoSpaceDN/>
              <w:adjustRightInd/>
              <w:jc w:val="center"/>
              <w:rPr>
                <w:rFonts w:ascii="Calibri" w:eastAsia="Times New Roman" w:hAnsi="Calibri" w:cs="Calibri"/>
                <w:b/>
                <w:sz w:val="22"/>
                <w:szCs w:val="22"/>
              </w:rPr>
            </w:pPr>
            <w:r w:rsidRPr="00126CD2">
              <w:rPr>
                <w:rFonts w:ascii="Calibri" w:eastAsia="Times New Roman" w:hAnsi="Calibri" w:cs="Calibri"/>
                <w:b/>
                <w:sz w:val="22"/>
                <w:szCs w:val="22"/>
              </w:rPr>
              <w:t xml:space="preserve">Togo </w:t>
            </w:r>
          </w:p>
          <w:p w14:paraId="270B520F" w14:textId="77777777" w:rsidR="00A078FD" w:rsidRPr="002A239C" w:rsidRDefault="00B00100" w:rsidP="00F463C2">
            <w:pPr>
              <w:widowControl/>
              <w:autoSpaceDE/>
              <w:autoSpaceDN/>
              <w:adjustRightInd/>
              <w:jc w:val="center"/>
              <w:rPr>
                <w:rFonts w:ascii="Calibri" w:eastAsia="Times New Roman" w:hAnsi="Calibri" w:cs="Calibri"/>
                <w:sz w:val="22"/>
                <w:szCs w:val="22"/>
              </w:rPr>
            </w:pPr>
            <w:r w:rsidRPr="00126CD2">
              <w:rPr>
                <w:rFonts w:ascii="Calibri" w:eastAsia="Times New Roman" w:hAnsi="Calibri" w:cs="Calibri"/>
                <w:sz w:val="18"/>
                <w:szCs w:val="22"/>
              </w:rPr>
              <w:t>(2017)</w:t>
            </w:r>
          </w:p>
        </w:tc>
      </w:tr>
      <w:tr w:rsidR="000C3959" w14:paraId="43D715AB" w14:textId="77777777" w:rsidTr="007A081D">
        <w:trPr>
          <w:trHeight w:val="527"/>
          <w:jc w:val="center"/>
        </w:trPr>
        <w:tc>
          <w:tcPr>
            <w:tcW w:w="3685" w:type="dxa"/>
            <w:hideMark/>
          </w:tcPr>
          <w:p w14:paraId="5C78796B" w14:textId="77777777" w:rsidR="00A078FD" w:rsidRPr="001D606B" w:rsidRDefault="00B00100" w:rsidP="006C451F">
            <w:pPr>
              <w:widowControl/>
              <w:autoSpaceDE/>
              <w:autoSpaceDN/>
              <w:adjustRightInd/>
              <w:rPr>
                <w:rFonts w:ascii="Calibri" w:eastAsia="Times New Roman" w:hAnsi="Calibri" w:cs="Calibri"/>
                <w:sz w:val="22"/>
                <w:szCs w:val="22"/>
              </w:rPr>
            </w:pPr>
            <w:r w:rsidRPr="001D606B">
              <w:rPr>
                <w:rFonts w:ascii="Calibri" w:eastAsia="Times New Roman" w:hAnsi="Calibri" w:cs="Calibri"/>
                <w:sz w:val="22"/>
                <w:szCs w:val="22"/>
              </w:rPr>
              <w:t xml:space="preserve">Public expenditure on </w:t>
            </w:r>
            <w:r>
              <w:rPr>
                <w:rFonts w:ascii="Calibri" w:eastAsia="Times New Roman" w:hAnsi="Calibri" w:cs="Calibri"/>
                <w:sz w:val="22"/>
                <w:szCs w:val="22"/>
              </w:rPr>
              <w:t>h</w:t>
            </w:r>
            <w:r w:rsidRPr="001D606B">
              <w:rPr>
                <w:rFonts w:ascii="Calibri" w:eastAsia="Times New Roman" w:hAnsi="Calibri" w:cs="Calibri"/>
                <w:sz w:val="22"/>
                <w:szCs w:val="22"/>
              </w:rPr>
              <w:t>igher education in US</w:t>
            </w:r>
            <w:r>
              <w:rPr>
                <w:rFonts w:ascii="Calibri" w:eastAsia="Times New Roman" w:hAnsi="Calibri" w:cs="Calibri"/>
                <w:sz w:val="22"/>
                <w:szCs w:val="22"/>
              </w:rPr>
              <w:t>$</w:t>
            </w:r>
            <w:r w:rsidRPr="001D606B">
              <w:rPr>
                <w:rFonts w:ascii="Calibri" w:eastAsia="Times New Roman" w:hAnsi="Calibri" w:cs="Calibri"/>
                <w:sz w:val="22"/>
                <w:szCs w:val="22"/>
              </w:rPr>
              <w:t xml:space="preserve"> (millions)</w:t>
            </w:r>
          </w:p>
        </w:tc>
        <w:tc>
          <w:tcPr>
            <w:tcW w:w="1080" w:type="dxa"/>
            <w:noWrap/>
            <w:vAlign w:val="center"/>
            <w:hideMark/>
          </w:tcPr>
          <w:p w14:paraId="14D6E9FF" w14:textId="77777777" w:rsidR="00A078FD" w:rsidRPr="001D606B" w:rsidRDefault="00B00100" w:rsidP="00D87E9B">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78.50</w:t>
            </w:r>
          </w:p>
        </w:tc>
        <w:tc>
          <w:tcPr>
            <w:tcW w:w="1350" w:type="dxa"/>
            <w:noWrap/>
            <w:vAlign w:val="center"/>
            <w:hideMark/>
          </w:tcPr>
          <w:p w14:paraId="13DB933D"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3.30</w:t>
            </w:r>
          </w:p>
        </w:tc>
        <w:tc>
          <w:tcPr>
            <w:tcW w:w="810" w:type="dxa"/>
            <w:noWrap/>
            <w:vAlign w:val="center"/>
            <w:hideMark/>
          </w:tcPr>
          <w:p w14:paraId="69AC3618"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76.87</w:t>
            </w:r>
          </w:p>
        </w:tc>
        <w:tc>
          <w:tcPr>
            <w:tcW w:w="1141" w:type="dxa"/>
            <w:vAlign w:val="center"/>
          </w:tcPr>
          <w:p w14:paraId="0EA413A2" w14:textId="77777777" w:rsidR="00205DDB" w:rsidRPr="001D606B" w:rsidRDefault="00B00100" w:rsidP="001118F8">
            <w:pPr>
              <w:widowControl/>
              <w:autoSpaceDE/>
              <w:autoSpaceDN/>
              <w:adjustRightInd/>
              <w:jc w:val="center"/>
              <w:rPr>
                <w:rFonts w:ascii="Calibri" w:eastAsia="Times New Roman" w:hAnsi="Calibri" w:cs="Calibri"/>
                <w:sz w:val="22"/>
                <w:szCs w:val="22"/>
              </w:rPr>
            </w:pPr>
            <w:r>
              <w:rPr>
                <w:rFonts w:ascii="Calibri" w:hAnsi="Calibri"/>
                <w:sz w:val="22"/>
                <w:szCs w:val="22"/>
              </w:rPr>
              <w:t xml:space="preserve">1,580 </w:t>
            </w:r>
          </w:p>
        </w:tc>
        <w:tc>
          <w:tcPr>
            <w:tcW w:w="1141" w:type="dxa"/>
            <w:noWrap/>
            <w:vAlign w:val="center"/>
            <w:hideMark/>
          </w:tcPr>
          <w:p w14:paraId="4791EA52" w14:textId="77777777" w:rsidR="00A078FD" w:rsidRPr="001D606B" w:rsidRDefault="00B00100">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42.56</w:t>
            </w:r>
          </w:p>
        </w:tc>
      </w:tr>
      <w:tr w:rsidR="000C3959" w14:paraId="74A811FD" w14:textId="77777777" w:rsidTr="007A081D">
        <w:trPr>
          <w:trHeight w:val="527"/>
          <w:jc w:val="center"/>
        </w:trPr>
        <w:tc>
          <w:tcPr>
            <w:tcW w:w="3685" w:type="dxa"/>
            <w:hideMark/>
          </w:tcPr>
          <w:p w14:paraId="2D671EB5" w14:textId="0A415A77" w:rsidR="00A078FD" w:rsidRPr="001D606B" w:rsidRDefault="00B00100" w:rsidP="006C451F">
            <w:pPr>
              <w:widowControl/>
              <w:autoSpaceDE/>
              <w:autoSpaceDN/>
              <w:adjustRightInd/>
              <w:rPr>
                <w:rFonts w:ascii="Calibri" w:eastAsia="Times New Roman" w:hAnsi="Calibri" w:cs="Calibri"/>
                <w:sz w:val="22"/>
                <w:szCs w:val="22"/>
              </w:rPr>
            </w:pPr>
            <w:r w:rsidRPr="001D606B">
              <w:rPr>
                <w:rFonts w:ascii="Calibri" w:eastAsia="Times New Roman" w:hAnsi="Calibri" w:cs="Calibri"/>
                <w:sz w:val="22"/>
                <w:szCs w:val="22"/>
              </w:rPr>
              <w:t xml:space="preserve">Higher education </w:t>
            </w:r>
            <w:r w:rsidR="00065C30">
              <w:rPr>
                <w:rFonts w:ascii="Calibri" w:eastAsia="Times New Roman" w:hAnsi="Calibri" w:cs="Calibri"/>
                <w:sz w:val="22"/>
                <w:szCs w:val="22"/>
              </w:rPr>
              <w:t>expenditure</w:t>
            </w:r>
            <w:r w:rsidRPr="001D606B">
              <w:rPr>
                <w:rFonts w:ascii="Calibri" w:eastAsia="Times New Roman" w:hAnsi="Calibri" w:cs="Calibri"/>
                <w:sz w:val="22"/>
                <w:szCs w:val="22"/>
              </w:rPr>
              <w:t xml:space="preserve"> as share of public expenditure on education (%)</w:t>
            </w:r>
          </w:p>
        </w:tc>
        <w:tc>
          <w:tcPr>
            <w:tcW w:w="1080" w:type="dxa"/>
            <w:noWrap/>
            <w:vAlign w:val="center"/>
            <w:hideMark/>
          </w:tcPr>
          <w:p w14:paraId="6811DA92" w14:textId="77777777" w:rsidR="00A078FD" w:rsidRPr="001D606B" w:rsidRDefault="00B00100" w:rsidP="00D87E9B">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21.60</w:t>
            </w:r>
          </w:p>
        </w:tc>
        <w:tc>
          <w:tcPr>
            <w:tcW w:w="1350" w:type="dxa"/>
            <w:noWrap/>
            <w:vAlign w:val="center"/>
            <w:hideMark/>
          </w:tcPr>
          <w:p w14:paraId="0FFB048F"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12.49</w:t>
            </w:r>
          </w:p>
        </w:tc>
        <w:tc>
          <w:tcPr>
            <w:tcW w:w="810" w:type="dxa"/>
            <w:noWrap/>
            <w:vAlign w:val="center"/>
            <w:hideMark/>
          </w:tcPr>
          <w:p w14:paraId="2BEA9C8B"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19.00</w:t>
            </w:r>
          </w:p>
        </w:tc>
        <w:tc>
          <w:tcPr>
            <w:tcW w:w="1141" w:type="dxa"/>
            <w:vAlign w:val="center"/>
          </w:tcPr>
          <w:p w14:paraId="62845BFB" w14:textId="77777777" w:rsidR="00205DDB" w:rsidRPr="001D606B" w:rsidRDefault="00B00100" w:rsidP="001118F8">
            <w:pPr>
              <w:widowControl/>
              <w:autoSpaceDE/>
              <w:autoSpaceDN/>
              <w:adjustRightInd/>
              <w:jc w:val="center"/>
              <w:rPr>
                <w:rFonts w:ascii="Calibri" w:eastAsia="Times New Roman" w:hAnsi="Calibri" w:cs="Calibri"/>
                <w:sz w:val="22"/>
                <w:szCs w:val="22"/>
              </w:rPr>
            </w:pPr>
            <w:r>
              <w:rPr>
                <w:rFonts w:ascii="Calibri" w:hAnsi="Calibri"/>
                <w:sz w:val="22"/>
                <w:szCs w:val="22"/>
              </w:rPr>
              <w:t>-</w:t>
            </w:r>
          </w:p>
        </w:tc>
        <w:tc>
          <w:tcPr>
            <w:tcW w:w="1141" w:type="dxa"/>
            <w:noWrap/>
            <w:vAlign w:val="center"/>
            <w:hideMark/>
          </w:tcPr>
          <w:p w14:paraId="0AC9A413" w14:textId="77777777" w:rsidR="00A078FD" w:rsidRPr="001D606B" w:rsidRDefault="00B00100">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18.40</w:t>
            </w:r>
          </w:p>
        </w:tc>
      </w:tr>
      <w:tr w:rsidR="000C3959" w14:paraId="52E4704F" w14:textId="77777777" w:rsidTr="007A081D">
        <w:trPr>
          <w:trHeight w:val="527"/>
          <w:jc w:val="center"/>
        </w:trPr>
        <w:tc>
          <w:tcPr>
            <w:tcW w:w="3685" w:type="dxa"/>
            <w:hideMark/>
          </w:tcPr>
          <w:p w14:paraId="6EC713BD" w14:textId="0838305F" w:rsidR="00A078FD" w:rsidRPr="001D606B" w:rsidRDefault="00B00100" w:rsidP="006C451F">
            <w:pPr>
              <w:widowControl/>
              <w:autoSpaceDE/>
              <w:autoSpaceDN/>
              <w:adjustRightInd/>
              <w:rPr>
                <w:rFonts w:ascii="Calibri" w:eastAsia="Times New Roman" w:hAnsi="Calibri" w:cs="Calibri"/>
                <w:sz w:val="22"/>
                <w:szCs w:val="22"/>
              </w:rPr>
            </w:pPr>
            <w:r w:rsidRPr="001D606B">
              <w:rPr>
                <w:rFonts w:ascii="Calibri" w:eastAsia="Times New Roman" w:hAnsi="Calibri" w:cs="Calibri"/>
                <w:sz w:val="22"/>
                <w:szCs w:val="22"/>
              </w:rPr>
              <w:t xml:space="preserve">Higher education </w:t>
            </w:r>
            <w:r w:rsidR="00065C30">
              <w:rPr>
                <w:rFonts w:ascii="Calibri" w:eastAsia="Times New Roman" w:hAnsi="Calibri" w:cs="Calibri"/>
                <w:sz w:val="22"/>
                <w:szCs w:val="22"/>
              </w:rPr>
              <w:t>expenditure</w:t>
            </w:r>
            <w:r w:rsidR="00065C30" w:rsidRPr="001D606B">
              <w:rPr>
                <w:rFonts w:ascii="Calibri" w:eastAsia="Times New Roman" w:hAnsi="Calibri" w:cs="Calibri"/>
                <w:sz w:val="22"/>
                <w:szCs w:val="22"/>
              </w:rPr>
              <w:t xml:space="preserve"> </w:t>
            </w:r>
            <w:r w:rsidRPr="001D606B">
              <w:rPr>
                <w:rFonts w:ascii="Calibri" w:eastAsia="Times New Roman" w:hAnsi="Calibri" w:cs="Calibri"/>
                <w:sz w:val="22"/>
                <w:szCs w:val="22"/>
              </w:rPr>
              <w:t>as percentage of GDP (%)</w:t>
            </w:r>
          </w:p>
        </w:tc>
        <w:tc>
          <w:tcPr>
            <w:tcW w:w="1080" w:type="dxa"/>
            <w:noWrap/>
            <w:vAlign w:val="center"/>
            <w:hideMark/>
          </w:tcPr>
          <w:p w14:paraId="664D2B2D" w14:textId="77777777" w:rsidR="00A078FD" w:rsidRPr="001D606B" w:rsidRDefault="00B00100" w:rsidP="00D87E9B">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0.96</w:t>
            </w:r>
          </w:p>
        </w:tc>
        <w:tc>
          <w:tcPr>
            <w:tcW w:w="1350" w:type="dxa"/>
            <w:noWrap/>
            <w:vAlign w:val="center"/>
            <w:hideMark/>
          </w:tcPr>
          <w:p w14:paraId="397E3E61"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0.48</w:t>
            </w:r>
          </w:p>
        </w:tc>
        <w:tc>
          <w:tcPr>
            <w:tcW w:w="810" w:type="dxa"/>
            <w:noWrap/>
            <w:vAlign w:val="center"/>
            <w:hideMark/>
          </w:tcPr>
          <w:p w14:paraId="3B2BF1B2" w14:textId="77777777" w:rsidR="00A078FD" w:rsidRPr="001D606B" w:rsidRDefault="00B00100" w:rsidP="001118F8">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0.87</w:t>
            </w:r>
          </w:p>
        </w:tc>
        <w:tc>
          <w:tcPr>
            <w:tcW w:w="1141" w:type="dxa"/>
            <w:vAlign w:val="center"/>
          </w:tcPr>
          <w:p w14:paraId="1FE40711" w14:textId="77777777" w:rsidR="00205DDB" w:rsidRPr="001D606B" w:rsidRDefault="00B00100" w:rsidP="001118F8">
            <w:pPr>
              <w:widowControl/>
              <w:autoSpaceDE/>
              <w:autoSpaceDN/>
              <w:adjustRightInd/>
              <w:jc w:val="center"/>
              <w:rPr>
                <w:rFonts w:ascii="Calibri" w:eastAsia="Times New Roman" w:hAnsi="Calibri" w:cs="Calibri"/>
                <w:sz w:val="22"/>
                <w:szCs w:val="22"/>
              </w:rPr>
            </w:pPr>
            <w:r>
              <w:rPr>
                <w:rFonts w:ascii="Calibri" w:hAnsi="Calibri"/>
                <w:sz w:val="22"/>
                <w:szCs w:val="22"/>
              </w:rPr>
              <w:t>0.42</w:t>
            </w:r>
          </w:p>
        </w:tc>
        <w:tc>
          <w:tcPr>
            <w:tcW w:w="1141" w:type="dxa"/>
            <w:noWrap/>
            <w:vAlign w:val="center"/>
            <w:hideMark/>
          </w:tcPr>
          <w:p w14:paraId="09EFE302" w14:textId="77777777" w:rsidR="00A078FD" w:rsidRPr="001D606B" w:rsidRDefault="00B00100">
            <w:pPr>
              <w:widowControl/>
              <w:autoSpaceDE/>
              <w:autoSpaceDN/>
              <w:adjustRightInd/>
              <w:jc w:val="center"/>
              <w:rPr>
                <w:rFonts w:ascii="Calibri" w:eastAsia="Times New Roman" w:hAnsi="Calibri" w:cs="Calibri"/>
                <w:sz w:val="22"/>
                <w:szCs w:val="22"/>
              </w:rPr>
            </w:pPr>
            <w:r w:rsidRPr="001D606B">
              <w:rPr>
                <w:rFonts w:ascii="Calibri" w:eastAsia="Times New Roman" w:hAnsi="Calibri" w:cs="Calibri"/>
                <w:sz w:val="22"/>
                <w:szCs w:val="22"/>
              </w:rPr>
              <w:t>0.88</w:t>
            </w:r>
          </w:p>
        </w:tc>
      </w:tr>
    </w:tbl>
    <w:p w14:paraId="20B56376" w14:textId="77777777" w:rsidR="003F7AFD" w:rsidRPr="00F10BBD" w:rsidRDefault="00B00100" w:rsidP="008E2709">
      <w:pPr>
        <w:widowControl/>
        <w:autoSpaceDE/>
        <w:autoSpaceDN/>
        <w:adjustRightInd/>
        <w:jc w:val="both"/>
        <w:rPr>
          <w:rFonts w:asciiTheme="minorHAnsi" w:eastAsia="Calibri" w:hAnsiTheme="minorHAnsi" w:cstheme="minorHAnsi"/>
          <w:bCs/>
          <w:i/>
          <w:spacing w:val="-1"/>
          <w:sz w:val="18"/>
          <w:szCs w:val="18"/>
        </w:rPr>
      </w:pPr>
      <w:r w:rsidRPr="00F10BBD">
        <w:rPr>
          <w:rFonts w:asciiTheme="minorHAnsi" w:eastAsia="Calibri" w:hAnsiTheme="minorHAnsi" w:cstheme="minorHAnsi"/>
          <w:bCs/>
          <w:i/>
          <w:spacing w:val="-1"/>
          <w:sz w:val="18"/>
          <w:szCs w:val="18"/>
        </w:rPr>
        <w:t>Source</w:t>
      </w:r>
      <w:r w:rsidR="00146D6C" w:rsidRPr="00F10BBD">
        <w:rPr>
          <w:rFonts w:asciiTheme="minorHAnsi" w:eastAsia="Calibri" w:hAnsiTheme="minorHAnsi" w:cstheme="minorHAnsi"/>
          <w:bCs/>
          <w:i/>
          <w:spacing w:val="-1"/>
          <w:sz w:val="18"/>
          <w:szCs w:val="18"/>
        </w:rPr>
        <w:t>s</w:t>
      </w:r>
      <w:r w:rsidRPr="00F10BBD">
        <w:rPr>
          <w:rFonts w:asciiTheme="minorHAnsi" w:eastAsia="Calibri" w:hAnsiTheme="minorHAnsi" w:cstheme="minorHAnsi"/>
          <w:bCs/>
          <w:i/>
          <w:spacing w:val="-1"/>
          <w:sz w:val="18"/>
          <w:szCs w:val="18"/>
        </w:rPr>
        <w:t xml:space="preserve">: </w:t>
      </w:r>
      <w:r w:rsidR="00021D0D" w:rsidRPr="00F10BBD">
        <w:rPr>
          <w:rFonts w:asciiTheme="minorHAnsi" w:eastAsia="Calibri" w:hAnsiTheme="minorHAnsi" w:cstheme="minorHAnsi"/>
          <w:bCs/>
          <w:i/>
          <w:spacing w:val="-1"/>
          <w:sz w:val="18"/>
          <w:szCs w:val="18"/>
        </w:rPr>
        <w:t>The Gambia Education Sector Analysis</w:t>
      </w:r>
      <w:r w:rsidR="0065078A" w:rsidRPr="00F10BBD">
        <w:rPr>
          <w:rFonts w:asciiTheme="minorHAnsi" w:eastAsia="Calibri" w:hAnsiTheme="minorHAnsi" w:cstheme="minorHAnsi"/>
          <w:bCs/>
          <w:i/>
          <w:spacing w:val="-1"/>
          <w:sz w:val="18"/>
          <w:szCs w:val="18"/>
        </w:rPr>
        <w:t xml:space="preserve"> 2017</w:t>
      </w:r>
      <w:r w:rsidR="005F568F" w:rsidRPr="00F10BBD">
        <w:rPr>
          <w:rFonts w:asciiTheme="minorHAnsi" w:eastAsia="Calibri" w:hAnsiTheme="minorHAnsi" w:cstheme="minorHAnsi"/>
          <w:bCs/>
          <w:i/>
          <w:spacing w:val="-1"/>
          <w:sz w:val="18"/>
          <w:szCs w:val="18"/>
        </w:rPr>
        <w:t>;</w:t>
      </w:r>
      <w:r w:rsidR="009E5C5A" w:rsidRPr="00F10BBD">
        <w:rPr>
          <w:rFonts w:asciiTheme="minorHAnsi" w:eastAsia="Calibri" w:hAnsiTheme="minorHAnsi" w:cstheme="minorHAnsi"/>
          <w:bCs/>
          <w:i/>
          <w:spacing w:val="-1"/>
          <w:sz w:val="18"/>
          <w:szCs w:val="18"/>
        </w:rPr>
        <w:t xml:space="preserve"> </w:t>
      </w:r>
      <w:r w:rsidR="00A363FC" w:rsidRPr="00F10BBD">
        <w:rPr>
          <w:rFonts w:asciiTheme="minorHAnsi" w:eastAsia="Calibri" w:hAnsiTheme="minorHAnsi" w:cstheme="minorHAnsi"/>
          <w:bCs/>
          <w:i/>
          <w:spacing w:val="-1"/>
          <w:sz w:val="18"/>
          <w:szCs w:val="18"/>
        </w:rPr>
        <w:t>Benin Education Sector Analysis</w:t>
      </w:r>
      <w:r w:rsidR="001139BC" w:rsidRPr="00F10BBD">
        <w:rPr>
          <w:rFonts w:asciiTheme="minorHAnsi" w:eastAsia="Calibri" w:hAnsiTheme="minorHAnsi" w:cstheme="minorHAnsi"/>
          <w:bCs/>
          <w:i/>
          <w:spacing w:val="-1"/>
          <w:sz w:val="18"/>
          <w:szCs w:val="18"/>
        </w:rPr>
        <w:t xml:space="preserve"> </w:t>
      </w:r>
      <w:r w:rsidR="00A363FC" w:rsidRPr="00F10BBD">
        <w:rPr>
          <w:rFonts w:asciiTheme="minorHAnsi" w:eastAsia="Calibri" w:hAnsiTheme="minorHAnsi" w:cstheme="minorHAnsi"/>
          <w:bCs/>
          <w:i/>
          <w:spacing w:val="-1"/>
          <w:sz w:val="18"/>
          <w:szCs w:val="18"/>
        </w:rPr>
        <w:t>201</w:t>
      </w:r>
      <w:r w:rsidR="00DF5C98" w:rsidRPr="00F10BBD">
        <w:rPr>
          <w:rFonts w:asciiTheme="minorHAnsi" w:eastAsia="Calibri" w:hAnsiTheme="minorHAnsi" w:cstheme="minorHAnsi"/>
          <w:bCs/>
          <w:i/>
          <w:spacing w:val="-1"/>
          <w:sz w:val="18"/>
          <w:szCs w:val="18"/>
        </w:rPr>
        <w:t>8</w:t>
      </w:r>
      <w:r w:rsidR="005F568F" w:rsidRPr="00F10BBD">
        <w:rPr>
          <w:rFonts w:asciiTheme="minorHAnsi" w:eastAsia="Calibri" w:hAnsiTheme="minorHAnsi" w:cstheme="minorHAnsi"/>
          <w:bCs/>
          <w:i/>
          <w:spacing w:val="-1"/>
          <w:sz w:val="18"/>
          <w:szCs w:val="18"/>
        </w:rPr>
        <w:t>;</w:t>
      </w:r>
      <w:r w:rsidR="00DF5C98" w:rsidRPr="00F10BBD">
        <w:rPr>
          <w:rFonts w:asciiTheme="minorHAnsi" w:eastAsia="Calibri" w:hAnsiTheme="minorHAnsi" w:cstheme="minorHAnsi"/>
          <w:bCs/>
          <w:i/>
          <w:spacing w:val="-1"/>
          <w:sz w:val="18"/>
          <w:szCs w:val="18"/>
        </w:rPr>
        <w:t xml:space="preserve"> Togo Education Sector</w:t>
      </w:r>
      <w:r w:rsidRPr="00F10BBD">
        <w:rPr>
          <w:rFonts w:asciiTheme="minorHAnsi" w:eastAsia="Calibri" w:hAnsiTheme="minorHAnsi" w:cstheme="minorHAnsi"/>
          <w:bCs/>
          <w:i/>
          <w:spacing w:val="-1"/>
          <w:sz w:val="18"/>
          <w:szCs w:val="18"/>
        </w:rPr>
        <w:t xml:space="preserve"> </w:t>
      </w:r>
      <w:r w:rsidR="00DF5C98" w:rsidRPr="00F10BBD">
        <w:rPr>
          <w:rFonts w:asciiTheme="minorHAnsi" w:eastAsia="Calibri" w:hAnsiTheme="minorHAnsi" w:cstheme="minorHAnsi"/>
          <w:bCs/>
          <w:i/>
          <w:spacing w:val="-1"/>
          <w:sz w:val="18"/>
          <w:szCs w:val="18"/>
        </w:rPr>
        <w:t>Analysis 2019</w:t>
      </w:r>
      <w:r w:rsidR="005F568F" w:rsidRPr="00F10BBD">
        <w:rPr>
          <w:rFonts w:asciiTheme="minorHAnsi" w:eastAsia="Calibri" w:hAnsiTheme="minorHAnsi" w:cstheme="minorHAnsi"/>
          <w:bCs/>
          <w:i/>
          <w:spacing w:val="-1"/>
          <w:sz w:val="18"/>
          <w:szCs w:val="18"/>
        </w:rPr>
        <w:t>;</w:t>
      </w:r>
      <w:r w:rsidR="007A5EFA" w:rsidRPr="00F10BBD">
        <w:rPr>
          <w:rFonts w:asciiTheme="minorHAnsi" w:eastAsia="Calibri" w:hAnsiTheme="minorHAnsi" w:cstheme="minorHAnsi"/>
          <w:bCs/>
          <w:i/>
          <w:spacing w:val="-1"/>
          <w:sz w:val="18"/>
          <w:szCs w:val="18"/>
        </w:rPr>
        <w:t xml:space="preserve"> Niger Education Sector Analysis 2019; </w:t>
      </w:r>
      <w:r w:rsidR="00F26F50" w:rsidRPr="00F10BBD">
        <w:rPr>
          <w:rFonts w:asciiTheme="minorHAnsi" w:eastAsia="Calibri" w:hAnsiTheme="minorHAnsi" w:cstheme="minorHAnsi"/>
          <w:i/>
          <w:color w:val="auto"/>
          <w:sz w:val="18"/>
          <w:szCs w:val="18"/>
        </w:rPr>
        <w:t xml:space="preserve">UNESCO UIS </w:t>
      </w:r>
      <w:hyperlink r:id="rId25" w:history="1">
        <w:r w:rsidR="0063638D" w:rsidRPr="00F10BBD">
          <w:rPr>
            <w:rStyle w:val="Hyperlink"/>
            <w:rFonts w:asciiTheme="minorHAnsi" w:hAnsiTheme="minorHAnsi" w:cstheme="minorHAnsi"/>
            <w:sz w:val="18"/>
            <w:szCs w:val="18"/>
          </w:rPr>
          <w:t>http://data.uis.unesco.org/Index.aspx?DataSetCode=edulit_ds#</w:t>
        </w:r>
      </w:hyperlink>
      <w:r w:rsidR="0063638D" w:rsidRPr="00F10BBD">
        <w:rPr>
          <w:rFonts w:asciiTheme="minorHAnsi" w:eastAsia="Calibri" w:hAnsiTheme="minorHAnsi" w:cstheme="minorHAnsi"/>
          <w:i/>
          <w:color w:val="auto"/>
          <w:sz w:val="18"/>
          <w:szCs w:val="18"/>
        </w:rPr>
        <w:t xml:space="preserve"> </w:t>
      </w:r>
      <w:r w:rsidR="00B375E3" w:rsidRPr="00F10BBD">
        <w:rPr>
          <w:rFonts w:asciiTheme="minorHAnsi" w:eastAsia="Calibri" w:hAnsiTheme="minorHAnsi" w:cstheme="minorHAnsi"/>
          <w:i/>
          <w:color w:val="auto"/>
          <w:sz w:val="18"/>
          <w:szCs w:val="18"/>
        </w:rPr>
        <w:t>retri</w:t>
      </w:r>
      <w:r w:rsidR="009C75F7" w:rsidRPr="00F10BBD">
        <w:rPr>
          <w:rFonts w:asciiTheme="minorHAnsi" w:eastAsia="Calibri" w:hAnsiTheme="minorHAnsi" w:cstheme="minorHAnsi"/>
          <w:i/>
          <w:color w:val="auto"/>
          <w:sz w:val="18"/>
          <w:szCs w:val="18"/>
        </w:rPr>
        <w:t>e</w:t>
      </w:r>
      <w:r w:rsidR="00B375E3" w:rsidRPr="00F10BBD">
        <w:rPr>
          <w:rFonts w:asciiTheme="minorHAnsi" w:eastAsia="Calibri" w:hAnsiTheme="minorHAnsi" w:cstheme="minorHAnsi"/>
          <w:i/>
          <w:color w:val="auto"/>
          <w:sz w:val="18"/>
          <w:szCs w:val="18"/>
        </w:rPr>
        <w:t>ved</w:t>
      </w:r>
      <w:r w:rsidR="009C75F7" w:rsidRPr="00F10BBD">
        <w:rPr>
          <w:rFonts w:asciiTheme="minorHAnsi" w:eastAsia="Calibri" w:hAnsiTheme="minorHAnsi" w:cstheme="minorHAnsi"/>
          <w:i/>
          <w:color w:val="auto"/>
          <w:sz w:val="18"/>
          <w:szCs w:val="18"/>
        </w:rPr>
        <w:t xml:space="preserve"> </w:t>
      </w:r>
      <w:r w:rsidR="007B0121" w:rsidRPr="00F10BBD">
        <w:rPr>
          <w:rFonts w:asciiTheme="minorHAnsi" w:eastAsia="Calibri" w:hAnsiTheme="minorHAnsi" w:cstheme="minorHAnsi"/>
          <w:i/>
          <w:color w:val="auto"/>
          <w:sz w:val="18"/>
          <w:szCs w:val="18"/>
        </w:rPr>
        <w:t xml:space="preserve">on </w:t>
      </w:r>
      <w:r w:rsidR="00102670" w:rsidRPr="00F10BBD">
        <w:rPr>
          <w:rFonts w:asciiTheme="minorHAnsi" w:eastAsia="Calibri" w:hAnsiTheme="minorHAnsi" w:cstheme="minorHAnsi"/>
          <w:i/>
          <w:color w:val="auto"/>
          <w:sz w:val="18"/>
          <w:szCs w:val="18"/>
        </w:rPr>
        <w:t>August</w:t>
      </w:r>
      <w:r w:rsidR="007B0121" w:rsidRPr="00F10BBD">
        <w:rPr>
          <w:rFonts w:asciiTheme="minorHAnsi" w:eastAsia="Calibri" w:hAnsiTheme="minorHAnsi" w:cstheme="minorHAnsi"/>
          <w:i/>
          <w:color w:val="auto"/>
          <w:sz w:val="18"/>
          <w:szCs w:val="18"/>
        </w:rPr>
        <w:t xml:space="preserve"> 2019</w:t>
      </w:r>
      <w:r w:rsidR="00895B21">
        <w:rPr>
          <w:rFonts w:asciiTheme="minorHAnsi" w:eastAsia="Calibri" w:hAnsiTheme="minorHAnsi" w:cstheme="minorHAnsi"/>
          <w:i/>
          <w:color w:val="auto"/>
          <w:sz w:val="18"/>
          <w:szCs w:val="18"/>
        </w:rPr>
        <w:t xml:space="preserve">; Nigeria 2017 Federal Government Education Budget </w:t>
      </w:r>
      <w:r w:rsidR="00102670" w:rsidRPr="00F10BBD">
        <w:rPr>
          <w:rFonts w:asciiTheme="minorHAnsi" w:eastAsia="Calibri" w:hAnsiTheme="minorHAnsi" w:cstheme="minorHAnsi"/>
          <w:i/>
          <w:color w:val="auto"/>
          <w:sz w:val="18"/>
          <w:szCs w:val="18"/>
        </w:rPr>
        <w:t>.</w:t>
      </w:r>
    </w:p>
    <w:p w14:paraId="69B57AC2" w14:textId="77777777" w:rsidR="00BC74FD" w:rsidRPr="009C75F7" w:rsidRDefault="00B00100" w:rsidP="008E2709">
      <w:pPr>
        <w:widowControl/>
        <w:autoSpaceDE/>
        <w:autoSpaceDN/>
        <w:adjustRightInd/>
        <w:jc w:val="both"/>
        <w:rPr>
          <w:rFonts w:ascii="Calibri" w:eastAsia="Calibri" w:hAnsi="Calibri" w:cs="Calibri"/>
          <w:bCs/>
          <w:spacing w:val="-1"/>
          <w:sz w:val="20"/>
          <w:szCs w:val="22"/>
        </w:rPr>
      </w:pPr>
      <w:r w:rsidRPr="009C75F7">
        <w:rPr>
          <w:rFonts w:ascii="Calibri" w:eastAsia="Calibri" w:hAnsi="Calibri" w:cs="Calibri"/>
          <w:bCs/>
          <w:spacing w:val="-1"/>
          <w:sz w:val="20"/>
          <w:szCs w:val="22"/>
        </w:rPr>
        <w:tab/>
      </w:r>
    </w:p>
    <w:p w14:paraId="72335CF5"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bCs/>
          <w:spacing w:val="-1"/>
          <w:sz w:val="22"/>
          <w:szCs w:val="22"/>
        </w:rPr>
        <w:t>As a result of these challenges facing the higher education sector in SSA, programs offered at the postgraduate level are generally not responsive to the region’s needs for skills, training and knowledge</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spacing w:val="-1"/>
          <w:sz w:val="22"/>
          <w:szCs w:val="22"/>
        </w:rPr>
        <w:t>Limited provision of</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high quality and market-relevant academic programs</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and the small number of graduates with skills critical for</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the priority sectors consequently lead to many students from the region seeking postgraduate degrees to make the decision to obtain them outside of SSA</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Available data indicate that in 2016, of the almost 200,000 higher education students from West and Central Africa studying outside their countries, fewer than 20 percent were studying in SSA. For example, out of the 23,000 Cameroonians pursuing their studies abroad, only 8 percent are doing so in SSA. Similarly, in 2016, 50,000 of Nigeria’s 65,000 outbound students were pursuing their studies outside of SSA</w:t>
      </w:r>
      <w:r>
        <w:rPr>
          <w:rStyle w:val="FootnoteReference"/>
          <w:rFonts w:ascii="Calibri" w:eastAsia="Calibri" w:hAnsi="Calibri" w:cs="Calibri"/>
          <w:spacing w:val="-1"/>
          <w:sz w:val="22"/>
          <w:szCs w:val="22"/>
        </w:rPr>
        <w:footnoteReference w:id="8"/>
      </w:r>
      <w:r w:rsidRPr="002E1A3F">
        <w:rPr>
          <w:rFonts w:ascii="Calibri" w:eastAsia="Calibri" w:hAnsi="Calibri" w:cs="Calibri"/>
          <w:spacing w:val="-1"/>
          <w:sz w:val="22"/>
          <w:szCs w:val="22"/>
        </w:rPr>
        <w:t xml:space="preserve">. </w:t>
      </w:r>
    </w:p>
    <w:p w14:paraId="37822634"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u w:val="single"/>
        </w:rPr>
      </w:pPr>
      <w:r w:rsidRPr="002E1A3F">
        <w:rPr>
          <w:rFonts w:ascii="Calibri" w:eastAsia="Calibri" w:hAnsi="Calibri" w:cs="Calibri"/>
          <w:b/>
          <w:spacing w:val="-1"/>
          <w:sz w:val="22"/>
          <w:szCs w:val="22"/>
        </w:rPr>
        <w:t xml:space="preserve">While the tuition and living costs of these outbound students is expensive for the region, the loss of talent has even more significant implications. </w:t>
      </w:r>
      <w:r w:rsidRPr="002E1A3F">
        <w:rPr>
          <w:rFonts w:ascii="Calibri" w:eastAsia="Calibri" w:hAnsi="Calibri" w:cs="Calibri"/>
          <w:spacing w:val="-1"/>
          <w:sz w:val="22"/>
          <w:szCs w:val="22"/>
        </w:rPr>
        <w:t xml:space="preserve">It costs the region an estimated US$3.6 billion per year to cover the costs of these students pursuing their studies abroad. When these students do not return to the region but choose to work abroad upon graduation, the region suffers a further talent deficit. Without a timely expansion of quality postgraduate programs, the future quality and relevance of higher education in the region will be undermined. The student population in higher education institutions in West and Central Africa is expected to double every ten years over the next 30 years which will increase the </w:t>
      </w:r>
      <w:r w:rsidR="003455A3">
        <w:rPr>
          <w:rFonts w:ascii="Calibri" w:eastAsia="Calibri" w:hAnsi="Calibri" w:cs="Calibri"/>
          <w:spacing w:val="-1"/>
          <w:sz w:val="22"/>
          <w:szCs w:val="22"/>
        </w:rPr>
        <w:t>pressure</w:t>
      </w:r>
      <w:r w:rsidR="003455A3" w:rsidRPr="002E1A3F">
        <w:rPr>
          <w:rFonts w:ascii="Calibri" w:eastAsia="Calibri" w:hAnsi="Calibri" w:cs="Calibri"/>
          <w:spacing w:val="-1"/>
          <w:sz w:val="22"/>
          <w:szCs w:val="22"/>
        </w:rPr>
        <w:t xml:space="preserve"> </w:t>
      </w:r>
      <w:r w:rsidRPr="002E1A3F">
        <w:rPr>
          <w:rFonts w:ascii="Calibri" w:eastAsia="Calibri" w:hAnsi="Calibri" w:cs="Calibri"/>
          <w:spacing w:val="-1"/>
          <w:sz w:val="22"/>
          <w:szCs w:val="22"/>
        </w:rPr>
        <w:t>on these institutions</w:t>
      </w:r>
      <w:r w:rsidR="00FF33E4">
        <w:rPr>
          <w:rFonts w:ascii="Calibri" w:eastAsia="Calibri" w:hAnsi="Calibri" w:cs="Calibri"/>
          <w:spacing w:val="-1"/>
          <w:sz w:val="22"/>
          <w:szCs w:val="22"/>
        </w:rPr>
        <w:t xml:space="preserve"> to accommodate them</w:t>
      </w:r>
      <w:r w:rsidRPr="002E1A3F">
        <w:rPr>
          <w:rFonts w:ascii="Calibri" w:eastAsia="Calibri" w:hAnsi="Calibri" w:cs="Calibri"/>
          <w:spacing w:val="-1"/>
          <w:sz w:val="22"/>
          <w:szCs w:val="22"/>
        </w:rPr>
        <w:t xml:space="preserve"> and </w:t>
      </w:r>
      <w:r w:rsidR="00F55815">
        <w:rPr>
          <w:rFonts w:ascii="Calibri" w:eastAsia="Calibri" w:hAnsi="Calibri" w:cs="Calibri"/>
          <w:spacing w:val="-1"/>
          <w:sz w:val="22"/>
          <w:szCs w:val="22"/>
        </w:rPr>
        <w:t>could</w:t>
      </w:r>
      <w:r w:rsidR="00F55815" w:rsidRPr="002E1A3F">
        <w:rPr>
          <w:rFonts w:ascii="Calibri" w:eastAsia="Calibri" w:hAnsi="Calibri" w:cs="Calibri"/>
          <w:spacing w:val="-1"/>
          <w:sz w:val="22"/>
          <w:szCs w:val="22"/>
        </w:rPr>
        <w:t xml:space="preserve"> </w:t>
      </w:r>
      <w:r w:rsidRPr="002E1A3F">
        <w:rPr>
          <w:rFonts w:ascii="Calibri" w:eastAsia="Calibri" w:hAnsi="Calibri" w:cs="Calibri"/>
          <w:spacing w:val="-1"/>
          <w:sz w:val="22"/>
          <w:szCs w:val="22"/>
        </w:rPr>
        <w:t>negatively impact quality and relevance.</w:t>
      </w:r>
    </w:p>
    <w:p w14:paraId="52E67FA1" w14:textId="77777777" w:rsidR="009C1D48"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E1A3F">
        <w:rPr>
          <w:rFonts w:ascii="Calibri" w:eastAsia="Calibri" w:hAnsi="Calibri" w:cs="Calibri"/>
          <w:b/>
          <w:bCs/>
          <w:spacing w:val="-1"/>
          <w:sz w:val="22"/>
          <w:szCs w:val="22"/>
        </w:rPr>
        <w:t>Addressing the challenges in the higher education sector</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b/>
          <w:bCs/>
          <w:spacing w:val="-1"/>
          <w:sz w:val="22"/>
          <w:szCs w:val="22"/>
        </w:rPr>
        <w:t>will require interventions at the national and regional levels</w:t>
      </w:r>
      <w:r w:rsidRPr="002E1A3F">
        <w:rPr>
          <w:rFonts w:ascii="Calibri" w:eastAsia="Calibri,Times New Roman" w:hAnsi="Calibri" w:cs="Calibri"/>
          <w:b/>
          <w:bCs/>
          <w:spacing w:val="-1"/>
          <w:sz w:val="22"/>
          <w:szCs w:val="22"/>
        </w:rPr>
        <w:t xml:space="preserve">. </w:t>
      </w:r>
      <w:r w:rsidRPr="002E1A3F">
        <w:rPr>
          <w:rFonts w:ascii="Calibri" w:eastAsia="Calibri,Times New Roman" w:hAnsi="Calibri" w:cs="Calibri"/>
          <w:bCs/>
          <w:spacing w:val="-1"/>
          <w:sz w:val="22"/>
          <w:szCs w:val="22"/>
        </w:rPr>
        <w:t>A number of</w:t>
      </w:r>
      <w:r w:rsidRPr="002E1A3F">
        <w:rPr>
          <w:rFonts w:ascii="Calibri" w:eastAsia="Calibri,Times New Roman" w:hAnsi="Calibri" w:cs="Calibri"/>
          <w:b/>
          <w:bCs/>
          <w:spacing w:val="-1"/>
          <w:sz w:val="22"/>
          <w:szCs w:val="22"/>
        </w:rPr>
        <w:t xml:space="preserve"> </w:t>
      </w:r>
      <w:r w:rsidRPr="002E1A3F">
        <w:rPr>
          <w:rFonts w:ascii="Calibri" w:eastAsia="Calibri" w:hAnsi="Calibri" w:cs="Calibri"/>
          <w:spacing w:val="-1"/>
          <w:sz w:val="22"/>
          <w:szCs w:val="22"/>
        </w:rPr>
        <w:t>efforts have been undertaken or are currently underway. At the national level, the World Bank is supporting national higher education programs in several SSA countries. For example,</w:t>
      </w:r>
      <w:r w:rsidRPr="002E1A3F">
        <w:rPr>
          <w:rFonts w:ascii="Calibri" w:eastAsia="Calibri,Times New Roman" w:hAnsi="Calibri" w:cs="Calibri"/>
          <w:spacing w:val="-1"/>
          <w:sz w:val="22"/>
          <w:szCs w:val="22"/>
        </w:rPr>
        <w:t xml:space="preserve"> in West Africa,</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 xml:space="preserve">there are currently International Development Association (IDA)-funded higher education projects in Mali (P151318), Burkina Faso (P164293) and Côte d’Ivoire (P160642). These projects aim to </w:t>
      </w:r>
      <w:r w:rsidRPr="002E1A3F">
        <w:rPr>
          <w:rFonts w:ascii="Calibri" w:eastAsia="Calibri" w:hAnsi="Calibri" w:cs="Calibri"/>
          <w:sz w:val="22"/>
          <w:szCs w:val="22"/>
        </w:rPr>
        <w:t>address key challenges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related to employability, access and equity, and the quality of higher education</w:t>
      </w:r>
      <w:r w:rsidR="00237457">
        <w:rPr>
          <w:rFonts w:ascii="Calibri" w:eastAsia="Calibri" w:hAnsi="Calibri" w:cs="Calibri"/>
          <w:sz w:val="22"/>
          <w:szCs w:val="22"/>
        </w:rPr>
        <w:t xml:space="preserve"> </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with a focus on the undergraduate level and government capacity for accreditation </w:t>
      </w:r>
      <w:r w:rsidRPr="002E1A3F">
        <w:rPr>
          <w:rFonts w:ascii="Calibri" w:eastAsia="Calibri" w:hAnsi="Calibri" w:cs="Calibri"/>
          <w:sz w:val="22"/>
          <w:szCs w:val="22"/>
        </w:rPr>
        <w:lastRenderedPageBreak/>
        <w:t xml:space="preserve">and financing. At the regional level, </w:t>
      </w:r>
      <w:r w:rsidRPr="002E1A3F">
        <w:rPr>
          <w:rFonts w:ascii="Calibri" w:eastAsia="Calibri" w:hAnsi="Calibri" w:cs="Calibri"/>
          <w:spacing w:val="-1"/>
          <w:sz w:val="22"/>
          <w:szCs w:val="22"/>
        </w:rPr>
        <w:t>the World Bank launched its first regional higher education intervention in SSA through a series of ACE Projects</w:t>
      </w:r>
      <w:r w:rsidRPr="002E1A3F">
        <w:rPr>
          <w:rFonts w:ascii="Calibri" w:eastAsia="Calibri,Times New Roman" w:hAnsi="Calibri" w:cs="Calibri"/>
          <w:spacing w:val="-1"/>
          <w:sz w:val="22"/>
          <w:szCs w:val="22"/>
        </w:rPr>
        <w:t>.</w:t>
      </w:r>
      <w:r w:rsidRPr="002E1A3F">
        <w:rPr>
          <w:rFonts w:ascii="Calibri" w:eastAsia="Calibri,Times New Roman" w:hAnsi="Calibri" w:cs="Calibri"/>
          <w:b/>
          <w:bCs/>
          <w:spacing w:val="-1"/>
          <w:sz w:val="22"/>
          <w:szCs w:val="22"/>
        </w:rPr>
        <w:t xml:space="preserve"> </w:t>
      </w:r>
    </w:p>
    <w:p w14:paraId="170074D5" w14:textId="08B2EACD" w:rsidR="002E1A3F" w:rsidRPr="002E1A3F" w:rsidRDefault="00B00100" w:rsidP="006C70A5">
      <w:pPr>
        <w:widowControl/>
        <w:tabs>
          <w:tab w:val="left" w:pos="0"/>
          <w:tab w:val="left" w:pos="720"/>
        </w:tabs>
        <w:autoSpaceDE/>
        <w:autoSpaceDN/>
        <w:adjustRightInd/>
        <w:spacing w:after="240"/>
        <w:jc w:val="both"/>
        <w:rPr>
          <w:rFonts w:ascii="Calibri" w:eastAsia="Calibri" w:hAnsi="Calibri" w:cs="Calibri"/>
          <w:spacing w:val="-1"/>
          <w:sz w:val="22"/>
          <w:szCs w:val="22"/>
        </w:rPr>
      </w:pPr>
      <w:r w:rsidRPr="002E1A3F">
        <w:rPr>
          <w:rFonts w:ascii="Calibri" w:eastAsia="Calibri,Times New Roman" w:hAnsi="Calibri" w:cs="Calibri"/>
          <w:bCs/>
          <w:spacing w:val="-1"/>
          <w:sz w:val="22"/>
          <w:szCs w:val="22"/>
        </w:rPr>
        <w:t xml:space="preserve">The </w:t>
      </w:r>
      <w:r w:rsidR="00BB4A89">
        <w:rPr>
          <w:rFonts w:ascii="Calibri" w:eastAsia="Calibri" w:hAnsi="Calibri" w:cs="Calibri"/>
          <w:spacing w:val="-1"/>
          <w:sz w:val="22"/>
          <w:szCs w:val="22"/>
        </w:rPr>
        <w:t>ACE I Project</w:t>
      </w:r>
      <w:r w:rsidRPr="002E1A3F">
        <w:rPr>
          <w:rFonts w:ascii="Calibri" w:eastAsia="Calibri" w:hAnsi="Calibri" w:cs="Calibri"/>
          <w:spacing w:val="-1"/>
          <w:sz w:val="22"/>
          <w:szCs w:val="22"/>
        </w:rPr>
        <w:t xml:space="preserve"> </w:t>
      </w:r>
      <w:r w:rsidR="00C7099D">
        <w:rPr>
          <w:rFonts w:ascii="Calibri" w:eastAsia="Calibri" w:hAnsi="Calibri" w:cs="Calibri"/>
          <w:spacing w:val="-1"/>
          <w:sz w:val="22"/>
          <w:szCs w:val="22"/>
        </w:rPr>
        <w:t xml:space="preserve">which </w:t>
      </w:r>
      <w:r w:rsidRPr="002E1A3F">
        <w:rPr>
          <w:rFonts w:ascii="Calibri" w:eastAsia="Calibri" w:hAnsi="Calibri" w:cs="Calibri"/>
          <w:spacing w:val="-1"/>
          <w:sz w:val="22"/>
          <w:szCs w:val="22"/>
        </w:rPr>
        <w:t xml:space="preserve">was launched in 2014 in West and Central Africa, with </w:t>
      </w:r>
      <w:r w:rsidR="00C7099D">
        <w:rPr>
          <w:rFonts w:ascii="Calibri" w:eastAsia="Calibri" w:hAnsi="Calibri" w:cs="Calibri"/>
          <w:spacing w:val="-1"/>
          <w:sz w:val="22"/>
          <w:szCs w:val="22"/>
        </w:rPr>
        <w:t xml:space="preserve">an </w:t>
      </w:r>
      <w:r w:rsidRPr="002E1A3F">
        <w:rPr>
          <w:rFonts w:ascii="Calibri" w:eastAsia="Calibri" w:hAnsi="Calibri" w:cs="Calibri"/>
          <w:spacing w:val="-1"/>
          <w:sz w:val="22"/>
          <w:szCs w:val="22"/>
        </w:rPr>
        <w:t xml:space="preserve">additional financing </w:t>
      </w:r>
      <w:r w:rsidR="00C7099D">
        <w:rPr>
          <w:rFonts w:ascii="Calibri" w:eastAsia="Calibri" w:hAnsi="Calibri" w:cs="Calibri"/>
          <w:spacing w:val="-1"/>
          <w:sz w:val="22"/>
          <w:szCs w:val="22"/>
        </w:rPr>
        <w:t xml:space="preserve">(AF) </w:t>
      </w:r>
      <w:r w:rsidRPr="002E1A3F">
        <w:rPr>
          <w:rFonts w:ascii="Calibri" w:eastAsia="Calibri" w:hAnsi="Calibri" w:cs="Calibri"/>
          <w:spacing w:val="-1"/>
          <w:sz w:val="22"/>
          <w:szCs w:val="22"/>
        </w:rPr>
        <w:t>(P153111) in 2016 for Côte d’Ivoire</w:t>
      </w:r>
      <w:r w:rsidR="00C7099D">
        <w:rPr>
          <w:rFonts w:ascii="Calibri" w:eastAsia="Calibri" w:hAnsi="Calibri" w:cs="Calibri"/>
          <w:spacing w:val="-1"/>
          <w:sz w:val="22"/>
          <w:szCs w:val="22"/>
        </w:rPr>
        <w:t>,</w:t>
      </w:r>
      <w:r w:rsidRPr="002E1A3F">
        <w:rPr>
          <w:rFonts w:ascii="Calibri" w:eastAsia="Calibri" w:hAnsi="Calibri" w:cs="Calibri"/>
          <w:spacing w:val="-1"/>
          <w:sz w:val="22"/>
          <w:szCs w:val="22"/>
        </w:rPr>
        <w:t xml:space="preserve"> supports</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22 centers in total. This was followed by the ACE II project (second phase - P151847</w:t>
      </w:r>
      <w:r w:rsidRPr="00B81291">
        <w:rPr>
          <w:rFonts w:asciiTheme="minorHAnsi" w:eastAsia="Calibri,Times New Roman" w:hAnsiTheme="minorHAnsi" w:cstheme="minorHAnsi"/>
          <w:spacing w:val="-1"/>
          <w:sz w:val="22"/>
          <w:szCs w:val="22"/>
        </w:rPr>
        <w:t>)</w:t>
      </w:r>
      <w:r w:rsidR="00811229">
        <w:rPr>
          <w:rFonts w:asciiTheme="minorHAnsi" w:eastAsia="Calibri,Times New Roman" w:hAnsiTheme="minorHAnsi" w:cstheme="minorHAnsi"/>
          <w:spacing w:val="-1"/>
          <w:sz w:val="22"/>
          <w:szCs w:val="22"/>
        </w:rPr>
        <w:t>,</w:t>
      </w:r>
      <w:r w:rsidRPr="00B81291">
        <w:rPr>
          <w:rFonts w:asciiTheme="minorHAnsi" w:eastAsia="Calibri,Times New Roman" w:hAnsiTheme="minorHAnsi" w:cstheme="minorHAnsi"/>
          <w:spacing w:val="-1"/>
          <w:sz w:val="22"/>
          <w:szCs w:val="22"/>
        </w:rPr>
        <w:t xml:space="preserve"> </w:t>
      </w:r>
      <w:r w:rsidR="00237457" w:rsidRPr="00B81291">
        <w:rPr>
          <w:rFonts w:asciiTheme="minorHAnsi" w:eastAsia="Calibri,Times New Roman" w:hAnsiTheme="minorHAnsi" w:cstheme="minorHAnsi"/>
          <w:spacing w:val="-1"/>
          <w:sz w:val="22"/>
          <w:szCs w:val="22"/>
        </w:rPr>
        <w:t xml:space="preserve">which </w:t>
      </w:r>
      <w:r w:rsidRPr="00B81291">
        <w:rPr>
          <w:rFonts w:asciiTheme="minorHAnsi" w:eastAsia="Calibri" w:hAnsiTheme="minorHAnsi" w:cstheme="minorHAnsi"/>
          <w:spacing w:val="-1"/>
          <w:sz w:val="22"/>
          <w:szCs w:val="22"/>
        </w:rPr>
        <w:t>was launched</w:t>
      </w:r>
      <w:r w:rsidRPr="002E1A3F">
        <w:rPr>
          <w:rFonts w:ascii="Calibri" w:eastAsia="Calibri" w:hAnsi="Calibri" w:cs="Calibri"/>
          <w:spacing w:val="-1"/>
          <w:sz w:val="22"/>
          <w:szCs w:val="22"/>
        </w:rPr>
        <w:t xml:space="preserve"> in 2016 in East and Southern Africa and</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 xml:space="preserve">supports 24 centers. </w:t>
      </w:r>
    </w:p>
    <w:p w14:paraId="078EBDF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E1A3F">
        <w:rPr>
          <w:rFonts w:ascii="Calibri" w:eastAsia="Calibri" w:hAnsi="Calibri" w:cs="Calibri"/>
          <w:b/>
          <w:spacing w:val="-1"/>
          <w:sz w:val="22"/>
          <w:szCs w:val="22"/>
        </w:rPr>
        <w:t xml:space="preserve">The Africa Higher Education Centers of Excellence for Development Impact (ACE Impact) </w:t>
      </w:r>
      <w:r w:rsidR="00811229">
        <w:rPr>
          <w:rFonts w:ascii="Calibri" w:eastAsia="Calibri" w:hAnsi="Calibri" w:cs="Calibri"/>
          <w:b/>
          <w:spacing w:val="-1"/>
          <w:sz w:val="22"/>
          <w:szCs w:val="22"/>
        </w:rPr>
        <w:t>p</w:t>
      </w:r>
      <w:r w:rsidRPr="002E1A3F">
        <w:rPr>
          <w:rFonts w:ascii="Calibri" w:eastAsia="Calibri" w:hAnsi="Calibri" w:cs="Calibri"/>
          <w:b/>
          <w:spacing w:val="-1"/>
          <w:sz w:val="22"/>
          <w:szCs w:val="22"/>
        </w:rPr>
        <w:t>rojects target West and Central African countries (including Djibouti) and consist of two projects</w:t>
      </w:r>
      <w:r w:rsidR="002E0382">
        <w:rPr>
          <w:rFonts w:ascii="Calibri" w:eastAsia="Calibri" w:hAnsi="Calibri" w:cs="Calibri"/>
          <w:b/>
          <w:spacing w:val="-1"/>
          <w:sz w:val="22"/>
          <w:szCs w:val="22"/>
        </w:rPr>
        <w:t xml:space="preserve">. </w:t>
      </w:r>
      <w:r w:rsidR="00317630">
        <w:rPr>
          <w:rFonts w:ascii="Calibri" w:eastAsia="Calibri" w:hAnsi="Calibri" w:cs="Calibri"/>
          <w:spacing w:val="-1"/>
          <w:sz w:val="22"/>
          <w:szCs w:val="22"/>
        </w:rPr>
        <w:t>T</w:t>
      </w:r>
      <w:r w:rsidR="00F92D64">
        <w:rPr>
          <w:rFonts w:ascii="Calibri" w:eastAsia="Calibri" w:hAnsi="Calibri" w:cs="Calibri"/>
          <w:spacing w:val="-1"/>
          <w:sz w:val="22"/>
          <w:szCs w:val="22"/>
        </w:rPr>
        <w:t xml:space="preserve">he </w:t>
      </w:r>
      <w:r w:rsidR="00C7099D">
        <w:rPr>
          <w:rFonts w:ascii="Calibri" w:eastAsia="Calibri" w:hAnsi="Calibri" w:cs="Calibri"/>
          <w:spacing w:val="-1"/>
          <w:sz w:val="22"/>
          <w:szCs w:val="22"/>
        </w:rPr>
        <w:t xml:space="preserve">ACE Impact </w:t>
      </w:r>
      <w:r w:rsidR="008F24C3">
        <w:rPr>
          <w:rFonts w:ascii="Calibri" w:eastAsia="Calibri" w:hAnsi="Calibri" w:cs="Calibri"/>
          <w:spacing w:val="-1"/>
          <w:sz w:val="22"/>
          <w:szCs w:val="22"/>
        </w:rPr>
        <w:t>P</w:t>
      </w:r>
      <w:r w:rsidR="00F92D64">
        <w:rPr>
          <w:rFonts w:ascii="Calibri" w:eastAsia="Calibri" w:hAnsi="Calibri" w:cs="Calibri"/>
          <w:spacing w:val="-1"/>
          <w:sz w:val="22"/>
          <w:szCs w:val="22"/>
        </w:rPr>
        <w:t xml:space="preserve">rojects </w:t>
      </w:r>
      <w:r w:rsidR="00C7099D">
        <w:rPr>
          <w:rFonts w:ascii="Calibri" w:eastAsia="Calibri" w:hAnsi="Calibri" w:cs="Calibri"/>
          <w:spacing w:val="-1"/>
          <w:sz w:val="22"/>
          <w:szCs w:val="22"/>
        </w:rPr>
        <w:t>include</w:t>
      </w:r>
      <w:r w:rsidR="00F92D64">
        <w:rPr>
          <w:rFonts w:ascii="Calibri" w:eastAsia="Calibri" w:hAnsi="Calibri" w:cs="Calibri"/>
          <w:spacing w:val="-1"/>
          <w:sz w:val="22"/>
          <w:szCs w:val="22"/>
        </w:rPr>
        <w:t>:</w:t>
      </w:r>
      <w:r w:rsidR="00E145C1">
        <w:rPr>
          <w:rFonts w:ascii="Calibri" w:eastAsia="Calibri" w:hAnsi="Calibri" w:cs="Calibri"/>
          <w:spacing w:val="-1"/>
          <w:sz w:val="22"/>
          <w:szCs w:val="22"/>
        </w:rPr>
        <w:t xml:space="preserve"> (i) the</w:t>
      </w:r>
      <w:r w:rsidRPr="00B81291">
        <w:rPr>
          <w:rFonts w:ascii="Calibri" w:eastAsia="Calibri" w:hAnsi="Calibri" w:cs="Calibri"/>
          <w:spacing w:val="-1"/>
          <w:sz w:val="22"/>
          <w:szCs w:val="22"/>
        </w:rPr>
        <w:t xml:space="preserve"> First ACE Impact</w:t>
      </w:r>
      <w:r w:rsidR="00DC1892" w:rsidRPr="00B81291">
        <w:rPr>
          <w:rFonts w:ascii="Calibri" w:eastAsia="Calibri" w:hAnsi="Calibri" w:cs="Calibri"/>
          <w:spacing w:val="-1"/>
          <w:sz w:val="22"/>
          <w:szCs w:val="22"/>
        </w:rPr>
        <w:t xml:space="preserve"> </w:t>
      </w:r>
      <w:r w:rsidR="00C7099D">
        <w:rPr>
          <w:rFonts w:ascii="Calibri" w:eastAsia="Calibri" w:hAnsi="Calibri" w:cs="Calibri"/>
          <w:spacing w:val="-1"/>
          <w:sz w:val="22"/>
          <w:szCs w:val="22"/>
        </w:rPr>
        <w:t>P</w:t>
      </w:r>
      <w:r w:rsidR="00DC1892" w:rsidRPr="00B81291">
        <w:rPr>
          <w:rFonts w:ascii="Calibri" w:eastAsia="Calibri" w:hAnsi="Calibri" w:cs="Calibri"/>
          <w:spacing w:val="-1"/>
          <w:sz w:val="22"/>
          <w:szCs w:val="22"/>
        </w:rPr>
        <w:t>roject</w:t>
      </w:r>
      <w:r w:rsidRPr="00B81291">
        <w:rPr>
          <w:rFonts w:ascii="Calibri" w:eastAsia="Calibri" w:hAnsi="Calibri" w:cs="Calibri"/>
          <w:spacing w:val="-1"/>
          <w:sz w:val="22"/>
          <w:szCs w:val="22"/>
        </w:rPr>
        <w:t xml:space="preserve"> (P164546)</w:t>
      </w:r>
      <w:r w:rsidR="00D40F17" w:rsidRPr="00B81291">
        <w:rPr>
          <w:rFonts w:ascii="Calibri" w:eastAsia="Calibri" w:hAnsi="Calibri" w:cs="Calibri"/>
          <w:spacing w:val="-1"/>
          <w:sz w:val="22"/>
          <w:szCs w:val="22"/>
        </w:rPr>
        <w:t xml:space="preserve">, </w:t>
      </w:r>
      <w:r w:rsidR="00554FFD">
        <w:rPr>
          <w:rFonts w:ascii="Calibri" w:eastAsia="Calibri" w:hAnsi="Calibri" w:cs="Calibri"/>
          <w:spacing w:val="-1"/>
          <w:sz w:val="22"/>
          <w:szCs w:val="22"/>
        </w:rPr>
        <w:t>focused on</w:t>
      </w:r>
      <w:r w:rsidR="00D40F17" w:rsidRPr="00B81291">
        <w:rPr>
          <w:rFonts w:ascii="Calibri" w:eastAsia="Calibri" w:hAnsi="Calibri" w:cs="Calibri"/>
          <w:spacing w:val="-1"/>
          <w:sz w:val="22"/>
          <w:szCs w:val="22"/>
        </w:rPr>
        <w:t xml:space="preserve"> </w:t>
      </w:r>
      <w:r w:rsidR="003463E2">
        <w:rPr>
          <w:rFonts w:ascii="Calibri" w:eastAsia="Calibri" w:hAnsi="Calibri" w:cs="Calibri"/>
          <w:spacing w:val="-1"/>
          <w:sz w:val="22"/>
          <w:szCs w:val="22"/>
        </w:rPr>
        <w:t>five</w:t>
      </w:r>
      <w:r w:rsidR="00AB7428" w:rsidRPr="00B81291">
        <w:rPr>
          <w:rFonts w:ascii="Calibri" w:eastAsia="Calibri" w:hAnsi="Calibri" w:cs="Calibri"/>
          <w:spacing w:val="-1"/>
          <w:sz w:val="22"/>
          <w:szCs w:val="22"/>
        </w:rPr>
        <w:t xml:space="preserve"> countries</w:t>
      </w:r>
      <w:r w:rsidRPr="00B81291">
        <w:rPr>
          <w:rFonts w:ascii="Calibri" w:eastAsia="Calibri" w:hAnsi="Calibri" w:cs="Calibri"/>
          <w:spacing w:val="-1"/>
          <w:sz w:val="22"/>
          <w:szCs w:val="22"/>
        </w:rPr>
        <w:t xml:space="preserve"> </w:t>
      </w:r>
      <w:r w:rsidR="00554FFD">
        <w:rPr>
          <w:rFonts w:ascii="Calibri" w:eastAsia="Calibri" w:hAnsi="Calibri" w:cs="Calibri"/>
          <w:spacing w:val="-1"/>
          <w:sz w:val="22"/>
          <w:szCs w:val="22"/>
        </w:rPr>
        <w:t>(</w:t>
      </w:r>
      <w:r w:rsidRPr="00B81291">
        <w:rPr>
          <w:rFonts w:ascii="Calibri" w:eastAsia="Calibri" w:hAnsi="Calibri" w:cs="Calibri"/>
          <w:spacing w:val="-1"/>
          <w:sz w:val="22"/>
          <w:szCs w:val="22"/>
        </w:rPr>
        <w:t xml:space="preserve">approved </w:t>
      </w:r>
      <w:r w:rsidR="00DC1892" w:rsidRPr="00B81291">
        <w:rPr>
          <w:rFonts w:ascii="Calibri" w:eastAsia="Calibri" w:hAnsi="Calibri" w:cs="Calibri"/>
          <w:spacing w:val="-1"/>
          <w:sz w:val="22"/>
          <w:szCs w:val="22"/>
        </w:rPr>
        <w:t>on</w:t>
      </w:r>
      <w:r w:rsidRPr="00B81291">
        <w:rPr>
          <w:rFonts w:ascii="Calibri" w:eastAsia="Calibri" w:hAnsi="Calibri" w:cs="Calibri"/>
          <w:spacing w:val="-1"/>
          <w:sz w:val="22"/>
          <w:szCs w:val="22"/>
        </w:rPr>
        <w:t xml:space="preserve"> March </w:t>
      </w:r>
      <w:r w:rsidR="00D40F17" w:rsidRPr="00B81291">
        <w:rPr>
          <w:rFonts w:ascii="Calibri" w:eastAsia="Calibri" w:hAnsi="Calibri" w:cs="Calibri"/>
          <w:spacing w:val="-1"/>
          <w:sz w:val="22"/>
          <w:szCs w:val="22"/>
        </w:rPr>
        <w:t>27</w:t>
      </w:r>
      <w:r w:rsidR="00DC1892" w:rsidRPr="00B81291">
        <w:rPr>
          <w:rFonts w:ascii="Calibri" w:eastAsia="Calibri" w:hAnsi="Calibri" w:cs="Calibri"/>
          <w:spacing w:val="-1"/>
          <w:sz w:val="22"/>
          <w:szCs w:val="22"/>
        </w:rPr>
        <w:t xml:space="preserve">, </w:t>
      </w:r>
      <w:r w:rsidRPr="00B81291">
        <w:rPr>
          <w:rFonts w:ascii="Calibri" w:eastAsia="Calibri" w:hAnsi="Calibri" w:cs="Calibri"/>
          <w:spacing w:val="-1"/>
          <w:sz w:val="22"/>
          <w:szCs w:val="22"/>
        </w:rPr>
        <w:t>2019</w:t>
      </w:r>
      <w:r w:rsidR="00E36377" w:rsidRPr="00B81291">
        <w:rPr>
          <w:rFonts w:ascii="Calibri" w:eastAsia="Calibri" w:hAnsi="Calibri" w:cs="Calibri"/>
          <w:spacing w:val="-1"/>
          <w:sz w:val="22"/>
          <w:szCs w:val="22"/>
        </w:rPr>
        <w:t xml:space="preserve">, and </w:t>
      </w:r>
      <w:r w:rsidR="00E145C1">
        <w:rPr>
          <w:rFonts w:ascii="Calibri" w:eastAsia="Calibri" w:hAnsi="Calibri" w:cs="Calibri"/>
          <w:spacing w:val="-1"/>
          <w:sz w:val="22"/>
          <w:szCs w:val="22"/>
        </w:rPr>
        <w:t xml:space="preserve">will </w:t>
      </w:r>
      <w:r w:rsidR="00E36377" w:rsidRPr="00B81291">
        <w:rPr>
          <w:rFonts w:ascii="Calibri" w:eastAsia="Calibri" w:hAnsi="Calibri" w:cs="Calibri"/>
          <w:spacing w:val="-1"/>
          <w:sz w:val="22"/>
          <w:szCs w:val="22"/>
        </w:rPr>
        <w:t>cl</w:t>
      </w:r>
      <w:r w:rsidR="002E0382" w:rsidRPr="00B81291">
        <w:rPr>
          <w:rFonts w:ascii="Calibri" w:eastAsia="Calibri" w:hAnsi="Calibri" w:cs="Calibri"/>
          <w:spacing w:val="-1"/>
          <w:sz w:val="22"/>
          <w:szCs w:val="22"/>
        </w:rPr>
        <w:t>os</w:t>
      </w:r>
      <w:r w:rsidR="00E145C1">
        <w:rPr>
          <w:rFonts w:ascii="Calibri" w:eastAsia="Calibri" w:hAnsi="Calibri" w:cs="Calibri"/>
          <w:spacing w:val="-1"/>
          <w:sz w:val="22"/>
          <w:szCs w:val="22"/>
        </w:rPr>
        <w:t>e</w:t>
      </w:r>
      <w:r w:rsidR="00F92D64">
        <w:rPr>
          <w:rFonts w:ascii="Calibri" w:eastAsia="Calibri" w:hAnsi="Calibri" w:cs="Calibri"/>
          <w:spacing w:val="-1"/>
          <w:sz w:val="22"/>
          <w:szCs w:val="22"/>
        </w:rPr>
        <w:t xml:space="preserve"> on Dec</w:t>
      </w:r>
      <w:r w:rsidR="002047B9">
        <w:rPr>
          <w:rFonts w:ascii="Calibri" w:eastAsia="Calibri" w:hAnsi="Calibri" w:cs="Calibri"/>
          <w:spacing w:val="-1"/>
          <w:sz w:val="22"/>
          <w:szCs w:val="22"/>
        </w:rPr>
        <w:t>ember</w:t>
      </w:r>
      <w:r w:rsidR="00F92D64">
        <w:rPr>
          <w:rFonts w:ascii="Calibri" w:eastAsia="Calibri" w:hAnsi="Calibri" w:cs="Calibri"/>
          <w:spacing w:val="-1"/>
          <w:sz w:val="22"/>
          <w:szCs w:val="22"/>
        </w:rPr>
        <w:t xml:space="preserve"> </w:t>
      </w:r>
      <w:r w:rsidR="00257AB0">
        <w:rPr>
          <w:rFonts w:ascii="Calibri" w:eastAsia="Calibri" w:hAnsi="Calibri" w:cs="Calibri"/>
          <w:spacing w:val="-1"/>
          <w:sz w:val="22"/>
          <w:szCs w:val="22"/>
        </w:rPr>
        <w:t>31, 2023</w:t>
      </w:r>
      <w:r w:rsidR="00554FFD">
        <w:rPr>
          <w:rFonts w:ascii="Calibri" w:eastAsia="Calibri" w:hAnsi="Calibri" w:cs="Calibri"/>
          <w:spacing w:val="-1"/>
          <w:sz w:val="22"/>
          <w:szCs w:val="22"/>
        </w:rPr>
        <w:t>)</w:t>
      </w:r>
      <w:r w:rsidR="004B428F">
        <w:rPr>
          <w:rFonts w:ascii="Calibri" w:eastAsia="Calibri" w:hAnsi="Calibri" w:cs="Calibri"/>
          <w:spacing w:val="-1"/>
          <w:sz w:val="22"/>
          <w:szCs w:val="22"/>
        </w:rPr>
        <w:t>;</w:t>
      </w:r>
      <w:r w:rsidRPr="00B81291">
        <w:rPr>
          <w:rFonts w:ascii="Calibri" w:eastAsia="Calibri" w:hAnsi="Calibri" w:cs="Calibri"/>
          <w:spacing w:val="-1"/>
          <w:sz w:val="22"/>
          <w:szCs w:val="22"/>
        </w:rPr>
        <w:t xml:space="preserve"> and </w:t>
      </w:r>
      <w:r w:rsidR="00E145C1">
        <w:rPr>
          <w:rFonts w:ascii="Calibri" w:eastAsia="Calibri" w:hAnsi="Calibri" w:cs="Calibri"/>
          <w:spacing w:val="-1"/>
          <w:sz w:val="22"/>
          <w:szCs w:val="22"/>
        </w:rPr>
        <w:t xml:space="preserve">(ii) </w:t>
      </w:r>
      <w:r w:rsidRPr="00B81291">
        <w:rPr>
          <w:rFonts w:ascii="Calibri" w:eastAsia="Calibri" w:hAnsi="Calibri" w:cs="Calibri"/>
          <w:spacing w:val="-1"/>
          <w:sz w:val="22"/>
          <w:szCs w:val="22"/>
        </w:rPr>
        <w:t>this proposed Second ACE Impact</w:t>
      </w:r>
      <w:r w:rsidR="00DC1892" w:rsidRPr="00B81291">
        <w:rPr>
          <w:rFonts w:ascii="Calibri" w:eastAsia="Calibri" w:hAnsi="Calibri" w:cs="Calibri"/>
          <w:spacing w:val="-1"/>
          <w:sz w:val="22"/>
          <w:szCs w:val="22"/>
        </w:rPr>
        <w:t xml:space="preserve"> </w:t>
      </w:r>
      <w:r w:rsidR="00C56232">
        <w:rPr>
          <w:rFonts w:ascii="Calibri" w:eastAsia="Calibri" w:hAnsi="Calibri" w:cs="Calibri"/>
          <w:spacing w:val="-1"/>
          <w:sz w:val="22"/>
          <w:szCs w:val="22"/>
        </w:rPr>
        <w:t>p</w:t>
      </w:r>
      <w:r w:rsidR="00DC1892" w:rsidRPr="00B81291">
        <w:rPr>
          <w:rFonts w:ascii="Calibri" w:eastAsia="Calibri" w:hAnsi="Calibri" w:cs="Calibri"/>
          <w:spacing w:val="-1"/>
          <w:sz w:val="22"/>
          <w:szCs w:val="22"/>
        </w:rPr>
        <w:t>roject</w:t>
      </w:r>
      <w:r w:rsidR="004B428F">
        <w:rPr>
          <w:rFonts w:ascii="Calibri" w:eastAsia="Calibri" w:hAnsi="Calibri" w:cs="Calibri"/>
          <w:spacing w:val="-1"/>
          <w:sz w:val="22"/>
          <w:szCs w:val="22"/>
        </w:rPr>
        <w:t>, which will be</w:t>
      </w:r>
      <w:r w:rsidRPr="00B81291">
        <w:rPr>
          <w:rFonts w:ascii="Calibri" w:eastAsia="Calibri" w:hAnsi="Calibri" w:cs="Calibri"/>
          <w:spacing w:val="-1"/>
          <w:sz w:val="22"/>
          <w:szCs w:val="22"/>
        </w:rPr>
        <w:t xml:space="preserve"> across </w:t>
      </w:r>
      <w:r w:rsidR="003463E2">
        <w:rPr>
          <w:rFonts w:ascii="Calibri" w:eastAsia="Calibri" w:hAnsi="Calibri" w:cs="Calibri"/>
          <w:spacing w:val="-1"/>
          <w:sz w:val="22"/>
          <w:szCs w:val="22"/>
        </w:rPr>
        <w:t>five</w:t>
      </w:r>
      <w:r w:rsidR="00485BF8" w:rsidRPr="00B81291">
        <w:rPr>
          <w:rFonts w:ascii="Calibri" w:eastAsia="Calibri" w:hAnsi="Calibri" w:cs="Calibri"/>
          <w:spacing w:val="-1"/>
          <w:sz w:val="22"/>
          <w:szCs w:val="22"/>
        </w:rPr>
        <w:t xml:space="preserve"> </w:t>
      </w:r>
      <w:r w:rsidRPr="00B81291">
        <w:rPr>
          <w:rFonts w:ascii="Calibri" w:eastAsia="Calibri" w:hAnsi="Calibri" w:cs="Calibri"/>
          <w:spacing w:val="-1"/>
          <w:sz w:val="22"/>
          <w:szCs w:val="22"/>
        </w:rPr>
        <w:t>countries.</w:t>
      </w:r>
      <w:r w:rsidRPr="002E0382">
        <w:rPr>
          <w:rFonts w:ascii="Calibri" w:eastAsia="Calibri" w:hAnsi="Calibri" w:cs="Calibri"/>
          <w:spacing w:val="-1"/>
          <w:sz w:val="22"/>
          <w:szCs w:val="22"/>
        </w:rPr>
        <w:t xml:space="preserve"> Both projects </w:t>
      </w:r>
      <w:r w:rsidRPr="002E0382">
        <w:rPr>
          <w:rFonts w:ascii="Calibri" w:eastAsia="Calibri" w:hAnsi="Calibri" w:cs="Times New Roman"/>
          <w:color w:val="auto"/>
          <w:sz w:val="22"/>
          <w:szCs w:val="22"/>
        </w:rPr>
        <w:t>will have the same</w:t>
      </w:r>
      <w:r w:rsidRPr="002E1A3F">
        <w:rPr>
          <w:rFonts w:ascii="Calibri" w:eastAsia="Calibri" w:hAnsi="Calibri" w:cs="Times New Roman"/>
          <w:color w:val="auto"/>
          <w:sz w:val="22"/>
          <w:szCs w:val="22"/>
        </w:rPr>
        <w:t xml:space="preserve"> technical design, including common evaluation and selection schedule and processes, project operation</w:t>
      </w:r>
      <w:r w:rsidR="007A2D35">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manual (POM)</w:t>
      </w:r>
      <w:r>
        <w:rPr>
          <w:rStyle w:val="FootnoteReference"/>
          <w:rFonts w:ascii="Calibri" w:eastAsia="Calibri" w:hAnsi="Calibri" w:cs="Times New Roman"/>
          <w:color w:val="auto"/>
          <w:sz w:val="22"/>
          <w:szCs w:val="22"/>
        </w:rPr>
        <w:footnoteReference w:id="9"/>
      </w:r>
      <w:r w:rsidRPr="002E1A3F">
        <w:rPr>
          <w:rFonts w:ascii="Calibri" w:eastAsia="Calibri" w:hAnsi="Calibri" w:cs="Times New Roman"/>
          <w:color w:val="auto"/>
          <w:sz w:val="22"/>
          <w:szCs w:val="22"/>
        </w:rPr>
        <w:t>, as well as implementation arrangement structures.</w:t>
      </w:r>
      <w:r w:rsidRPr="002E1A3F">
        <w:rPr>
          <w:rFonts w:ascii="Calibri" w:eastAsia="Calibri" w:hAnsi="Calibri" w:cs="Calibri"/>
          <w:spacing w:val="-1"/>
          <w:sz w:val="22"/>
          <w:szCs w:val="22"/>
        </w:rPr>
        <w:t xml:space="preserve"> </w:t>
      </w:r>
      <w:r w:rsidRPr="002E1A3F">
        <w:rPr>
          <w:rFonts w:ascii="Calibri" w:eastAsia="Calibri" w:hAnsi="Calibri" w:cs="Times New Roman"/>
          <w:color w:val="auto"/>
          <w:sz w:val="22"/>
          <w:szCs w:val="22"/>
        </w:rPr>
        <w:t>T</w:t>
      </w:r>
      <w:r w:rsidRPr="002E1A3F">
        <w:rPr>
          <w:rFonts w:ascii="Calibri" w:eastAsia="Calibri" w:hAnsi="Calibri" w:cs="Times New Roman"/>
          <w:bCs/>
          <w:color w:val="auto"/>
          <w:sz w:val="22"/>
          <w:szCs w:val="22"/>
        </w:rPr>
        <w:t>he regional facilitation unit (RFU), which is hosted at the Association of African Universities (AAU), will be responsible for regional coordination and monitoring and evaluation (M&amp;E) activities for both projects (</w:t>
      </w:r>
      <w:r w:rsidR="003F0AA8">
        <w:rPr>
          <w:rFonts w:ascii="Calibri" w:eastAsia="Calibri" w:hAnsi="Calibri" w:cs="Times New Roman"/>
          <w:bCs/>
          <w:color w:val="auto"/>
          <w:sz w:val="22"/>
          <w:szCs w:val="22"/>
        </w:rPr>
        <w:t>AAU is</w:t>
      </w:r>
      <w:r w:rsidRPr="002E1A3F">
        <w:rPr>
          <w:rFonts w:ascii="Calibri" w:eastAsia="Calibri" w:hAnsi="Calibri" w:cs="Times New Roman"/>
          <w:bCs/>
          <w:color w:val="auto"/>
          <w:sz w:val="22"/>
          <w:szCs w:val="22"/>
        </w:rPr>
        <w:t xml:space="preserve"> financed under </w:t>
      </w:r>
      <w:r w:rsidR="00EA2412">
        <w:rPr>
          <w:rFonts w:ascii="Calibri" w:eastAsia="Calibri" w:hAnsi="Calibri" w:cs="Times New Roman"/>
          <w:bCs/>
          <w:color w:val="auto"/>
          <w:sz w:val="22"/>
          <w:szCs w:val="22"/>
        </w:rPr>
        <w:t xml:space="preserve">both </w:t>
      </w:r>
      <w:r w:rsidRPr="002E1A3F">
        <w:rPr>
          <w:rFonts w:ascii="Calibri" w:eastAsia="Calibri" w:hAnsi="Calibri" w:cs="Times New Roman"/>
          <w:bCs/>
          <w:color w:val="auto"/>
          <w:sz w:val="22"/>
          <w:szCs w:val="22"/>
        </w:rPr>
        <w:t>ACE Impact project</w:t>
      </w:r>
      <w:r w:rsidR="00EA2412">
        <w:rPr>
          <w:rFonts w:ascii="Calibri" w:eastAsia="Calibri" w:hAnsi="Calibri" w:cs="Times New Roman"/>
          <w:bCs/>
          <w:color w:val="auto"/>
          <w:sz w:val="22"/>
          <w:szCs w:val="22"/>
        </w:rPr>
        <w:t>s</w:t>
      </w:r>
      <w:r w:rsidRPr="002E1A3F">
        <w:rPr>
          <w:rFonts w:ascii="Calibri" w:eastAsia="Calibri" w:hAnsi="Calibri" w:cs="Times New Roman"/>
          <w:bCs/>
          <w:color w:val="auto"/>
          <w:sz w:val="22"/>
          <w:szCs w:val="22"/>
        </w:rPr>
        <w:t xml:space="preserve"> through regional grant</w:t>
      </w:r>
      <w:r w:rsidR="0091547D">
        <w:rPr>
          <w:rFonts w:ascii="Calibri" w:eastAsia="Calibri" w:hAnsi="Calibri" w:cs="Times New Roman"/>
          <w:bCs/>
          <w:color w:val="auto"/>
          <w:sz w:val="22"/>
          <w:szCs w:val="22"/>
        </w:rPr>
        <w:t>s</w:t>
      </w:r>
      <w:r w:rsidR="00317630">
        <w:rPr>
          <w:rFonts w:ascii="Calibri" w:eastAsia="Calibri" w:hAnsi="Calibri" w:cs="Times New Roman"/>
          <w:bCs/>
          <w:color w:val="auto"/>
          <w:sz w:val="22"/>
          <w:szCs w:val="22"/>
        </w:rPr>
        <w:t>)</w:t>
      </w:r>
      <w:r w:rsidRPr="002E1A3F">
        <w:rPr>
          <w:rFonts w:ascii="Calibri" w:eastAsia="Calibri" w:hAnsi="Calibri" w:cs="Times New Roman"/>
          <w:bCs/>
          <w:color w:val="auto"/>
          <w:sz w:val="22"/>
          <w:szCs w:val="22"/>
        </w:rPr>
        <w:t xml:space="preserve">. </w:t>
      </w:r>
      <w:r w:rsidR="00F1212F">
        <w:rPr>
          <w:rFonts w:ascii="Calibri" w:eastAsia="Calibri" w:hAnsi="Calibri" w:cs="Times New Roman"/>
          <w:bCs/>
          <w:color w:val="auto"/>
          <w:sz w:val="22"/>
          <w:szCs w:val="22"/>
        </w:rPr>
        <w:t>The projects will also share the same regional Project Steering Committee (PSC).</w:t>
      </w:r>
    </w:p>
    <w:p w14:paraId="0A1B45A4" w14:textId="77777777" w:rsid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E1A3F">
        <w:rPr>
          <w:rFonts w:ascii="Calibri" w:eastAsia="Calibri" w:hAnsi="Calibri" w:cs="Times New Roman"/>
          <w:b/>
          <w:color w:val="auto"/>
          <w:sz w:val="22"/>
          <w:szCs w:val="22"/>
        </w:rPr>
        <w:t xml:space="preserve">The primary differences between the First ACE Impact and the proposed Second ACE Impact </w:t>
      </w:r>
      <w:r w:rsidR="00C7099D">
        <w:rPr>
          <w:rFonts w:ascii="Calibri" w:eastAsia="Calibri" w:hAnsi="Calibri" w:cs="Times New Roman"/>
          <w:b/>
          <w:color w:val="auto"/>
          <w:sz w:val="22"/>
          <w:szCs w:val="22"/>
        </w:rPr>
        <w:t>P</w:t>
      </w:r>
      <w:r w:rsidRPr="002E1A3F">
        <w:rPr>
          <w:rFonts w:ascii="Calibri" w:eastAsia="Calibri" w:hAnsi="Calibri" w:cs="Times New Roman"/>
          <w:b/>
          <w:color w:val="auto"/>
          <w:sz w:val="22"/>
          <w:szCs w:val="22"/>
        </w:rPr>
        <w:t>rojects are the list of participating countries and the preparation schedule.</w:t>
      </w:r>
      <w:r w:rsidRPr="002E1A3F">
        <w:rPr>
          <w:rFonts w:ascii="Calibri" w:eastAsia="Calibri" w:hAnsi="Calibri" w:cs="Times New Roman"/>
          <w:bCs/>
          <w:color w:val="auto"/>
          <w:sz w:val="22"/>
          <w:szCs w:val="22"/>
        </w:rPr>
        <w:t xml:space="preserve"> </w:t>
      </w:r>
      <w:r w:rsidRPr="002E1A3F">
        <w:rPr>
          <w:rFonts w:ascii="Calibri" w:eastAsia="Calibri" w:hAnsi="Calibri" w:cs="Calibri"/>
          <w:spacing w:val="-1"/>
          <w:sz w:val="22"/>
          <w:szCs w:val="22"/>
        </w:rPr>
        <w:t xml:space="preserve">The First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xml:space="preserve"> is supporting 16 ACE centers (referred to as ACEs) and two Emerging </w:t>
      </w:r>
      <w:r w:rsidR="005032F2">
        <w:rPr>
          <w:rFonts w:ascii="Calibri" w:eastAsia="Calibri" w:hAnsi="Calibri" w:cs="Calibri"/>
          <w:spacing w:val="-1"/>
          <w:sz w:val="22"/>
          <w:szCs w:val="22"/>
        </w:rPr>
        <w:t>C</w:t>
      </w:r>
      <w:r w:rsidRPr="002E1A3F">
        <w:rPr>
          <w:rFonts w:ascii="Calibri" w:eastAsia="Calibri" w:hAnsi="Calibri" w:cs="Calibri"/>
          <w:spacing w:val="-1"/>
          <w:sz w:val="22"/>
          <w:szCs w:val="22"/>
        </w:rPr>
        <w:t xml:space="preserve">enters of </w:t>
      </w:r>
      <w:r w:rsidR="005032F2">
        <w:rPr>
          <w:rFonts w:ascii="Calibri" w:eastAsia="Calibri" w:hAnsi="Calibri" w:cs="Calibri"/>
          <w:spacing w:val="-1"/>
          <w:sz w:val="22"/>
          <w:szCs w:val="22"/>
        </w:rPr>
        <w:t>E</w:t>
      </w:r>
      <w:r w:rsidRPr="002E1A3F">
        <w:rPr>
          <w:rFonts w:ascii="Calibri" w:eastAsia="Calibri" w:hAnsi="Calibri" w:cs="Calibri"/>
          <w:spacing w:val="-1"/>
          <w:sz w:val="22"/>
          <w:szCs w:val="22"/>
        </w:rPr>
        <w:t xml:space="preserve">xcellence (Emerging centers) </w:t>
      </w:r>
      <w:r w:rsidR="00F50704">
        <w:rPr>
          <w:rFonts w:ascii="Calibri" w:eastAsia="Calibri" w:hAnsi="Calibri" w:cs="Calibri"/>
          <w:spacing w:val="-1"/>
          <w:sz w:val="22"/>
          <w:szCs w:val="22"/>
        </w:rPr>
        <w:t>across</w:t>
      </w:r>
      <w:r w:rsidRPr="002E1A3F">
        <w:rPr>
          <w:rFonts w:ascii="Calibri" w:eastAsia="Calibri" w:hAnsi="Calibri" w:cs="Calibri"/>
          <w:spacing w:val="-1"/>
          <w:sz w:val="22"/>
          <w:szCs w:val="22"/>
        </w:rPr>
        <w:t xml:space="preserve"> Burkina Faso, Djibouti, Ghana, Guinea and Senegal. </w:t>
      </w:r>
      <w:r w:rsidRPr="002E1A3F">
        <w:rPr>
          <w:rFonts w:ascii="Calibri" w:eastAsia="Times New Roman" w:hAnsi="Calibri" w:cs="Calibri"/>
          <w:bCs/>
          <w:spacing w:val="-1"/>
          <w:sz w:val="22"/>
          <w:szCs w:val="22"/>
        </w:rPr>
        <w:t>Emerging centers are centers (non-ACE centers) that are selected through a non-competitive process to receive support to strengthen their programs mostly at the undergraduate and master’s degree level in a priority field</w:t>
      </w:r>
      <w:r w:rsidRPr="00FF41AC">
        <w:rPr>
          <w:rFonts w:ascii="Calibri" w:eastAsia="Times New Roman" w:hAnsi="Calibri" w:cs="Calibri"/>
          <w:bCs/>
          <w:spacing w:val="-1"/>
          <w:sz w:val="22"/>
          <w:szCs w:val="22"/>
        </w:rPr>
        <w:t xml:space="preserve">. The First </w:t>
      </w:r>
      <w:r w:rsidR="00BB4A89">
        <w:rPr>
          <w:rFonts w:ascii="Calibri" w:eastAsia="Times New Roman" w:hAnsi="Calibri" w:cs="Calibri"/>
          <w:bCs/>
          <w:spacing w:val="-1"/>
          <w:sz w:val="22"/>
          <w:szCs w:val="22"/>
        </w:rPr>
        <w:t>ACE Impact Project</w:t>
      </w:r>
      <w:r w:rsidRPr="00FF41AC">
        <w:rPr>
          <w:rFonts w:ascii="Calibri" w:eastAsia="Times New Roman" w:hAnsi="Calibri" w:cs="Calibri"/>
          <w:bCs/>
          <w:spacing w:val="-1"/>
          <w:sz w:val="22"/>
          <w:szCs w:val="22"/>
        </w:rPr>
        <w:t xml:space="preserve"> countries were selected based on the following criteria: (i) country readiness</w:t>
      </w:r>
      <w:r w:rsidR="001F65BE">
        <w:rPr>
          <w:rFonts w:ascii="Calibri" w:eastAsia="Times New Roman" w:hAnsi="Calibri" w:cs="Calibri"/>
          <w:bCs/>
          <w:spacing w:val="-1"/>
          <w:sz w:val="22"/>
          <w:szCs w:val="22"/>
        </w:rPr>
        <w:t>;</w:t>
      </w:r>
      <w:r w:rsidRPr="00FF41AC">
        <w:rPr>
          <w:rFonts w:ascii="Calibri" w:eastAsia="Calibri" w:hAnsi="Calibri" w:cs="Times New Roman"/>
          <w:color w:val="auto"/>
          <w:sz w:val="22"/>
          <w:szCs w:val="22"/>
        </w:rPr>
        <w:t xml:space="preserve"> (ii) </w:t>
      </w:r>
      <w:r w:rsidRPr="00FF41AC">
        <w:rPr>
          <w:rFonts w:ascii="Calibri" w:eastAsia="Times New Roman" w:hAnsi="Calibri" w:cs="Calibri"/>
          <w:bCs/>
          <w:color w:val="auto"/>
          <w:sz w:val="22"/>
          <w:szCs w:val="22"/>
        </w:rPr>
        <w:t>expressed interest – countries that expressed interest in participating in the project first were prioritized; and (iii) planned elections – those countries with planned elections in February – March 2019 were also prioritized.</w:t>
      </w:r>
      <w:r w:rsidRPr="002E1A3F">
        <w:rPr>
          <w:rFonts w:ascii="Calibri" w:eastAsia="Times New Roman" w:hAnsi="Calibri" w:cs="Calibri"/>
          <w:bCs/>
          <w:color w:val="auto"/>
          <w:sz w:val="22"/>
          <w:szCs w:val="22"/>
        </w:rPr>
        <w:t xml:space="preserve"> </w:t>
      </w:r>
      <w:r w:rsidRPr="002E1A3F">
        <w:rPr>
          <w:rFonts w:ascii="Calibri" w:eastAsia="Calibri" w:hAnsi="Calibri" w:cs="Calibri"/>
          <w:spacing w:val="-1"/>
          <w:sz w:val="22"/>
          <w:szCs w:val="22"/>
        </w:rPr>
        <w:t xml:space="preserve">The proposed Second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xml:space="preserve"> will support 2</w:t>
      </w:r>
      <w:r w:rsidR="008A393E">
        <w:rPr>
          <w:rFonts w:ascii="Calibri" w:eastAsia="Calibri" w:hAnsi="Calibri" w:cs="Calibri"/>
          <w:spacing w:val="-1"/>
          <w:sz w:val="22"/>
          <w:szCs w:val="22"/>
        </w:rPr>
        <w:t>3</w:t>
      </w:r>
      <w:r w:rsidRPr="002E1A3F">
        <w:rPr>
          <w:rFonts w:ascii="Calibri" w:eastAsia="Calibri" w:hAnsi="Calibri" w:cs="Calibri"/>
          <w:spacing w:val="-1"/>
          <w:sz w:val="22"/>
          <w:szCs w:val="22"/>
        </w:rPr>
        <w:t xml:space="preserve"> ACE centers and three Emerging centers </w:t>
      </w:r>
      <w:r w:rsidR="00F50704">
        <w:rPr>
          <w:rFonts w:ascii="Calibri" w:eastAsia="Calibri" w:hAnsi="Calibri" w:cs="Calibri"/>
          <w:spacing w:val="-1"/>
          <w:sz w:val="22"/>
          <w:szCs w:val="22"/>
        </w:rPr>
        <w:t>across</w:t>
      </w:r>
      <w:r w:rsidRPr="002E1A3F">
        <w:rPr>
          <w:rFonts w:ascii="Calibri" w:eastAsia="Calibri" w:hAnsi="Calibri" w:cs="Calibri"/>
          <w:spacing w:val="-1"/>
          <w:sz w:val="22"/>
          <w:szCs w:val="22"/>
        </w:rPr>
        <w:t xml:space="preserve"> Benin, Niger, Nigeria, The Gambia and Togo.</w:t>
      </w:r>
      <w:r w:rsidRPr="002E1A3F">
        <w:rPr>
          <w:rFonts w:ascii="Calibri" w:eastAsia="Times New Roman" w:hAnsi="Calibri" w:cs="Calibri"/>
          <w:bCs/>
          <w:color w:val="auto"/>
          <w:sz w:val="22"/>
          <w:szCs w:val="22"/>
        </w:rPr>
        <w:t xml:space="preserve"> </w:t>
      </w:r>
      <w:r w:rsidR="00023600">
        <w:rPr>
          <w:rFonts w:ascii="Calibri" w:eastAsia="Times New Roman" w:hAnsi="Calibri" w:cs="Calibri"/>
          <w:bCs/>
          <w:color w:val="auto"/>
          <w:sz w:val="22"/>
          <w:szCs w:val="22"/>
        </w:rPr>
        <w:t>In addition, t</w:t>
      </w:r>
      <w:r w:rsidR="00B957CD">
        <w:rPr>
          <w:rFonts w:ascii="Calibri" w:eastAsia="Times New Roman" w:hAnsi="Calibri" w:cs="Calibri"/>
          <w:bCs/>
          <w:color w:val="auto"/>
          <w:sz w:val="22"/>
          <w:szCs w:val="22"/>
        </w:rPr>
        <w:t>he French Development Agency (</w:t>
      </w:r>
      <w:r w:rsidR="00146A0E" w:rsidRPr="00DA01D5">
        <w:rPr>
          <w:rFonts w:ascii="Calibri" w:eastAsia="Times New Roman" w:hAnsi="Calibri" w:cs="Calibri"/>
          <w:bCs/>
          <w:i/>
          <w:color w:val="auto"/>
          <w:sz w:val="22"/>
          <w:szCs w:val="22"/>
        </w:rPr>
        <w:t>Agence Française de Développement</w:t>
      </w:r>
      <w:r w:rsidR="00970C07">
        <w:rPr>
          <w:rFonts w:ascii="Calibri" w:eastAsia="Times New Roman" w:hAnsi="Calibri" w:cs="Calibri"/>
          <w:bCs/>
          <w:color w:val="auto"/>
          <w:sz w:val="22"/>
          <w:szCs w:val="22"/>
        </w:rPr>
        <w:t xml:space="preserve">, </w:t>
      </w:r>
      <w:r w:rsidR="00B957CD">
        <w:rPr>
          <w:rFonts w:ascii="Calibri" w:eastAsia="Times New Roman" w:hAnsi="Calibri" w:cs="Calibri"/>
          <w:bCs/>
          <w:color w:val="auto"/>
          <w:sz w:val="22"/>
          <w:szCs w:val="22"/>
        </w:rPr>
        <w:t xml:space="preserve">AFD) </w:t>
      </w:r>
      <w:r w:rsidR="000C579E">
        <w:rPr>
          <w:rFonts w:ascii="Calibri" w:eastAsia="Times New Roman" w:hAnsi="Calibri" w:cs="Calibri"/>
          <w:bCs/>
          <w:color w:val="auto"/>
          <w:sz w:val="22"/>
          <w:szCs w:val="22"/>
        </w:rPr>
        <w:t>will</w:t>
      </w:r>
      <w:r w:rsidR="00023600">
        <w:rPr>
          <w:rFonts w:ascii="Calibri" w:eastAsia="Times New Roman" w:hAnsi="Calibri" w:cs="Calibri"/>
          <w:bCs/>
          <w:color w:val="auto"/>
          <w:sz w:val="22"/>
          <w:szCs w:val="22"/>
        </w:rPr>
        <w:t xml:space="preserve"> financ</w:t>
      </w:r>
      <w:r w:rsidR="000C579E">
        <w:rPr>
          <w:rFonts w:ascii="Calibri" w:eastAsia="Times New Roman" w:hAnsi="Calibri" w:cs="Calibri"/>
          <w:bCs/>
          <w:color w:val="auto"/>
          <w:sz w:val="22"/>
          <w:szCs w:val="22"/>
        </w:rPr>
        <w:t>e</w:t>
      </w:r>
      <w:r w:rsidR="00023600">
        <w:rPr>
          <w:rFonts w:ascii="Calibri" w:eastAsia="Times New Roman" w:hAnsi="Calibri" w:cs="Calibri"/>
          <w:bCs/>
          <w:color w:val="auto"/>
          <w:sz w:val="22"/>
          <w:szCs w:val="22"/>
        </w:rPr>
        <w:t xml:space="preserve"> </w:t>
      </w:r>
      <w:r w:rsidR="001F65BE">
        <w:rPr>
          <w:rFonts w:ascii="Calibri" w:eastAsia="Times New Roman" w:hAnsi="Calibri" w:cs="Calibri"/>
          <w:bCs/>
          <w:color w:val="auto"/>
          <w:sz w:val="22"/>
          <w:szCs w:val="22"/>
        </w:rPr>
        <w:t>four</w:t>
      </w:r>
      <w:r w:rsidR="00023600">
        <w:rPr>
          <w:rFonts w:ascii="Calibri" w:eastAsia="Times New Roman" w:hAnsi="Calibri" w:cs="Calibri"/>
          <w:bCs/>
          <w:color w:val="auto"/>
          <w:sz w:val="22"/>
          <w:szCs w:val="22"/>
        </w:rPr>
        <w:t xml:space="preserve"> ACEs from C</w:t>
      </w:r>
      <w:r w:rsidR="00C32084">
        <w:rPr>
          <w:rFonts w:ascii="Calibri" w:eastAsia="Times New Roman" w:hAnsi="Calibri" w:cs="Calibri"/>
          <w:bCs/>
          <w:color w:val="auto"/>
          <w:sz w:val="22"/>
          <w:szCs w:val="22"/>
        </w:rPr>
        <w:t>ô</w:t>
      </w:r>
      <w:r w:rsidR="00023600">
        <w:rPr>
          <w:rFonts w:ascii="Calibri" w:eastAsia="Times New Roman" w:hAnsi="Calibri" w:cs="Calibri"/>
          <w:bCs/>
          <w:color w:val="auto"/>
          <w:sz w:val="22"/>
          <w:szCs w:val="22"/>
        </w:rPr>
        <w:t>te d’Ivoire</w:t>
      </w:r>
      <w:r w:rsidR="00EB76A5">
        <w:rPr>
          <w:rFonts w:ascii="Calibri" w:eastAsia="Times New Roman" w:hAnsi="Calibri" w:cs="Calibri"/>
          <w:bCs/>
          <w:color w:val="auto"/>
          <w:sz w:val="22"/>
          <w:szCs w:val="22"/>
        </w:rPr>
        <w:t xml:space="preserve"> and </w:t>
      </w:r>
      <w:r w:rsidR="00CE2F63">
        <w:rPr>
          <w:rFonts w:ascii="Calibri" w:eastAsia="Times New Roman" w:hAnsi="Calibri" w:cs="Calibri"/>
          <w:bCs/>
          <w:color w:val="auto"/>
          <w:sz w:val="22"/>
          <w:szCs w:val="22"/>
        </w:rPr>
        <w:t xml:space="preserve">a project implementation unit from within the Ministry of Higher Education </w:t>
      </w:r>
      <w:r w:rsidR="00EC0718">
        <w:rPr>
          <w:rFonts w:ascii="Calibri" w:eastAsia="Times New Roman" w:hAnsi="Calibri" w:cs="Calibri"/>
          <w:bCs/>
          <w:color w:val="auto"/>
          <w:sz w:val="22"/>
          <w:szCs w:val="22"/>
        </w:rPr>
        <w:t>of C</w:t>
      </w:r>
      <w:r w:rsidR="00C32084">
        <w:rPr>
          <w:rFonts w:ascii="Calibri" w:eastAsia="Times New Roman" w:hAnsi="Calibri" w:cs="Calibri"/>
          <w:bCs/>
          <w:color w:val="auto"/>
          <w:sz w:val="22"/>
          <w:szCs w:val="22"/>
        </w:rPr>
        <w:t>ô</w:t>
      </w:r>
      <w:r w:rsidR="00EC0718">
        <w:rPr>
          <w:rFonts w:ascii="Calibri" w:eastAsia="Times New Roman" w:hAnsi="Calibri" w:cs="Calibri"/>
          <w:bCs/>
          <w:color w:val="auto"/>
          <w:sz w:val="22"/>
          <w:szCs w:val="22"/>
        </w:rPr>
        <w:t>te</w:t>
      </w:r>
      <w:r w:rsidR="001A5648">
        <w:rPr>
          <w:rFonts w:ascii="Calibri" w:eastAsia="Times New Roman" w:hAnsi="Calibri" w:cs="Calibri"/>
          <w:bCs/>
          <w:color w:val="auto"/>
          <w:sz w:val="22"/>
          <w:szCs w:val="22"/>
        </w:rPr>
        <w:t xml:space="preserve"> </w:t>
      </w:r>
      <w:r w:rsidR="00EC0718">
        <w:rPr>
          <w:rFonts w:ascii="Calibri" w:eastAsia="Times New Roman" w:hAnsi="Calibri" w:cs="Calibri"/>
          <w:bCs/>
          <w:color w:val="auto"/>
          <w:sz w:val="22"/>
          <w:szCs w:val="22"/>
        </w:rPr>
        <w:t xml:space="preserve">d’Ivoire </w:t>
      </w:r>
      <w:r w:rsidR="00312126">
        <w:rPr>
          <w:rFonts w:ascii="Calibri" w:eastAsia="Times New Roman" w:hAnsi="Calibri" w:cs="Calibri"/>
          <w:bCs/>
          <w:color w:val="auto"/>
          <w:sz w:val="22"/>
          <w:szCs w:val="22"/>
        </w:rPr>
        <w:t>for national level coordination</w:t>
      </w:r>
      <w:r w:rsidR="00023600">
        <w:rPr>
          <w:rFonts w:ascii="Calibri" w:eastAsia="Times New Roman" w:hAnsi="Calibri" w:cs="Calibri"/>
          <w:bCs/>
          <w:color w:val="auto"/>
          <w:sz w:val="22"/>
          <w:szCs w:val="22"/>
        </w:rPr>
        <w:t xml:space="preserve">. </w:t>
      </w:r>
      <w:r w:rsidRPr="002E1A3F">
        <w:rPr>
          <w:rFonts w:ascii="Calibri" w:eastAsia="Calibri" w:hAnsi="Calibri" w:cs="Calibri"/>
          <w:spacing w:val="-1"/>
          <w:sz w:val="22"/>
          <w:szCs w:val="22"/>
        </w:rPr>
        <w:t>Figure 1 illustrat</w:t>
      </w:r>
      <w:r w:rsidR="008863D8">
        <w:rPr>
          <w:rFonts w:ascii="Calibri" w:eastAsia="Calibri" w:hAnsi="Calibri" w:cs="Calibri"/>
          <w:spacing w:val="-1"/>
          <w:sz w:val="22"/>
          <w:szCs w:val="22"/>
        </w:rPr>
        <w:t>es</w:t>
      </w:r>
      <w:r w:rsidRPr="002E1A3F">
        <w:rPr>
          <w:rFonts w:ascii="Calibri" w:eastAsia="Calibri" w:hAnsi="Calibri" w:cs="Calibri"/>
          <w:spacing w:val="-1"/>
          <w:sz w:val="22"/>
          <w:szCs w:val="22"/>
        </w:rPr>
        <w:t xml:space="preserve"> the key</w:t>
      </w:r>
      <w:r w:rsidR="00DB4AF6">
        <w:rPr>
          <w:rFonts w:ascii="Calibri" w:eastAsia="Calibri" w:hAnsi="Calibri" w:cs="Calibri"/>
          <w:spacing w:val="-1"/>
          <w:sz w:val="22"/>
          <w:szCs w:val="22"/>
        </w:rPr>
        <w:t xml:space="preserve"> </w:t>
      </w:r>
      <w:r w:rsidRPr="002E1A3F">
        <w:rPr>
          <w:rFonts w:ascii="Calibri" w:eastAsia="Calibri" w:hAnsi="Calibri" w:cs="Calibri"/>
          <w:spacing w:val="-1"/>
          <w:sz w:val="22"/>
          <w:szCs w:val="22"/>
        </w:rPr>
        <w:t xml:space="preserve">differences between ACE I, ACE II and the First and </w:t>
      </w:r>
      <w:r w:rsidR="00C7099D">
        <w:rPr>
          <w:rFonts w:ascii="Calibri" w:eastAsia="Calibri" w:hAnsi="Calibri" w:cs="Calibri"/>
          <w:spacing w:val="-1"/>
          <w:sz w:val="22"/>
          <w:szCs w:val="22"/>
        </w:rPr>
        <w:t xml:space="preserve">proposed </w:t>
      </w:r>
      <w:r w:rsidRPr="002E1A3F">
        <w:rPr>
          <w:rFonts w:ascii="Calibri" w:eastAsia="Calibri" w:hAnsi="Calibri" w:cs="Calibri"/>
          <w:spacing w:val="-1"/>
          <w:sz w:val="22"/>
          <w:szCs w:val="22"/>
        </w:rPr>
        <w:t xml:space="preserve">Second ACE Impact </w:t>
      </w:r>
      <w:r w:rsidR="00C7099D">
        <w:rPr>
          <w:rFonts w:ascii="Calibri" w:eastAsia="Calibri" w:hAnsi="Calibri" w:cs="Calibri"/>
          <w:spacing w:val="-1"/>
          <w:sz w:val="22"/>
          <w:szCs w:val="22"/>
        </w:rPr>
        <w:t>P</w:t>
      </w:r>
      <w:r w:rsidRPr="002E1A3F">
        <w:rPr>
          <w:rFonts w:ascii="Calibri" w:eastAsia="Calibri" w:hAnsi="Calibri" w:cs="Calibri"/>
          <w:spacing w:val="-1"/>
          <w:sz w:val="22"/>
          <w:szCs w:val="22"/>
        </w:rPr>
        <w:t>rojects.</w:t>
      </w:r>
    </w:p>
    <w:p w14:paraId="71EA8C96" w14:textId="59BDC35E"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5FFCD85F" w14:textId="0D56E4A4"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598E246B" w14:textId="301BF2F6"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3B44833C" w14:textId="573A2AD5"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6D8A1321" w14:textId="6EFBCF42"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4D4B0738" w14:textId="3D79A21E" w:rsidR="009C1D48" w:rsidRDefault="009C1D48" w:rsidP="00F463C2">
      <w:pPr>
        <w:tabs>
          <w:tab w:val="left" w:pos="0"/>
          <w:tab w:val="left" w:pos="720"/>
        </w:tabs>
        <w:spacing w:after="240"/>
        <w:jc w:val="center"/>
        <w:rPr>
          <w:rFonts w:ascii="Calibri" w:eastAsia="Calibri" w:hAnsi="Calibri" w:cs="Calibri"/>
          <w:b/>
          <w:bCs/>
          <w:spacing w:val="-1"/>
          <w:sz w:val="22"/>
          <w:szCs w:val="22"/>
        </w:rPr>
      </w:pPr>
    </w:p>
    <w:p w14:paraId="4E5F96DB" w14:textId="735FE166" w:rsidR="007C677A" w:rsidRDefault="008D7249" w:rsidP="008E2709">
      <w:pPr>
        <w:tabs>
          <w:tab w:val="left" w:pos="0"/>
          <w:tab w:val="left" w:pos="720"/>
        </w:tabs>
        <w:spacing w:after="240"/>
        <w:jc w:val="center"/>
        <w:rPr>
          <w:rFonts w:ascii="Calibri" w:eastAsia="Calibri" w:hAnsi="Calibri" w:cs="Calibri"/>
          <w:b/>
          <w:bCs/>
          <w:spacing w:val="-1"/>
          <w:sz w:val="22"/>
          <w:szCs w:val="22"/>
        </w:rPr>
      </w:pPr>
      <w:r>
        <w:rPr>
          <w:noProof/>
        </w:rPr>
        <w:drawing>
          <wp:anchor distT="0" distB="0" distL="114300" distR="114300" simplePos="0" relativeHeight="251659264" behindDoc="1" locked="0" layoutInCell="1" allowOverlap="1" wp14:anchorId="3A094F49" wp14:editId="34D1C779">
            <wp:simplePos x="0" y="0"/>
            <wp:positionH relativeFrom="margin">
              <wp:align>left</wp:align>
            </wp:positionH>
            <wp:positionV relativeFrom="paragraph">
              <wp:posOffset>323850</wp:posOffset>
            </wp:positionV>
            <wp:extent cx="5632450" cy="3308350"/>
            <wp:effectExtent l="0" t="0" r="6350" b="6350"/>
            <wp:wrapTight wrapText="bothSides">
              <wp:wrapPolygon edited="0">
                <wp:start x="0" y="0"/>
                <wp:lineTo x="0" y="21517"/>
                <wp:lineTo x="21551" y="21517"/>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32450" cy="3308350"/>
                    </a:xfrm>
                    <a:prstGeom prst="rect">
                      <a:avLst/>
                    </a:prstGeom>
                  </pic:spPr>
                </pic:pic>
              </a:graphicData>
            </a:graphic>
            <wp14:sizeRelH relativeFrom="margin">
              <wp14:pctWidth>0</wp14:pctWidth>
            </wp14:sizeRelH>
            <wp14:sizeRelV relativeFrom="margin">
              <wp14:pctHeight>0</wp14:pctHeight>
            </wp14:sizeRelV>
          </wp:anchor>
        </w:drawing>
      </w:r>
      <w:r w:rsidR="00B00100" w:rsidRPr="002E1A3F">
        <w:rPr>
          <w:rFonts w:ascii="Calibri" w:eastAsia="Calibri" w:hAnsi="Calibri" w:cs="Calibri"/>
          <w:b/>
          <w:bCs/>
          <w:spacing w:val="-1"/>
          <w:sz w:val="22"/>
          <w:szCs w:val="22"/>
        </w:rPr>
        <w:t xml:space="preserve">Figure 1. </w:t>
      </w:r>
      <w:r w:rsidR="003311A1">
        <w:rPr>
          <w:rFonts w:ascii="Calibri" w:eastAsia="Calibri" w:hAnsi="Calibri" w:cs="Calibri"/>
          <w:b/>
          <w:bCs/>
          <w:spacing w:val="-1"/>
          <w:sz w:val="22"/>
          <w:szCs w:val="22"/>
        </w:rPr>
        <w:t xml:space="preserve">Timelines for </w:t>
      </w:r>
      <w:r w:rsidR="00B00100" w:rsidRPr="000C46A6">
        <w:rPr>
          <w:rFonts w:ascii="Calibri" w:eastAsia="Calibri" w:hAnsi="Calibri" w:cs="Calibri"/>
          <w:b/>
          <w:bCs/>
          <w:spacing w:val="-1"/>
          <w:sz w:val="22"/>
          <w:szCs w:val="22"/>
        </w:rPr>
        <w:t xml:space="preserve">ACE I, ACE II and ACE Impact (First and Second) </w:t>
      </w:r>
      <w:r w:rsidR="001F65BE">
        <w:rPr>
          <w:rFonts w:ascii="Calibri" w:eastAsia="Calibri" w:hAnsi="Calibri" w:cs="Calibri"/>
          <w:b/>
          <w:bCs/>
          <w:spacing w:val="-1"/>
          <w:sz w:val="22"/>
          <w:szCs w:val="22"/>
        </w:rPr>
        <w:t>p</w:t>
      </w:r>
      <w:r w:rsidR="003311A1" w:rsidRPr="000C46A6">
        <w:rPr>
          <w:rFonts w:ascii="Calibri" w:eastAsia="Calibri" w:hAnsi="Calibri" w:cs="Calibri"/>
          <w:b/>
          <w:bCs/>
          <w:spacing w:val="-1"/>
          <w:sz w:val="22"/>
          <w:szCs w:val="22"/>
        </w:rPr>
        <w:t xml:space="preserve">rojects </w:t>
      </w:r>
      <w:r w:rsidR="00B00100" w:rsidRPr="000C46A6">
        <w:rPr>
          <w:rFonts w:ascii="Calibri" w:eastAsia="Calibri" w:hAnsi="Calibri" w:cs="Calibri"/>
          <w:b/>
          <w:bCs/>
          <w:spacing w:val="-1"/>
          <w:sz w:val="22"/>
          <w:szCs w:val="22"/>
        </w:rPr>
        <w:t>and key features</w:t>
      </w:r>
      <w:bookmarkEnd w:id="48"/>
    </w:p>
    <w:p w14:paraId="49F67C29" w14:textId="77777777" w:rsidR="002E1A3F" w:rsidRDefault="00B00100" w:rsidP="00F463C2">
      <w:pPr>
        <w:tabs>
          <w:tab w:val="left" w:pos="0"/>
          <w:tab w:val="left" w:pos="720"/>
        </w:tabs>
        <w:jc w:val="center"/>
        <w:rPr>
          <w:rFonts w:ascii="Calibri" w:eastAsia="Calibri" w:hAnsi="Calibri" w:cs="Calibri"/>
          <w:bCs/>
          <w:i/>
          <w:spacing w:val="-1"/>
          <w:sz w:val="22"/>
          <w:szCs w:val="22"/>
        </w:rPr>
      </w:pPr>
      <w:r w:rsidRPr="002E1A3F">
        <w:rPr>
          <w:rFonts w:ascii="Calibri" w:eastAsia="Calibri" w:hAnsi="Calibri" w:cs="Calibri"/>
          <w:bCs/>
          <w:i/>
          <w:spacing w:val="-1"/>
          <w:sz w:val="18"/>
          <w:szCs w:val="18"/>
        </w:rPr>
        <w:t>Note: The arrows show the duration between start and expected end dates of project implementation</w:t>
      </w:r>
      <w:r w:rsidRPr="002E1A3F">
        <w:rPr>
          <w:rFonts w:ascii="Calibri" w:eastAsia="Calibri" w:hAnsi="Calibri" w:cs="Calibri"/>
          <w:bCs/>
          <w:i/>
          <w:spacing w:val="-1"/>
          <w:sz w:val="22"/>
          <w:szCs w:val="22"/>
        </w:rPr>
        <w:t>.</w:t>
      </w:r>
    </w:p>
    <w:p w14:paraId="10061BE5" w14:textId="77777777" w:rsidR="002642A7" w:rsidRPr="002E1A3F" w:rsidRDefault="002642A7" w:rsidP="008E2709">
      <w:pPr>
        <w:tabs>
          <w:tab w:val="left" w:pos="0"/>
          <w:tab w:val="left" w:pos="720"/>
        </w:tabs>
        <w:jc w:val="center"/>
        <w:rPr>
          <w:rFonts w:ascii="Calibri" w:eastAsia="Calibri" w:hAnsi="Calibri" w:cs="Calibri"/>
          <w:bCs/>
          <w:i/>
          <w:spacing w:val="-1"/>
          <w:sz w:val="22"/>
          <w:szCs w:val="22"/>
        </w:rPr>
      </w:pPr>
    </w:p>
    <w:p w14:paraId="5568E25A" w14:textId="77777777" w:rsidR="006A4088" w:rsidRPr="001C2764"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The ACE projects aim to build regional capacity to deliver high quality postgraduate courses and to conduct and disseminate international caliber applied research focused on addressing development challenges in SSA. </w:t>
      </w:r>
      <w:r w:rsidRPr="002E1A3F">
        <w:rPr>
          <w:rFonts w:ascii="Calibri" w:eastAsia="Calibri" w:hAnsi="Calibri" w:cs="Calibri"/>
          <w:spacing w:val="-1"/>
          <w:sz w:val="22"/>
          <w:szCs w:val="22"/>
        </w:rPr>
        <w:t xml:space="preserve">Given the limited resources available to support postgraduate training and applied </w:t>
      </w:r>
      <w:r w:rsidRPr="002E1A3F">
        <w:rPr>
          <w:rFonts w:ascii="Calibri" w:eastAsia="Calibri" w:hAnsi="Calibri" w:cs="Calibri"/>
          <w:spacing w:val="-1"/>
          <w:sz w:val="22"/>
          <w:szCs w:val="22"/>
        </w:rPr>
        <w:lastRenderedPageBreak/>
        <w:t xml:space="preserve">research in SSA, the ACE projects are designed to increase specialization and excellence of higher education. This will build regional capacity essential to Africa’s development. The ACE projects leverage institutional and national strengths to serve regional needs. </w:t>
      </w:r>
      <w:r w:rsidR="00701C7F">
        <w:rPr>
          <w:rFonts w:ascii="Calibri" w:eastAsia="Calibri" w:hAnsi="Calibri" w:cs="Calibri"/>
          <w:bCs/>
          <w:spacing w:val="-1"/>
          <w:sz w:val="22"/>
          <w:szCs w:val="22"/>
        </w:rPr>
        <w:t>T</w:t>
      </w:r>
      <w:r w:rsidRPr="002E1A3F">
        <w:rPr>
          <w:rFonts w:ascii="Calibri" w:eastAsia="Calibri" w:hAnsi="Calibri" w:cs="Calibri"/>
          <w:bCs/>
          <w:spacing w:val="-1"/>
          <w:sz w:val="22"/>
          <w:szCs w:val="22"/>
        </w:rPr>
        <w:t xml:space="preserve">he ACE projects use a regional model with the following elements: transparent and competitive selection of centers; a strong focus on regional collaboration, networks and student recruitment; strong government and institutional ownership; results-based financing (RBF) with independent verification of results; a robust M&amp;E protocol; intensive implementation support using regional and international subject matter experts; and the development of partnerships across institutions, private sector/industry actors and academics. </w:t>
      </w:r>
      <w:r w:rsidR="00E10C29">
        <w:rPr>
          <w:rFonts w:ascii="Calibri" w:eastAsia="Calibri" w:hAnsi="Calibri" w:cs="Calibri"/>
          <w:spacing w:val="-1"/>
          <w:sz w:val="22"/>
          <w:szCs w:val="22"/>
        </w:rPr>
        <w:t>The r</w:t>
      </w:r>
      <w:r w:rsidRPr="002E1A3F">
        <w:rPr>
          <w:rFonts w:ascii="Calibri" w:eastAsia="Calibri" w:hAnsi="Calibri" w:cs="Calibri"/>
          <w:spacing w:val="-1"/>
          <w:sz w:val="22"/>
          <w:szCs w:val="22"/>
        </w:rPr>
        <w:t xml:space="preserve">esults from ACE I and II </w:t>
      </w:r>
      <w:r w:rsidR="00A34DC3">
        <w:rPr>
          <w:rFonts w:ascii="Calibri" w:eastAsia="Calibri" w:hAnsi="Calibri" w:cs="Calibri"/>
          <w:spacing w:val="-1"/>
          <w:sz w:val="22"/>
          <w:szCs w:val="22"/>
        </w:rPr>
        <w:t>P</w:t>
      </w:r>
      <w:r w:rsidRPr="002E1A3F">
        <w:rPr>
          <w:rFonts w:ascii="Calibri" w:eastAsia="Calibri" w:hAnsi="Calibri" w:cs="Calibri"/>
          <w:spacing w:val="-1"/>
          <w:sz w:val="22"/>
          <w:szCs w:val="22"/>
        </w:rPr>
        <w:t>rojects are encouraging (see Boxes 1 and 2 below).</w:t>
      </w:r>
    </w:p>
    <w:p w14:paraId="33C07F72" w14:textId="77777777" w:rsidR="001C2764" w:rsidRPr="006A4088"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spacing w:val="-1"/>
          <w:sz w:val="22"/>
          <w:szCs w:val="22"/>
        </w:rPr>
      </w:pPr>
      <w:r w:rsidRPr="002C3D86">
        <w:rPr>
          <w:rFonts w:ascii="Calibri" w:eastAsia="Calibri" w:hAnsi="Calibri" w:cs="Calibri"/>
          <w:b/>
          <w:bCs/>
          <w:spacing w:val="-1"/>
          <w:sz w:val="22"/>
          <w:szCs w:val="22"/>
        </w:rPr>
        <w:t>Each ACE center</w:t>
      </w:r>
      <w:r w:rsidRPr="002C3D86">
        <w:rPr>
          <w:rFonts w:ascii="Calibri,Times New Roman" w:eastAsia="Calibri,Times New Roman" w:hAnsi="Calibri,Times New Roman" w:cs="Calibri,Times New Roman"/>
          <w:b/>
          <w:bCs/>
          <w:spacing w:val="-1"/>
          <w:sz w:val="22"/>
          <w:szCs w:val="22"/>
        </w:rPr>
        <w:t xml:space="preserve"> </w:t>
      </w:r>
      <w:r w:rsidRPr="006A4088">
        <w:rPr>
          <w:rFonts w:ascii="Calibri" w:eastAsia="Calibri" w:hAnsi="Calibri" w:cs="Calibri"/>
          <w:b/>
          <w:bCs/>
          <w:spacing w:val="-1"/>
          <w:sz w:val="22"/>
          <w:szCs w:val="22"/>
        </w:rPr>
        <w:t xml:space="preserve">contributes to the broader regional project goal of strengthening and regionalizing higher education in SSA.  </w:t>
      </w:r>
      <w:r w:rsidRPr="006A4088">
        <w:rPr>
          <w:rFonts w:ascii="Calibri" w:eastAsia="Calibri" w:hAnsi="Calibri" w:cs="Calibri"/>
          <w:bCs/>
          <w:spacing w:val="-1"/>
          <w:sz w:val="22"/>
          <w:szCs w:val="22"/>
        </w:rPr>
        <w:t>An</w:t>
      </w:r>
      <w:r w:rsidRPr="006A4088">
        <w:rPr>
          <w:rFonts w:ascii="Calibri" w:eastAsia="Calibri" w:hAnsi="Calibri" w:cs="Calibri"/>
          <w:b/>
          <w:bCs/>
          <w:spacing w:val="-1"/>
          <w:sz w:val="22"/>
          <w:szCs w:val="22"/>
        </w:rPr>
        <w:t xml:space="preserve"> </w:t>
      </w:r>
      <w:r w:rsidRPr="006A4088">
        <w:rPr>
          <w:rFonts w:ascii="Calibri" w:eastAsia="Calibri" w:hAnsi="Calibri" w:cs="Calibri"/>
          <w:spacing w:val="-1"/>
          <w:sz w:val="22"/>
          <w:szCs w:val="22"/>
        </w:rPr>
        <w:t xml:space="preserve">ACE center consists of a group of faculty members from multiple academic departments led by a recognized center leader and with a network of external sectoral and academic partners. The education and applied research activities of the center focus on a single thematic area that is critical for development, for instance, climate change, maternal and infant health, and/or Information technology (IT). </w:t>
      </w:r>
      <w:r w:rsidRPr="006A4088">
        <w:rPr>
          <w:rFonts w:ascii="Calibri" w:eastAsia="Calibri" w:hAnsi="Calibri" w:cs="Calibri"/>
          <w:bCs/>
          <w:spacing w:val="-1"/>
          <w:sz w:val="22"/>
          <w:szCs w:val="22"/>
        </w:rPr>
        <w:t>ACE centers aim to recruit a high-quality regional student body and work towards: producing a highly trained workforce with skills tailored to the needs of the sector(s) they serve; partnering with industry and sector stakeholders to identify regional needs; and disseminating research results both in international publications and through appropriate regional channels.</w:t>
      </w:r>
    </w:p>
    <w:p w14:paraId="7AE60FB4" w14:textId="77777777" w:rsidR="00D80245" w:rsidRPr="00294CE8" w:rsidRDefault="00B00100" w:rsidP="008E2709">
      <w:pPr>
        <w:widowControl/>
        <w:tabs>
          <w:tab w:val="left" w:pos="0"/>
          <w:tab w:val="left" w:pos="720"/>
        </w:tabs>
        <w:autoSpaceDE/>
        <w:autoSpaceDN/>
        <w:adjustRightInd/>
        <w:jc w:val="both"/>
        <w:rPr>
          <w:rFonts w:ascii="Calibri" w:eastAsia="Times New Roman" w:hAnsi="Calibri" w:cs="Calibri"/>
          <w:b/>
          <w:bCs/>
          <w:color w:val="0070C0"/>
          <w:spacing w:val="-1"/>
          <w:sz w:val="22"/>
          <w:szCs w:val="22"/>
        </w:rPr>
      </w:pPr>
      <w:r w:rsidRPr="002E1A3F">
        <w:rPr>
          <w:rFonts w:ascii="Calibri" w:eastAsia="Times New Roman" w:hAnsi="Calibri" w:cs="Calibri"/>
          <w:noProof/>
          <w:color w:val="172D5F"/>
          <w:sz w:val="22"/>
          <w:szCs w:val="22"/>
        </w:rPr>
        <w:lastRenderedPageBreak/>
        <mc:AlternateContent>
          <mc:Choice Requires="wps">
            <w:drawing>
              <wp:anchor distT="0" distB="0" distL="114300" distR="114300" simplePos="0" relativeHeight="251658247" behindDoc="1" locked="0" layoutInCell="1" allowOverlap="1" wp14:anchorId="5A043F1F" wp14:editId="6FF672F5">
                <wp:simplePos x="0" y="0"/>
                <wp:positionH relativeFrom="column">
                  <wp:posOffset>0</wp:posOffset>
                </wp:positionH>
                <wp:positionV relativeFrom="paragraph">
                  <wp:posOffset>2736850</wp:posOffset>
                </wp:positionV>
                <wp:extent cx="5934075" cy="1781175"/>
                <wp:effectExtent l="0" t="0" r="28575" b="28575"/>
                <wp:wrapTight wrapText="bothSides">
                  <wp:wrapPolygon edited="0">
                    <wp:start x="0" y="0"/>
                    <wp:lineTo x="0" y="21716"/>
                    <wp:lineTo x="21635" y="21716"/>
                    <wp:lineTo x="21635"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781175"/>
                        </a:xfrm>
                        <a:prstGeom prst="rect">
                          <a:avLst/>
                        </a:prstGeom>
                        <a:noFill/>
                        <a:ln w="19050">
                          <a:solidFill>
                            <a:srgbClr val="0070C0"/>
                          </a:solidFill>
                          <a:miter lim="800000"/>
                          <a:headEnd/>
                          <a:tailEnd/>
                        </a:ln>
                      </wps:spPr>
                      <wps:txbx>
                        <w:txbxContent>
                          <w:p w14:paraId="29B80116" w14:textId="77777777" w:rsidR="00D936A3" w:rsidRDefault="00B00100" w:rsidP="001C2764">
                            <w:pPr>
                              <w:keepNext/>
                              <w:keepLines/>
                              <w:tabs>
                                <w:tab w:val="left" w:pos="0"/>
                                <w:tab w:val="left" w:pos="720"/>
                              </w:tabs>
                              <w:jc w:val="center"/>
                              <w:rPr>
                                <w:rFonts w:ascii="Calibri" w:eastAsia="Times New Roman" w:hAnsi="Calibri" w:cs="Calibri"/>
                                <w:bCs/>
                                <w:spacing w:val="-1"/>
                                <w:sz w:val="21"/>
                                <w:szCs w:val="21"/>
                              </w:rPr>
                            </w:pPr>
                            <w:r w:rsidRPr="003A41F9">
                              <w:rPr>
                                <w:rFonts w:ascii="Calibri" w:eastAsia="Times New Roman" w:hAnsi="Calibri" w:cs="Calibri"/>
                                <w:b/>
                                <w:bCs/>
                                <w:color w:val="0070C0"/>
                                <w:spacing w:val="-1"/>
                              </w:rPr>
                              <w:t>Box 2.  ACE II</w:t>
                            </w:r>
                            <w:r>
                              <w:rPr>
                                <w:rFonts w:ascii="Calibri" w:eastAsia="Times New Roman" w:hAnsi="Calibri" w:cs="Calibri"/>
                                <w:b/>
                                <w:bCs/>
                                <w:color w:val="0070C0"/>
                                <w:spacing w:val="-1"/>
                              </w:rPr>
                              <w:t xml:space="preserve"> Results</w:t>
                            </w:r>
                          </w:p>
                          <w:p w14:paraId="130E6B9B" w14:textId="77777777" w:rsidR="00D936A3" w:rsidRPr="002E1A3F" w:rsidRDefault="00B00100" w:rsidP="001C2764">
                            <w:pPr>
                              <w:tabs>
                                <w:tab w:val="left" w:pos="0"/>
                                <w:tab w:val="left" w:pos="720"/>
                              </w:tabs>
                              <w:jc w:val="both"/>
                              <w:rPr>
                                <w:sz w:val="21"/>
                                <w:szCs w:val="21"/>
                              </w:rPr>
                            </w:pPr>
                            <w:r w:rsidRPr="00F0725F">
                              <w:rPr>
                                <w:rFonts w:ascii="Calibri" w:eastAsia="Times New Roman" w:hAnsi="Calibri" w:cs="Calibri"/>
                                <w:bCs/>
                                <w:spacing w:val="-1"/>
                                <w:sz w:val="21"/>
                                <w:szCs w:val="21"/>
                              </w:rPr>
                              <w:t>Under the ACE II project, preliminary results from the Centers demonstrate good progress: (i) more than 1,</w:t>
                            </w:r>
                            <w:r>
                              <w:rPr>
                                <w:rFonts w:ascii="Calibri" w:eastAsia="Times New Roman" w:hAnsi="Calibri" w:cs="Calibri"/>
                                <w:bCs/>
                                <w:spacing w:val="-1"/>
                                <w:sz w:val="21"/>
                                <w:szCs w:val="21"/>
                              </w:rPr>
                              <w:t>142</w:t>
                            </w:r>
                            <w:r w:rsidRPr="00F0725F">
                              <w:rPr>
                                <w:rFonts w:ascii="Calibri" w:eastAsia="Times New Roman" w:hAnsi="Calibri" w:cs="Calibri"/>
                                <w:bCs/>
                                <w:spacing w:val="-1"/>
                                <w:sz w:val="21"/>
                                <w:szCs w:val="21"/>
                              </w:rPr>
                              <w:t xml:space="preserve"> master’s students and </w:t>
                            </w:r>
                            <w:r>
                              <w:rPr>
                                <w:rFonts w:ascii="Calibri" w:eastAsia="Times New Roman" w:hAnsi="Calibri" w:cs="Calibri"/>
                                <w:bCs/>
                                <w:spacing w:val="-1"/>
                                <w:sz w:val="21"/>
                                <w:szCs w:val="21"/>
                              </w:rPr>
                              <w:t>253</w:t>
                            </w:r>
                            <w:r w:rsidRPr="00F0725F">
                              <w:rPr>
                                <w:rFonts w:ascii="Calibri" w:eastAsia="Times New Roman" w:hAnsi="Calibri" w:cs="Calibri"/>
                                <w:bCs/>
                                <w:spacing w:val="-1"/>
                                <w:sz w:val="21"/>
                                <w:szCs w:val="21"/>
                              </w:rPr>
                              <w:t xml:space="preserve"> PhD</w:t>
                            </w:r>
                            <w:r>
                              <w:rPr>
                                <w:rFonts w:ascii="Calibri" w:eastAsia="Times New Roman" w:hAnsi="Calibri" w:cs="Calibri"/>
                                <w:bCs/>
                                <w:spacing w:val="-1"/>
                                <w:sz w:val="21"/>
                                <w:szCs w:val="21"/>
                              </w:rPr>
                              <w:t xml:space="preserve"> students</w:t>
                            </w:r>
                            <w:r w:rsidRPr="00F0725F">
                              <w:rPr>
                                <w:rFonts w:ascii="Calibri" w:eastAsia="Times New Roman" w:hAnsi="Calibri" w:cs="Calibri"/>
                                <w:bCs/>
                                <w:spacing w:val="-1"/>
                                <w:sz w:val="21"/>
                                <w:szCs w:val="21"/>
                              </w:rPr>
                              <w:t xml:space="preserve"> have enrolled in the ACEs of which over </w:t>
                            </w:r>
                            <w:r>
                              <w:rPr>
                                <w:rFonts w:ascii="Calibri" w:eastAsia="Times New Roman" w:hAnsi="Calibri" w:cs="Calibri"/>
                                <w:bCs/>
                                <w:spacing w:val="-1"/>
                                <w:sz w:val="21"/>
                                <w:szCs w:val="21"/>
                              </w:rPr>
                              <w:t>499</w:t>
                            </w:r>
                            <w:r w:rsidRPr="00F0725F">
                              <w:rPr>
                                <w:rFonts w:ascii="Calibri" w:eastAsia="Times New Roman" w:hAnsi="Calibri" w:cs="Calibri"/>
                                <w:bCs/>
                                <w:spacing w:val="-1"/>
                                <w:sz w:val="21"/>
                                <w:szCs w:val="21"/>
                              </w:rPr>
                              <w:t xml:space="preserve"> are female; (ii) US$</w:t>
                            </w:r>
                            <w:r>
                              <w:rPr>
                                <w:rFonts w:ascii="Calibri" w:eastAsia="Times New Roman" w:hAnsi="Calibri" w:cs="Calibri"/>
                                <w:bCs/>
                                <w:spacing w:val="-1"/>
                                <w:sz w:val="21"/>
                                <w:szCs w:val="21"/>
                              </w:rPr>
                              <w:t>7.2</w:t>
                            </w:r>
                            <w:r w:rsidRPr="00F0725F">
                              <w:rPr>
                                <w:rFonts w:ascii="Calibri" w:eastAsia="Times New Roman" w:hAnsi="Calibri" w:cs="Calibri"/>
                                <w:bCs/>
                                <w:spacing w:val="-1"/>
                                <w:sz w:val="21"/>
                                <w:szCs w:val="21"/>
                              </w:rPr>
                              <w:t xml:space="preserve"> million has been generated in external revenue within the two years of implementation; and (iii) </w:t>
                            </w:r>
                            <w:r>
                              <w:rPr>
                                <w:rFonts w:ascii="Calibri" w:eastAsia="Times New Roman" w:hAnsi="Calibri" w:cs="Calibri"/>
                                <w:bCs/>
                                <w:spacing w:val="-1"/>
                                <w:sz w:val="21"/>
                                <w:szCs w:val="21"/>
                              </w:rPr>
                              <w:t>299</w:t>
                            </w:r>
                            <w:r w:rsidRPr="00F0725F">
                              <w:rPr>
                                <w:rFonts w:ascii="Calibri" w:eastAsia="Times New Roman" w:hAnsi="Calibri" w:cs="Calibri"/>
                                <w:bCs/>
                                <w:spacing w:val="-1"/>
                                <w:sz w:val="21"/>
                                <w:szCs w:val="21"/>
                              </w:rPr>
                              <w:t xml:space="preserve"> </w:t>
                            </w:r>
                            <w:r>
                              <w:rPr>
                                <w:rFonts w:ascii="Calibri" w:eastAsia="Times New Roman" w:hAnsi="Calibri" w:cs="Calibri"/>
                                <w:bCs/>
                                <w:spacing w:val="-1"/>
                                <w:sz w:val="21"/>
                                <w:szCs w:val="21"/>
                              </w:rPr>
                              <w:t>M</w:t>
                            </w:r>
                            <w:r w:rsidRPr="00F0725F">
                              <w:rPr>
                                <w:rFonts w:ascii="Calibri" w:eastAsia="Times New Roman" w:hAnsi="Calibri" w:cs="Calibri"/>
                                <w:bCs/>
                                <w:spacing w:val="-1"/>
                                <w:sz w:val="21"/>
                                <w:szCs w:val="21"/>
                              </w:rPr>
                              <w:t xml:space="preserve">emoranda of </w:t>
                            </w:r>
                            <w:r>
                              <w:rPr>
                                <w:rFonts w:ascii="Calibri" w:eastAsia="Times New Roman" w:hAnsi="Calibri" w:cs="Calibri"/>
                                <w:bCs/>
                                <w:spacing w:val="-1"/>
                                <w:sz w:val="21"/>
                                <w:szCs w:val="21"/>
                              </w:rPr>
                              <w:t>U</w:t>
                            </w:r>
                            <w:r w:rsidRPr="00F0725F">
                              <w:rPr>
                                <w:rFonts w:ascii="Calibri" w:eastAsia="Times New Roman" w:hAnsi="Calibri" w:cs="Calibri"/>
                                <w:bCs/>
                                <w:spacing w:val="-1"/>
                                <w:sz w:val="21"/>
                                <w:szCs w:val="21"/>
                              </w:rPr>
                              <w:t>nderstanding (MoUs) on research and training collaboration have been entered into by the ACEs with regional and international universities and research institutions. The Center for Innovative Drug Development and Therapeutic Trials for Africa at Addis Ababa University, Ethiopia, for example, obtained two grants with its partners, King’s College London (US$1.5</w:t>
                            </w:r>
                            <w:r>
                              <w:rPr>
                                <w:rFonts w:ascii="Calibri" w:eastAsia="Times New Roman" w:hAnsi="Calibri" w:cs="Calibri"/>
                                <w:bCs/>
                                <w:spacing w:val="-1"/>
                                <w:sz w:val="21"/>
                                <w:szCs w:val="21"/>
                              </w:rPr>
                              <w:t xml:space="preserve"> </w:t>
                            </w:r>
                            <w:r w:rsidRPr="00F0725F">
                              <w:rPr>
                                <w:rFonts w:ascii="Calibri" w:eastAsia="Times New Roman" w:hAnsi="Calibri" w:cs="Calibri"/>
                                <w:bCs/>
                                <w:spacing w:val="-1"/>
                                <w:sz w:val="21"/>
                                <w:szCs w:val="21"/>
                              </w:rPr>
                              <w:t>million), and University of Sussex (US$1 million) funded by the National Institute of Health (UK) for their research and to support PhD students and post-doctoral fellows</w:t>
                            </w:r>
                            <w:r w:rsidRPr="002E1A3F">
                              <w:rPr>
                                <w:rFonts w:ascii="Calibri" w:eastAsia="Times New Roman" w:hAnsi="Calibri" w:cs="Calibri"/>
                                <w:bCs/>
                                <w:spacing w:val="-1"/>
                                <w:sz w:val="21"/>
                                <w:szCs w:val="21"/>
                              </w:rPr>
                              <w:t>.</w:t>
                            </w:r>
                          </w:p>
                        </w:txbxContent>
                      </wps:txbx>
                      <wps:bodyPr rot="0" vert="horz" wrap="square" anchor="t" anchorCtr="0"/>
                    </wps:wsp>
                  </a:graphicData>
                </a:graphic>
              </wp:anchor>
            </w:drawing>
          </mc:Choice>
          <mc:Fallback>
            <w:pict>
              <v:shape w14:anchorId="5A043F1F" id="_x0000_s1028" type="#_x0000_t202" style="position:absolute;left:0;text-align:left;margin-left:0;margin-top:215.5pt;width:467.25pt;height:140.2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" filled="f" strokecolor="#0070c0" strokeweight="1.5pt">
                <v:textbox>
                  <w:txbxContent>
                    <w:p w14:paraId="29B80116" w14:textId="77777777" w:rsidR="00D936A3" w:rsidRDefault="00B00100" w:rsidP="001C2764">
                      <w:pPr>
                        <w:keepNext/>
                        <w:keepLines/>
                        <w:tabs>
                          <w:tab w:val="left" w:pos="0"/>
                          <w:tab w:val="left" w:pos="720"/>
                        </w:tabs>
                        <w:jc w:val="center"/>
                        <w:rPr>
                          <w:rFonts w:ascii="Calibri" w:eastAsia="Times New Roman" w:hAnsi="Calibri" w:cs="Calibri"/>
                          <w:bCs/>
                          <w:spacing w:val="-1"/>
                          <w:sz w:val="21"/>
                          <w:szCs w:val="21"/>
                        </w:rPr>
                      </w:pPr>
                      <w:r w:rsidRPr="003A41F9">
                        <w:rPr>
                          <w:rFonts w:ascii="Calibri" w:eastAsia="Times New Roman" w:hAnsi="Calibri" w:cs="Calibri"/>
                          <w:b/>
                          <w:bCs/>
                          <w:color w:val="0070C0"/>
                          <w:spacing w:val="-1"/>
                        </w:rPr>
                        <w:t>Box 2.  ACE II</w:t>
                      </w:r>
                      <w:r>
                        <w:rPr>
                          <w:rFonts w:ascii="Calibri" w:eastAsia="Times New Roman" w:hAnsi="Calibri" w:cs="Calibri"/>
                          <w:b/>
                          <w:bCs/>
                          <w:color w:val="0070C0"/>
                          <w:spacing w:val="-1"/>
                        </w:rPr>
                        <w:t xml:space="preserve"> Results</w:t>
                      </w:r>
                    </w:p>
                    <w:p w14:paraId="130E6B9B" w14:textId="77777777" w:rsidR="00D936A3" w:rsidRPr="002E1A3F" w:rsidRDefault="00B00100" w:rsidP="001C2764">
                      <w:pPr>
                        <w:tabs>
                          <w:tab w:val="left" w:pos="0"/>
                          <w:tab w:val="left" w:pos="720"/>
                        </w:tabs>
                        <w:jc w:val="both"/>
                        <w:rPr>
                          <w:sz w:val="21"/>
                          <w:szCs w:val="21"/>
                        </w:rPr>
                      </w:pPr>
                      <w:r w:rsidRPr="00F0725F">
                        <w:rPr>
                          <w:rFonts w:ascii="Calibri" w:eastAsia="Times New Roman" w:hAnsi="Calibri" w:cs="Calibri"/>
                          <w:bCs/>
                          <w:spacing w:val="-1"/>
                          <w:sz w:val="21"/>
                          <w:szCs w:val="21"/>
                        </w:rPr>
                        <w:t>Under the ACE II project, preliminary results from the Centers demonstrate good progress: (i) more than 1,</w:t>
                      </w:r>
                      <w:r>
                        <w:rPr>
                          <w:rFonts w:ascii="Calibri" w:eastAsia="Times New Roman" w:hAnsi="Calibri" w:cs="Calibri"/>
                          <w:bCs/>
                          <w:spacing w:val="-1"/>
                          <w:sz w:val="21"/>
                          <w:szCs w:val="21"/>
                        </w:rPr>
                        <w:t>142</w:t>
                      </w:r>
                      <w:r w:rsidRPr="00F0725F">
                        <w:rPr>
                          <w:rFonts w:ascii="Calibri" w:eastAsia="Times New Roman" w:hAnsi="Calibri" w:cs="Calibri"/>
                          <w:bCs/>
                          <w:spacing w:val="-1"/>
                          <w:sz w:val="21"/>
                          <w:szCs w:val="21"/>
                        </w:rPr>
                        <w:t xml:space="preserve"> master’s students and </w:t>
                      </w:r>
                      <w:r>
                        <w:rPr>
                          <w:rFonts w:ascii="Calibri" w:eastAsia="Times New Roman" w:hAnsi="Calibri" w:cs="Calibri"/>
                          <w:bCs/>
                          <w:spacing w:val="-1"/>
                          <w:sz w:val="21"/>
                          <w:szCs w:val="21"/>
                        </w:rPr>
                        <w:t>253</w:t>
                      </w:r>
                      <w:r w:rsidRPr="00F0725F">
                        <w:rPr>
                          <w:rFonts w:ascii="Calibri" w:eastAsia="Times New Roman" w:hAnsi="Calibri" w:cs="Calibri"/>
                          <w:bCs/>
                          <w:spacing w:val="-1"/>
                          <w:sz w:val="21"/>
                          <w:szCs w:val="21"/>
                        </w:rPr>
                        <w:t xml:space="preserve"> PhD</w:t>
                      </w:r>
                      <w:r>
                        <w:rPr>
                          <w:rFonts w:ascii="Calibri" w:eastAsia="Times New Roman" w:hAnsi="Calibri" w:cs="Calibri"/>
                          <w:bCs/>
                          <w:spacing w:val="-1"/>
                          <w:sz w:val="21"/>
                          <w:szCs w:val="21"/>
                        </w:rPr>
                        <w:t xml:space="preserve"> students</w:t>
                      </w:r>
                      <w:r w:rsidRPr="00F0725F">
                        <w:rPr>
                          <w:rFonts w:ascii="Calibri" w:eastAsia="Times New Roman" w:hAnsi="Calibri" w:cs="Calibri"/>
                          <w:bCs/>
                          <w:spacing w:val="-1"/>
                          <w:sz w:val="21"/>
                          <w:szCs w:val="21"/>
                        </w:rPr>
                        <w:t xml:space="preserve"> have enrolled in the ACEs of which over </w:t>
                      </w:r>
                      <w:r>
                        <w:rPr>
                          <w:rFonts w:ascii="Calibri" w:eastAsia="Times New Roman" w:hAnsi="Calibri" w:cs="Calibri"/>
                          <w:bCs/>
                          <w:spacing w:val="-1"/>
                          <w:sz w:val="21"/>
                          <w:szCs w:val="21"/>
                        </w:rPr>
                        <w:t>499</w:t>
                      </w:r>
                      <w:r w:rsidRPr="00F0725F">
                        <w:rPr>
                          <w:rFonts w:ascii="Calibri" w:eastAsia="Times New Roman" w:hAnsi="Calibri" w:cs="Calibri"/>
                          <w:bCs/>
                          <w:spacing w:val="-1"/>
                          <w:sz w:val="21"/>
                          <w:szCs w:val="21"/>
                        </w:rPr>
                        <w:t xml:space="preserve"> are female; (ii) US$</w:t>
                      </w:r>
                      <w:r>
                        <w:rPr>
                          <w:rFonts w:ascii="Calibri" w:eastAsia="Times New Roman" w:hAnsi="Calibri" w:cs="Calibri"/>
                          <w:bCs/>
                          <w:spacing w:val="-1"/>
                          <w:sz w:val="21"/>
                          <w:szCs w:val="21"/>
                        </w:rPr>
                        <w:t>7.2</w:t>
                      </w:r>
                      <w:r w:rsidRPr="00F0725F">
                        <w:rPr>
                          <w:rFonts w:ascii="Calibri" w:eastAsia="Times New Roman" w:hAnsi="Calibri" w:cs="Calibri"/>
                          <w:bCs/>
                          <w:spacing w:val="-1"/>
                          <w:sz w:val="21"/>
                          <w:szCs w:val="21"/>
                        </w:rPr>
                        <w:t xml:space="preserve"> million has been generated in external revenue within the two years of implementation; and (iii) </w:t>
                      </w:r>
                      <w:r>
                        <w:rPr>
                          <w:rFonts w:ascii="Calibri" w:eastAsia="Times New Roman" w:hAnsi="Calibri" w:cs="Calibri"/>
                          <w:bCs/>
                          <w:spacing w:val="-1"/>
                          <w:sz w:val="21"/>
                          <w:szCs w:val="21"/>
                        </w:rPr>
                        <w:t>299</w:t>
                      </w:r>
                      <w:r w:rsidRPr="00F0725F">
                        <w:rPr>
                          <w:rFonts w:ascii="Calibri" w:eastAsia="Times New Roman" w:hAnsi="Calibri" w:cs="Calibri"/>
                          <w:bCs/>
                          <w:spacing w:val="-1"/>
                          <w:sz w:val="21"/>
                          <w:szCs w:val="21"/>
                        </w:rPr>
                        <w:t xml:space="preserve"> </w:t>
                      </w:r>
                      <w:r>
                        <w:rPr>
                          <w:rFonts w:ascii="Calibri" w:eastAsia="Times New Roman" w:hAnsi="Calibri" w:cs="Calibri"/>
                          <w:bCs/>
                          <w:spacing w:val="-1"/>
                          <w:sz w:val="21"/>
                          <w:szCs w:val="21"/>
                        </w:rPr>
                        <w:t>M</w:t>
                      </w:r>
                      <w:r w:rsidRPr="00F0725F">
                        <w:rPr>
                          <w:rFonts w:ascii="Calibri" w:eastAsia="Times New Roman" w:hAnsi="Calibri" w:cs="Calibri"/>
                          <w:bCs/>
                          <w:spacing w:val="-1"/>
                          <w:sz w:val="21"/>
                          <w:szCs w:val="21"/>
                        </w:rPr>
                        <w:t xml:space="preserve">emoranda of </w:t>
                      </w:r>
                      <w:r>
                        <w:rPr>
                          <w:rFonts w:ascii="Calibri" w:eastAsia="Times New Roman" w:hAnsi="Calibri" w:cs="Calibri"/>
                          <w:bCs/>
                          <w:spacing w:val="-1"/>
                          <w:sz w:val="21"/>
                          <w:szCs w:val="21"/>
                        </w:rPr>
                        <w:t>U</w:t>
                      </w:r>
                      <w:r w:rsidRPr="00F0725F">
                        <w:rPr>
                          <w:rFonts w:ascii="Calibri" w:eastAsia="Times New Roman" w:hAnsi="Calibri" w:cs="Calibri"/>
                          <w:bCs/>
                          <w:spacing w:val="-1"/>
                          <w:sz w:val="21"/>
                          <w:szCs w:val="21"/>
                        </w:rPr>
                        <w:t>nderstanding (MoUs) on research and training collaboration have been entered into by the ACEs with regional and international universities and research institutions. The Center for Innovative Drug Development and Therapeutic Trials for Africa at Addis Ababa University, Ethiopia, for example, obtained two grants with its partners, King’s College London (US$1.5</w:t>
                      </w:r>
                      <w:r>
                        <w:rPr>
                          <w:rFonts w:ascii="Calibri" w:eastAsia="Times New Roman" w:hAnsi="Calibri" w:cs="Calibri"/>
                          <w:bCs/>
                          <w:spacing w:val="-1"/>
                          <w:sz w:val="21"/>
                          <w:szCs w:val="21"/>
                        </w:rPr>
                        <w:t xml:space="preserve"> </w:t>
                      </w:r>
                      <w:r w:rsidRPr="00F0725F">
                        <w:rPr>
                          <w:rFonts w:ascii="Calibri" w:eastAsia="Times New Roman" w:hAnsi="Calibri" w:cs="Calibri"/>
                          <w:bCs/>
                          <w:spacing w:val="-1"/>
                          <w:sz w:val="21"/>
                          <w:szCs w:val="21"/>
                        </w:rPr>
                        <w:t>million), and University of Sussex (US$1 million) funded by the National Institute of Health (UK) for their research and to support PhD students and post-doctoral fellows</w:t>
                      </w:r>
                      <w:r w:rsidRPr="002E1A3F">
                        <w:rPr>
                          <w:rFonts w:ascii="Calibri" w:eastAsia="Times New Roman" w:hAnsi="Calibri" w:cs="Calibri"/>
                          <w:bCs/>
                          <w:spacing w:val="-1"/>
                          <w:sz w:val="21"/>
                          <w:szCs w:val="21"/>
                        </w:rPr>
                        <w:t>.</w:t>
                      </w:r>
                    </w:p>
                  </w:txbxContent>
                </v:textbox>
                <w10:wrap type="tight"/>
              </v:shape>
            </w:pict>
          </mc:Fallback>
        </mc:AlternateContent>
      </w:r>
      <w:r w:rsidRPr="002E1A3F">
        <w:rPr>
          <w:rFonts w:ascii="Calibri" w:eastAsia="Times New Roman" w:hAnsi="Calibri" w:cs="Calibri"/>
          <w:b/>
          <w:bCs/>
          <w:noProof/>
          <w:color w:val="0070C0"/>
          <w:spacing w:val="-1"/>
          <w:sz w:val="22"/>
          <w:szCs w:val="22"/>
        </w:rPr>
        <mc:AlternateContent>
          <mc:Choice Requires="wps">
            <w:drawing>
              <wp:anchor distT="45720" distB="45720" distL="114300" distR="114300" simplePos="0" relativeHeight="251658240" behindDoc="0" locked="0" layoutInCell="1" allowOverlap="1" wp14:anchorId="5CA51404" wp14:editId="43FDD6C3">
                <wp:simplePos x="0" y="0"/>
                <wp:positionH relativeFrom="margin">
                  <wp:posOffset>0</wp:posOffset>
                </wp:positionH>
                <wp:positionV relativeFrom="paragraph">
                  <wp:posOffset>41910</wp:posOffset>
                </wp:positionV>
                <wp:extent cx="5943600" cy="2619375"/>
                <wp:effectExtent l="0" t="0" r="19050" b="28575"/>
                <wp:wrapTopAndBottom/>
                <wp:docPr id="386445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9375"/>
                        </a:xfrm>
                        <a:prstGeom prst="rect">
                          <a:avLst/>
                        </a:prstGeom>
                        <a:noFill/>
                        <a:ln w="19050">
                          <a:solidFill>
                            <a:srgbClr val="0070C0"/>
                          </a:solidFill>
                          <a:miter lim="800000"/>
                          <a:headEnd/>
                          <a:tailEnd/>
                        </a:ln>
                      </wps:spPr>
                      <wps:txbx>
                        <w:txbxContent>
                          <w:p w14:paraId="3F774D02" w14:textId="77777777" w:rsidR="00D936A3" w:rsidRDefault="00B00100" w:rsidP="002E1A3F">
                            <w:pPr>
                              <w:tabs>
                                <w:tab w:val="left" w:pos="0"/>
                                <w:tab w:val="left" w:pos="720"/>
                              </w:tabs>
                              <w:jc w:val="center"/>
                              <w:rPr>
                                <w:rFonts w:ascii="Calibri" w:eastAsia="Times New Roman" w:hAnsi="Calibri" w:cs="Calibri"/>
                                <w:b/>
                                <w:bCs/>
                                <w:color w:val="0070C0"/>
                                <w:spacing w:val="-1"/>
                                <w:sz w:val="21"/>
                                <w:szCs w:val="21"/>
                              </w:rPr>
                            </w:pPr>
                            <w:r>
                              <w:rPr>
                                <w:rFonts w:ascii="Calibri" w:eastAsia="Times New Roman" w:hAnsi="Calibri" w:cs="Calibri"/>
                                <w:b/>
                                <w:bCs/>
                                <w:color w:val="0070C0"/>
                                <w:spacing w:val="-1"/>
                              </w:rPr>
                              <w:t>Box I</w:t>
                            </w:r>
                            <w:r w:rsidRPr="00062D1B">
                              <w:rPr>
                                <w:rFonts w:ascii="Calibri" w:eastAsia="Times New Roman" w:hAnsi="Calibri" w:cs="Calibri"/>
                                <w:b/>
                                <w:bCs/>
                                <w:color w:val="0070C0"/>
                                <w:spacing w:val="-1"/>
                              </w:rPr>
                              <w:t xml:space="preserve">. ACE I </w:t>
                            </w:r>
                            <w:r>
                              <w:rPr>
                                <w:rFonts w:ascii="Calibri" w:eastAsia="Times New Roman" w:hAnsi="Calibri" w:cs="Calibri"/>
                                <w:b/>
                                <w:bCs/>
                                <w:color w:val="0070C0"/>
                                <w:spacing w:val="-1"/>
                              </w:rPr>
                              <w:t>R</w:t>
                            </w:r>
                            <w:r w:rsidRPr="00062D1B">
                              <w:rPr>
                                <w:rFonts w:ascii="Calibri" w:eastAsia="Times New Roman" w:hAnsi="Calibri" w:cs="Calibri"/>
                                <w:b/>
                                <w:bCs/>
                                <w:color w:val="0070C0"/>
                                <w:spacing w:val="-1"/>
                              </w:rPr>
                              <w:t>esults</w:t>
                            </w:r>
                          </w:p>
                          <w:p w14:paraId="5ED212E7" w14:textId="77777777" w:rsidR="00D936A3" w:rsidRPr="00D94B72" w:rsidRDefault="00B00100" w:rsidP="002E1A3F">
                            <w:pPr>
                              <w:tabs>
                                <w:tab w:val="left" w:pos="0"/>
                                <w:tab w:val="left" w:pos="720"/>
                              </w:tabs>
                              <w:spacing w:after="240"/>
                              <w:jc w:val="both"/>
                              <w:rPr>
                                <w:rFonts w:ascii="Calibri" w:eastAsia="Times New Roman" w:hAnsi="Calibri" w:cs="Calibri"/>
                                <w:bCs/>
                                <w:spacing w:val="-1"/>
                                <w:sz w:val="21"/>
                                <w:szCs w:val="21"/>
                              </w:rPr>
                            </w:pPr>
                            <w:r w:rsidRPr="00D94B72">
                              <w:rPr>
                                <w:rFonts w:ascii="Calibri" w:eastAsia="Times New Roman" w:hAnsi="Calibri" w:cs="Calibri"/>
                                <w:bCs/>
                                <w:spacing w:val="-1"/>
                                <w:sz w:val="21"/>
                                <w:szCs w:val="21"/>
                              </w:rPr>
                              <w:t xml:space="preserve">Centers supported under the </w:t>
                            </w:r>
                            <w:r>
                              <w:rPr>
                                <w:rFonts w:ascii="Calibri" w:eastAsia="Times New Roman" w:hAnsi="Calibri" w:cs="Calibri"/>
                                <w:bCs/>
                                <w:spacing w:val="-1"/>
                                <w:sz w:val="21"/>
                                <w:szCs w:val="21"/>
                              </w:rPr>
                              <w:t>ACE I Project</w:t>
                            </w:r>
                            <w:r w:rsidRPr="00D94B72">
                              <w:rPr>
                                <w:rFonts w:ascii="Calibri" w:eastAsia="Times New Roman" w:hAnsi="Calibri" w:cs="Calibri"/>
                                <w:bCs/>
                                <w:spacing w:val="-1"/>
                                <w:sz w:val="21"/>
                                <w:szCs w:val="21"/>
                              </w:rPr>
                              <w:t xml:space="preserve"> have achieved strong results over four years of implementation: (i) </w:t>
                            </w:r>
                            <w:r>
                              <w:rPr>
                                <w:rFonts w:ascii="Calibri" w:eastAsia="Times New Roman" w:hAnsi="Calibri" w:cs="Calibri"/>
                                <w:bCs/>
                                <w:spacing w:val="-1"/>
                                <w:sz w:val="21"/>
                                <w:szCs w:val="21"/>
                              </w:rPr>
                              <w:t>35</w:t>
                            </w:r>
                            <w:r w:rsidRPr="00D94B72">
                              <w:rPr>
                                <w:rFonts w:ascii="Calibri" w:eastAsia="Times New Roman" w:hAnsi="Calibri" w:cs="Calibri"/>
                                <w:bCs/>
                                <w:spacing w:val="-1"/>
                                <w:sz w:val="21"/>
                                <w:szCs w:val="21"/>
                              </w:rPr>
                              <w:t xml:space="preserve"> programs have attained international accreditation </w:t>
                            </w:r>
                            <w:r>
                              <w:rPr>
                                <w:rFonts w:ascii="Calibri" w:eastAsia="Times New Roman" w:hAnsi="Calibri" w:cs="Calibri"/>
                                <w:bCs/>
                                <w:spacing w:val="-1"/>
                                <w:sz w:val="21"/>
                                <w:szCs w:val="21"/>
                              </w:rPr>
                              <w:t xml:space="preserve">(&gt; 200 percent of the target of 15 programs) </w:t>
                            </w:r>
                            <w:r w:rsidRPr="00D94B72">
                              <w:rPr>
                                <w:rFonts w:ascii="Calibri" w:eastAsia="Times New Roman" w:hAnsi="Calibri" w:cs="Calibri"/>
                                <w:bCs/>
                                <w:spacing w:val="-1"/>
                                <w:sz w:val="21"/>
                                <w:szCs w:val="21"/>
                              </w:rPr>
                              <w:t xml:space="preserve">and several top-performing ACEs have emerged; (ii) 16,000 short-term, </w:t>
                            </w:r>
                            <w:r>
                              <w:rPr>
                                <w:rFonts w:ascii="Calibri" w:eastAsia="Times New Roman" w:hAnsi="Calibri" w:cs="Calibri"/>
                                <w:bCs/>
                                <w:spacing w:val="-1"/>
                                <w:sz w:val="21"/>
                                <w:szCs w:val="21"/>
                              </w:rPr>
                              <w:t>9,0</w:t>
                            </w:r>
                            <w:r w:rsidRPr="00D94B72">
                              <w:rPr>
                                <w:rFonts w:ascii="Calibri" w:eastAsia="Times New Roman" w:hAnsi="Calibri" w:cs="Calibri"/>
                                <w:bCs/>
                                <w:spacing w:val="-1"/>
                                <w:sz w:val="21"/>
                                <w:szCs w:val="21"/>
                              </w:rPr>
                              <w:t xml:space="preserve">00 master’s and </w:t>
                            </w:r>
                            <w:r>
                              <w:rPr>
                                <w:rFonts w:ascii="Calibri" w:eastAsia="Times New Roman" w:hAnsi="Calibri" w:cs="Calibri"/>
                                <w:bCs/>
                                <w:spacing w:val="-1"/>
                                <w:sz w:val="21"/>
                                <w:szCs w:val="21"/>
                              </w:rPr>
                              <w:t>2,000</w:t>
                            </w:r>
                            <w:r w:rsidRPr="00D94B72">
                              <w:rPr>
                                <w:rFonts w:ascii="Calibri" w:eastAsia="Times New Roman" w:hAnsi="Calibri" w:cs="Calibri"/>
                                <w:bCs/>
                                <w:spacing w:val="-1"/>
                                <w:sz w:val="21"/>
                                <w:szCs w:val="21"/>
                              </w:rPr>
                              <w:t xml:space="preserve"> students have enrolled in postgraduate programs, including </w:t>
                            </w:r>
                            <w:r>
                              <w:rPr>
                                <w:rFonts w:ascii="Calibri" w:eastAsia="Times New Roman" w:hAnsi="Calibri" w:cs="Calibri"/>
                                <w:bCs/>
                                <w:spacing w:val="-1"/>
                                <w:sz w:val="21"/>
                                <w:szCs w:val="21"/>
                              </w:rPr>
                              <w:t>9</w:t>
                            </w:r>
                            <w:r w:rsidRPr="00D94B72">
                              <w:rPr>
                                <w:rFonts w:ascii="Calibri" w:eastAsia="Times New Roman" w:hAnsi="Calibri" w:cs="Calibri"/>
                                <w:bCs/>
                                <w:spacing w:val="-1"/>
                                <w:sz w:val="21"/>
                                <w:szCs w:val="21"/>
                              </w:rPr>
                              <w:t>,</w:t>
                            </w:r>
                            <w:r>
                              <w:rPr>
                                <w:rFonts w:ascii="Calibri" w:eastAsia="Times New Roman" w:hAnsi="Calibri" w:cs="Calibri"/>
                                <w:bCs/>
                                <w:spacing w:val="-1"/>
                                <w:sz w:val="21"/>
                                <w:szCs w:val="21"/>
                              </w:rPr>
                              <w:t>364</w:t>
                            </w:r>
                            <w:r w:rsidRPr="00D94B72">
                              <w:rPr>
                                <w:rFonts w:ascii="Calibri" w:eastAsia="Times New Roman" w:hAnsi="Calibri" w:cs="Calibri"/>
                                <w:bCs/>
                                <w:spacing w:val="-1"/>
                                <w:sz w:val="21"/>
                                <w:szCs w:val="21"/>
                              </w:rPr>
                              <w:t xml:space="preserve"> regional students</w:t>
                            </w:r>
                            <w:r>
                              <w:rPr>
                                <w:rFonts w:ascii="Calibri" w:eastAsia="Times New Roman" w:hAnsi="Calibri" w:cs="Calibri"/>
                                <w:bCs/>
                                <w:spacing w:val="-1"/>
                                <w:sz w:val="21"/>
                                <w:szCs w:val="21"/>
                              </w:rPr>
                              <w:t xml:space="preserve"> (105 percent of the target of 8,900 regional students</w:t>
                            </w:r>
                            <w:r w:rsidRPr="00D94B72">
                              <w:rPr>
                                <w:rFonts w:ascii="Calibri" w:eastAsia="Times New Roman" w:hAnsi="Calibri" w:cs="Calibri"/>
                                <w:bCs/>
                                <w:spacing w:val="-1"/>
                                <w:sz w:val="21"/>
                                <w:szCs w:val="21"/>
                              </w:rPr>
                              <w:t xml:space="preserve"> </w:t>
                            </w:r>
                            <w:r>
                              <w:rPr>
                                <w:rFonts w:ascii="Calibri" w:eastAsia="Times New Roman" w:hAnsi="Calibri" w:cs="Calibri"/>
                                <w:bCs/>
                                <w:spacing w:val="-1"/>
                                <w:sz w:val="21"/>
                                <w:szCs w:val="21"/>
                              </w:rPr>
                              <w:t xml:space="preserve">– </w:t>
                            </w:r>
                            <w:r w:rsidRPr="00D94B72">
                              <w:rPr>
                                <w:rFonts w:ascii="Calibri" w:eastAsia="Times New Roman" w:hAnsi="Calibri" w:cs="Calibri"/>
                                <w:bCs/>
                                <w:spacing w:val="-1"/>
                                <w:sz w:val="21"/>
                                <w:szCs w:val="21"/>
                              </w:rPr>
                              <w:t xml:space="preserve">a regional student is an African student from a country outside of the country of study); (iii) </w:t>
                            </w:r>
                            <w:r>
                              <w:rPr>
                                <w:rFonts w:ascii="Calibri" w:eastAsia="Times New Roman" w:hAnsi="Calibri" w:cs="Calibri"/>
                                <w:bCs/>
                                <w:spacing w:val="-1"/>
                                <w:sz w:val="21"/>
                                <w:szCs w:val="21"/>
                              </w:rPr>
                              <w:t>4</w:t>
                            </w:r>
                            <w:r w:rsidRPr="00D94B72">
                              <w:rPr>
                                <w:rFonts w:ascii="Calibri" w:eastAsia="Times New Roman" w:hAnsi="Calibri" w:cs="Calibri"/>
                                <w:bCs/>
                                <w:spacing w:val="-1"/>
                                <w:sz w:val="21"/>
                                <w:szCs w:val="21"/>
                              </w:rPr>
                              <w:t>,</w:t>
                            </w:r>
                            <w:r>
                              <w:rPr>
                                <w:rFonts w:ascii="Calibri" w:eastAsia="Times New Roman" w:hAnsi="Calibri" w:cs="Calibri"/>
                                <w:bCs/>
                                <w:spacing w:val="-1"/>
                                <w:sz w:val="21"/>
                                <w:szCs w:val="21"/>
                              </w:rPr>
                              <w:t>962</w:t>
                            </w:r>
                            <w:r w:rsidRPr="00D94B72">
                              <w:rPr>
                                <w:rFonts w:ascii="Calibri" w:eastAsia="Times New Roman" w:hAnsi="Calibri" w:cs="Calibri"/>
                                <w:bCs/>
                                <w:spacing w:val="-1"/>
                                <w:sz w:val="21"/>
                                <w:szCs w:val="21"/>
                              </w:rPr>
                              <w:t xml:space="preserve"> students and faculty have participated in an internship in a company relevant to their field of study</w:t>
                            </w:r>
                            <w:r>
                              <w:rPr>
                                <w:rFonts w:ascii="Calibri" w:eastAsia="Times New Roman" w:hAnsi="Calibri" w:cs="Calibri"/>
                                <w:bCs/>
                                <w:spacing w:val="-1"/>
                                <w:sz w:val="21"/>
                                <w:szCs w:val="21"/>
                              </w:rPr>
                              <w:t xml:space="preserve"> (72 percent of the target of 5,900 internships);</w:t>
                            </w:r>
                            <w:r w:rsidRPr="00D94B72">
                              <w:rPr>
                                <w:rFonts w:ascii="Calibri" w:eastAsia="Times New Roman" w:hAnsi="Calibri" w:cs="Calibri"/>
                                <w:bCs/>
                                <w:spacing w:val="-1"/>
                                <w:sz w:val="21"/>
                                <w:szCs w:val="21"/>
                              </w:rPr>
                              <w:t xml:space="preserve"> and (iv) </w:t>
                            </w:r>
                            <w:r w:rsidRPr="00D94B72">
                              <w:rPr>
                                <w:rFonts w:ascii="Calibri" w:eastAsia="Times New Roman" w:hAnsi="Calibri" w:cs="Calibri"/>
                                <w:spacing w:val="-1"/>
                                <w:sz w:val="21"/>
                                <w:szCs w:val="21"/>
                              </w:rPr>
                              <w:t>US$</w:t>
                            </w:r>
                            <w:r>
                              <w:rPr>
                                <w:rFonts w:ascii="Calibri" w:eastAsia="Times New Roman" w:hAnsi="Calibri" w:cs="Calibri"/>
                                <w:spacing w:val="-1"/>
                                <w:sz w:val="21"/>
                                <w:szCs w:val="21"/>
                              </w:rPr>
                              <w:t>50.6</w:t>
                            </w:r>
                            <w:r w:rsidRPr="00D94B72">
                              <w:rPr>
                                <w:rFonts w:ascii="Calibri" w:eastAsia="Times New Roman" w:hAnsi="Calibri" w:cs="Calibri"/>
                                <w:spacing w:val="-1"/>
                                <w:sz w:val="21"/>
                                <w:szCs w:val="21"/>
                              </w:rPr>
                              <w:t xml:space="preserve"> million has been generated by the 22 ACE I centers through competitive </w:t>
                            </w:r>
                            <w:r>
                              <w:rPr>
                                <w:rFonts w:ascii="Calibri" w:eastAsia="Times New Roman" w:hAnsi="Calibri" w:cs="Calibri"/>
                                <w:spacing w:val="-1"/>
                                <w:sz w:val="21"/>
                                <w:szCs w:val="21"/>
                              </w:rPr>
                              <w:t>Research and Development (</w:t>
                            </w:r>
                            <w:r w:rsidRPr="00D94B72">
                              <w:rPr>
                                <w:rFonts w:ascii="Calibri" w:eastAsia="Times New Roman" w:hAnsi="Calibri" w:cs="Calibri"/>
                                <w:spacing w:val="-1"/>
                                <w:sz w:val="21"/>
                                <w:szCs w:val="21"/>
                              </w:rPr>
                              <w:t>R&amp;D</w:t>
                            </w:r>
                            <w:r>
                              <w:rPr>
                                <w:rFonts w:ascii="Calibri" w:eastAsia="Times New Roman" w:hAnsi="Calibri" w:cs="Calibri"/>
                                <w:spacing w:val="-1"/>
                                <w:sz w:val="21"/>
                                <w:szCs w:val="21"/>
                              </w:rPr>
                              <w:t>)</w:t>
                            </w:r>
                            <w:r w:rsidRPr="00D94B72">
                              <w:rPr>
                                <w:rFonts w:ascii="Calibri" w:eastAsia="Times New Roman" w:hAnsi="Calibri" w:cs="Calibri"/>
                                <w:spacing w:val="-1"/>
                                <w:sz w:val="21"/>
                                <w:szCs w:val="21"/>
                              </w:rPr>
                              <w:t xml:space="preserve"> grants, scholarship competitions as well as student fees and testing services</w:t>
                            </w:r>
                            <w:r>
                              <w:rPr>
                                <w:rFonts w:ascii="Calibri" w:eastAsia="Times New Roman" w:hAnsi="Calibri" w:cs="Calibri"/>
                                <w:spacing w:val="-1"/>
                                <w:sz w:val="21"/>
                                <w:szCs w:val="21"/>
                              </w:rPr>
                              <w:t xml:space="preserve"> (633 percent of the target of US$8.0 million)</w:t>
                            </w:r>
                            <w:r w:rsidRPr="00D94B72">
                              <w:rPr>
                                <w:rFonts w:ascii="Calibri" w:eastAsia="Times New Roman" w:hAnsi="Calibri" w:cs="Calibri"/>
                                <w:spacing w:val="-1"/>
                                <w:sz w:val="21"/>
                                <w:szCs w:val="21"/>
                              </w:rPr>
                              <w:t xml:space="preserve">. </w:t>
                            </w:r>
                          </w:p>
                          <w:p w14:paraId="3C2C0534" w14:textId="77777777" w:rsidR="00D936A3" w:rsidRPr="002E1A3F" w:rsidRDefault="00B00100" w:rsidP="002E1A3F">
                            <w:pPr>
                              <w:tabs>
                                <w:tab w:val="left" w:pos="0"/>
                                <w:tab w:val="left" w:pos="720"/>
                              </w:tabs>
                              <w:spacing w:after="240"/>
                              <w:jc w:val="both"/>
                              <w:rPr>
                                <w:rFonts w:cs="Calibri"/>
                                <w:sz w:val="21"/>
                                <w:szCs w:val="21"/>
                              </w:rPr>
                            </w:pPr>
                            <w:r w:rsidRPr="00D94B72">
                              <w:rPr>
                                <w:rFonts w:ascii="Calibri" w:eastAsia="Times New Roman" w:hAnsi="Calibri" w:cs="Calibri"/>
                                <w:spacing w:val="-1"/>
                                <w:sz w:val="21"/>
                                <w:szCs w:val="21"/>
                              </w:rPr>
                              <w:t xml:space="preserve">Progress made on the part of ACEs confirms that targeted applied research contributes substantially to development outcomes. For instance, the ACE Center for Genomics of Infectious Diseases in Nigeria tested in 2014 the first Ebola patient in the country within six hours of receiving the blood sample. This proved to be critical and timely for the successful containment of Ebola in the country.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CA51404" id="_x0000_s1029" type="#_x0000_t202" style="position:absolute;left:0;text-align:left;margin-left:0;margin-top:3.3pt;width:468pt;height:20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" filled="f" strokecolor="#0070c0" strokeweight="1.5pt">
                <v:textbox>
                  <w:txbxContent>
                    <w:p w14:paraId="3F774D02" w14:textId="77777777" w:rsidR="00D936A3" w:rsidRDefault="00B00100" w:rsidP="002E1A3F">
                      <w:pPr>
                        <w:tabs>
                          <w:tab w:val="left" w:pos="0"/>
                          <w:tab w:val="left" w:pos="720"/>
                        </w:tabs>
                        <w:jc w:val="center"/>
                        <w:rPr>
                          <w:rFonts w:ascii="Calibri" w:eastAsia="Times New Roman" w:hAnsi="Calibri" w:cs="Calibri"/>
                          <w:b/>
                          <w:bCs/>
                          <w:color w:val="0070C0"/>
                          <w:spacing w:val="-1"/>
                          <w:sz w:val="21"/>
                          <w:szCs w:val="21"/>
                        </w:rPr>
                      </w:pPr>
                      <w:r>
                        <w:rPr>
                          <w:rFonts w:ascii="Calibri" w:eastAsia="Times New Roman" w:hAnsi="Calibri" w:cs="Calibri"/>
                          <w:b/>
                          <w:bCs/>
                          <w:color w:val="0070C0"/>
                          <w:spacing w:val="-1"/>
                        </w:rPr>
                        <w:t>Box I</w:t>
                      </w:r>
                      <w:r w:rsidRPr="00062D1B">
                        <w:rPr>
                          <w:rFonts w:ascii="Calibri" w:eastAsia="Times New Roman" w:hAnsi="Calibri" w:cs="Calibri"/>
                          <w:b/>
                          <w:bCs/>
                          <w:color w:val="0070C0"/>
                          <w:spacing w:val="-1"/>
                        </w:rPr>
                        <w:t xml:space="preserve">. ACE I </w:t>
                      </w:r>
                      <w:r>
                        <w:rPr>
                          <w:rFonts w:ascii="Calibri" w:eastAsia="Times New Roman" w:hAnsi="Calibri" w:cs="Calibri"/>
                          <w:b/>
                          <w:bCs/>
                          <w:color w:val="0070C0"/>
                          <w:spacing w:val="-1"/>
                        </w:rPr>
                        <w:t>R</w:t>
                      </w:r>
                      <w:r w:rsidRPr="00062D1B">
                        <w:rPr>
                          <w:rFonts w:ascii="Calibri" w:eastAsia="Times New Roman" w:hAnsi="Calibri" w:cs="Calibri"/>
                          <w:b/>
                          <w:bCs/>
                          <w:color w:val="0070C0"/>
                          <w:spacing w:val="-1"/>
                        </w:rPr>
                        <w:t>esults</w:t>
                      </w:r>
                    </w:p>
                    <w:p w14:paraId="5ED212E7" w14:textId="77777777" w:rsidR="00D936A3" w:rsidRPr="00D94B72" w:rsidRDefault="00B00100" w:rsidP="002E1A3F">
                      <w:pPr>
                        <w:tabs>
                          <w:tab w:val="left" w:pos="0"/>
                          <w:tab w:val="left" w:pos="720"/>
                        </w:tabs>
                        <w:spacing w:after="240"/>
                        <w:jc w:val="both"/>
                        <w:rPr>
                          <w:rFonts w:ascii="Calibri" w:eastAsia="Times New Roman" w:hAnsi="Calibri" w:cs="Calibri"/>
                          <w:bCs/>
                          <w:spacing w:val="-1"/>
                          <w:sz w:val="21"/>
                          <w:szCs w:val="21"/>
                        </w:rPr>
                      </w:pPr>
                      <w:r w:rsidRPr="00D94B72">
                        <w:rPr>
                          <w:rFonts w:ascii="Calibri" w:eastAsia="Times New Roman" w:hAnsi="Calibri" w:cs="Calibri"/>
                          <w:bCs/>
                          <w:spacing w:val="-1"/>
                          <w:sz w:val="21"/>
                          <w:szCs w:val="21"/>
                        </w:rPr>
                        <w:t xml:space="preserve">Centers supported under the </w:t>
                      </w:r>
                      <w:r>
                        <w:rPr>
                          <w:rFonts w:ascii="Calibri" w:eastAsia="Times New Roman" w:hAnsi="Calibri" w:cs="Calibri"/>
                          <w:bCs/>
                          <w:spacing w:val="-1"/>
                          <w:sz w:val="21"/>
                          <w:szCs w:val="21"/>
                        </w:rPr>
                        <w:t>ACE I Project</w:t>
                      </w:r>
                      <w:r w:rsidRPr="00D94B72">
                        <w:rPr>
                          <w:rFonts w:ascii="Calibri" w:eastAsia="Times New Roman" w:hAnsi="Calibri" w:cs="Calibri"/>
                          <w:bCs/>
                          <w:spacing w:val="-1"/>
                          <w:sz w:val="21"/>
                          <w:szCs w:val="21"/>
                        </w:rPr>
                        <w:t xml:space="preserve"> have achieved strong results over four years of implementation: (i) </w:t>
                      </w:r>
                      <w:r>
                        <w:rPr>
                          <w:rFonts w:ascii="Calibri" w:eastAsia="Times New Roman" w:hAnsi="Calibri" w:cs="Calibri"/>
                          <w:bCs/>
                          <w:spacing w:val="-1"/>
                          <w:sz w:val="21"/>
                          <w:szCs w:val="21"/>
                        </w:rPr>
                        <w:t>35</w:t>
                      </w:r>
                      <w:r w:rsidRPr="00D94B72">
                        <w:rPr>
                          <w:rFonts w:ascii="Calibri" w:eastAsia="Times New Roman" w:hAnsi="Calibri" w:cs="Calibri"/>
                          <w:bCs/>
                          <w:spacing w:val="-1"/>
                          <w:sz w:val="21"/>
                          <w:szCs w:val="21"/>
                        </w:rPr>
                        <w:t xml:space="preserve"> programs have attained international accreditation </w:t>
                      </w:r>
                      <w:r>
                        <w:rPr>
                          <w:rFonts w:ascii="Calibri" w:eastAsia="Times New Roman" w:hAnsi="Calibri" w:cs="Calibri"/>
                          <w:bCs/>
                          <w:spacing w:val="-1"/>
                          <w:sz w:val="21"/>
                          <w:szCs w:val="21"/>
                        </w:rPr>
                        <w:t xml:space="preserve">(&gt; 200 percent of the target of 15 programs) </w:t>
                      </w:r>
                      <w:r w:rsidRPr="00D94B72">
                        <w:rPr>
                          <w:rFonts w:ascii="Calibri" w:eastAsia="Times New Roman" w:hAnsi="Calibri" w:cs="Calibri"/>
                          <w:bCs/>
                          <w:spacing w:val="-1"/>
                          <w:sz w:val="21"/>
                          <w:szCs w:val="21"/>
                        </w:rPr>
                        <w:t xml:space="preserve">and several top-performing ACEs have emerged; (ii) 16,000 short-term, </w:t>
                      </w:r>
                      <w:r>
                        <w:rPr>
                          <w:rFonts w:ascii="Calibri" w:eastAsia="Times New Roman" w:hAnsi="Calibri" w:cs="Calibri"/>
                          <w:bCs/>
                          <w:spacing w:val="-1"/>
                          <w:sz w:val="21"/>
                          <w:szCs w:val="21"/>
                        </w:rPr>
                        <w:t>9,0</w:t>
                      </w:r>
                      <w:r w:rsidRPr="00D94B72">
                        <w:rPr>
                          <w:rFonts w:ascii="Calibri" w:eastAsia="Times New Roman" w:hAnsi="Calibri" w:cs="Calibri"/>
                          <w:bCs/>
                          <w:spacing w:val="-1"/>
                          <w:sz w:val="21"/>
                          <w:szCs w:val="21"/>
                        </w:rPr>
                        <w:t xml:space="preserve">00 master’s and </w:t>
                      </w:r>
                      <w:r>
                        <w:rPr>
                          <w:rFonts w:ascii="Calibri" w:eastAsia="Times New Roman" w:hAnsi="Calibri" w:cs="Calibri"/>
                          <w:bCs/>
                          <w:spacing w:val="-1"/>
                          <w:sz w:val="21"/>
                          <w:szCs w:val="21"/>
                        </w:rPr>
                        <w:t>2,000</w:t>
                      </w:r>
                      <w:r w:rsidRPr="00D94B72">
                        <w:rPr>
                          <w:rFonts w:ascii="Calibri" w:eastAsia="Times New Roman" w:hAnsi="Calibri" w:cs="Calibri"/>
                          <w:bCs/>
                          <w:spacing w:val="-1"/>
                          <w:sz w:val="21"/>
                          <w:szCs w:val="21"/>
                        </w:rPr>
                        <w:t xml:space="preserve"> students have enrolled in postgraduate programs, including </w:t>
                      </w:r>
                      <w:r>
                        <w:rPr>
                          <w:rFonts w:ascii="Calibri" w:eastAsia="Times New Roman" w:hAnsi="Calibri" w:cs="Calibri"/>
                          <w:bCs/>
                          <w:spacing w:val="-1"/>
                          <w:sz w:val="21"/>
                          <w:szCs w:val="21"/>
                        </w:rPr>
                        <w:t>9</w:t>
                      </w:r>
                      <w:r w:rsidRPr="00D94B72">
                        <w:rPr>
                          <w:rFonts w:ascii="Calibri" w:eastAsia="Times New Roman" w:hAnsi="Calibri" w:cs="Calibri"/>
                          <w:bCs/>
                          <w:spacing w:val="-1"/>
                          <w:sz w:val="21"/>
                          <w:szCs w:val="21"/>
                        </w:rPr>
                        <w:t>,</w:t>
                      </w:r>
                      <w:r>
                        <w:rPr>
                          <w:rFonts w:ascii="Calibri" w:eastAsia="Times New Roman" w:hAnsi="Calibri" w:cs="Calibri"/>
                          <w:bCs/>
                          <w:spacing w:val="-1"/>
                          <w:sz w:val="21"/>
                          <w:szCs w:val="21"/>
                        </w:rPr>
                        <w:t>364</w:t>
                      </w:r>
                      <w:r w:rsidRPr="00D94B72">
                        <w:rPr>
                          <w:rFonts w:ascii="Calibri" w:eastAsia="Times New Roman" w:hAnsi="Calibri" w:cs="Calibri"/>
                          <w:bCs/>
                          <w:spacing w:val="-1"/>
                          <w:sz w:val="21"/>
                          <w:szCs w:val="21"/>
                        </w:rPr>
                        <w:t xml:space="preserve"> regional students</w:t>
                      </w:r>
                      <w:r>
                        <w:rPr>
                          <w:rFonts w:ascii="Calibri" w:eastAsia="Times New Roman" w:hAnsi="Calibri" w:cs="Calibri"/>
                          <w:bCs/>
                          <w:spacing w:val="-1"/>
                          <w:sz w:val="21"/>
                          <w:szCs w:val="21"/>
                        </w:rPr>
                        <w:t xml:space="preserve"> (105 percent of the target of 8,900 regional students</w:t>
                      </w:r>
                      <w:r w:rsidRPr="00D94B72">
                        <w:rPr>
                          <w:rFonts w:ascii="Calibri" w:eastAsia="Times New Roman" w:hAnsi="Calibri" w:cs="Calibri"/>
                          <w:bCs/>
                          <w:spacing w:val="-1"/>
                          <w:sz w:val="21"/>
                          <w:szCs w:val="21"/>
                        </w:rPr>
                        <w:t xml:space="preserve"> </w:t>
                      </w:r>
                      <w:r>
                        <w:rPr>
                          <w:rFonts w:ascii="Calibri" w:eastAsia="Times New Roman" w:hAnsi="Calibri" w:cs="Calibri"/>
                          <w:bCs/>
                          <w:spacing w:val="-1"/>
                          <w:sz w:val="21"/>
                          <w:szCs w:val="21"/>
                        </w:rPr>
                        <w:t xml:space="preserve">– </w:t>
                      </w:r>
                      <w:r w:rsidRPr="00D94B72">
                        <w:rPr>
                          <w:rFonts w:ascii="Calibri" w:eastAsia="Times New Roman" w:hAnsi="Calibri" w:cs="Calibri"/>
                          <w:bCs/>
                          <w:spacing w:val="-1"/>
                          <w:sz w:val="21"/>
                          <w:szCs w:val="21"/>
                        </w:rPr>
                        <w:t xml:space="preserve">a regional student is an African student from a country outside of the country of study); (iii) </w:t>
                      </w:r>
                      <w:r>
                        <w:rPr>
                          <w:rFonts w:ascii="Calibri" w:eastAsia="Times New Roman" w:hAnsi="Calibri" w:cs="Calibri"/>
                          <w:bCs/>
                          <w:spacing w:val="-1"/>
                          <w:sz w:val="21"/>
                          <w:szCs w:val="21"/>
                        </w:rPr>
                        <w:t>4</w:t>
                      </w:r>
                      <w:r w:rsidRPr="00D94B72">
                        <w:rPr>
                          <w:rFonts w:ascii="Calibri" w:eastAsia="Times New Roman" w:hAnsi="Calibri" w:cs="Calibri"/>
                          <w:bCs/>
                          <w:spacing w:val="-1"/>
                          <w:sz w:val="21"/>
                          <w:szCs w:val="21"/>
                        </w:rPr>
                        <w:t>,</w:t>
                      </w:r>
                      <w:r>
                        <w:rPr>
                          <w:rFonts w:ascii="Calibri" w:eastAsia="Times New Roman" w:hAnsi="Calibri" w:cs="Calibri"/>
                          <w:bCs/>
                          <w:spacing w:val="-1"/>
                          <w:sz w:val="21"/>
                          <w:szCs w:val="21"/>
                        </w:rPr>
                        <w:t>962</w:t>
                      </w:r>
                      <w:r w:rsidRPr="00D94B72">
                        <w:rPr>
                          <w:rFonts w:ascii="Calibri" w:eastAsia="Times New Roman" w:hAnsi="Calibri" w:cs="Calibri"/>
                          <w:bCs/>
                          <w:spacing w:val="-1"/>
                          <w:sz w:val="21"/>
                          <w:szCs w:val="21"/>
                        </w:rPr>
                        <w:t xml:space="preserve"> students and faculty have participated in an internship in a company relevant to their field of study</w:t>
                      </w:r>
                      <w:r>
                        <w:rPr>
                          <w:rFonts w:ascii="Calibri" w:eastAsia="Times New Roman" w:hAnsi="Calibri" w:cs="Calibri"/>
                          <w:bCs/>
                          <w:spacing w:val="-1"/>
                          <w:sz w:val="21"/>
                          <w:szCs w:val="21"/>
                        </w:rPr>
                        <w:t xml:space="preserve"> (72 percent of the target of 5,900 internships);</w:t>
                      </w:r>
                      <w:r w:rsidRPr="00D94B72">
                        <w:rPr>
                          <w:rFonts w:ascii="Calibri" w:eastAsia="Times New Roman" w:hAnsi="Calibri" w:cs="Calibri"/>
                          <w:bCs/>
                          <w:spacing w:val="-1"/>
                          <w:sz w:val="21"/>
                          <w:szCs w:val="21"/>
                        </w:rPr>
                        <w:t xml:space="preserve"> and (iv) </w:t>
                      </w:r>
                      <w:r w:rsidRPr="00D94B72">
                        <w:rPr>
                          <w:rFonts w:ascii="Calibri" w:eastAsia="Times New Roman" w:hAnsi="Calibri" w:cs="Calibri"/>
                          <w:spacing w:val="-1"/>
                          <w:sz w:val="21"/>
                          <w:szCs w:val="21"/>
                        </w:rPr>
                        <w:t>US$</w:t>
                      </w:r>
                      <w:r>
                        <w:rPr>
                          <w:rFonts w:ascii="Calibri" w:eastAsia="Times New Roman" w:hAnsi="Calibri" w:cs="Calibri"/>
                          <w:spacing w:val="-1"/>
                          <w:sz w:val="21"/>
                          <w:szCs w:val="21"/>
                        </w:rPr>
                        <w:t>50.6</w:t>
                      </w:r>
                      <w:r w:rsidRPr="00D94B72">
                        <w:rPr>
                          <w:rFonts w:ascii="Calibri" w:eastAsia="Times New Roman" w:hAnsi="Calibri" w:cs="Calibri"/>
                          <w:spacing w:val="-1"/>
                          <w:sz w:val="21"/>
                          <w:szCs w:val="21"/>
                        </w:rPr>
                        <w:t xml:space="preserve"> million has been generated by the 22 ACE I centers through competitive </w:t>
                      </w:r>
                      <w:r>
                        <w:rPr>
                          <w:rFonts w:ascii="Calibri" w:eastAsia="Times New Roman" w:hAnsi="Calibri" w:cs="Calibri"/>
                          <w:spacing w:val="-1"/>
                          <w:sz w:val="21"/>
                          <w:szCs w:val="21"/>
                        </w:rPr>
                        <w:t>Research and Development (</w:t>
                      </w:r>
                      <w:r w:rsidRPr="00D94B72">
                        <w:rPr>
                          <w:rFonts w:ascii="Calibri" w:eastAsia="Times New Roman" w:hAnsi="Calibri" w:cs="Calibri"/>
                          <w:spacing w:val="-1"/>
                          <w:sz w:val="21"/>
                          <w:szCs w:val="21"/>
                        </w:rPr>
                        <w:t>R&amp;D</w:t>
                      </w:r>
                      <w:r>
                        <w:rPr>
                          <w:rFonts w:ascii="Calibri" w:eastAsia="Times New Roman" w:hAnsi="Calibri" w:cs="Calibri"/>
                          <w:spacing w:val="-1"/>
                          <w:sz w:val="21"/>
                          <w:szCs w:val="21"/>
                        </w:rPr>
                        <w:t>)</w:t>
                      </w:r>
                      <w:r w:rsidRPr="00D94B72">
                        <w:rPr>
                          <w:rFonts w:ascii="Calibri" w:eastAsia="Times New Roman" w:hAnsi="Calibri" w:cs="Calibri"/>
                          <w:spacing w:val="-1"/>
                          <w:sz w:val="21"/>
                          <w:szCs w:val="21"/>
                        </w:rPr>
                        <w:t xml:space="preserve"> grants, scholarship competitions as well as student fees and testing services</w:t>
                      </w:r>
                      <w:r>
                        <w:rPr>
                          <w:rFonts w:ascii="Calibri" w:eastAsia="Times New Roman" w:hAnsi="Calibri" w:cs="Calibri"/>
                          <w:spacing w:val="-1"/>
                          <w:sz w:val="21"/>
                          <w:szCs w:val="21"/>
                        </w:rPr>
                        <w:t xml:space="preserve"> (633 percent of the target of US$8.0 million)</w:t>
                      </w:r>
                      <w:r w:rsidRPr="00D94B72">
                        <w:rPr>
                          <w:rFonts w:ascii="Calibri" w:eastAsia="Times New Roman" w:hAnsi="Calibri" w:cs="Calibri"/>
                          <w:spacing w:val="-1"/>
                          <w:sz w:val="21"/>
                          <w:szCs w:val="21"/>
                        </w:rPr>
                        <w:t xml:space="preserve">. </w:t>
                      </w:r>
                    </w:p>
                    <w:p w14:paraId="3C2C0534" w14:textId="77777777" w:rsidR="00D936A3" w:rsidRPr="002E1A3F" w:rsidRDefault="00B00100" w:rsidP="002E1A3F">
                      <w:pPr>
                        <w:tabs>
                          <w:tab w:val="left" w:pos="0"/>
                          <w:tab w:val="left" w:pos="720"/>
                        </w:tabs>
                        <w:spacing w:after="240"/>
                        <w:jc w:val="both"/>
                        <w:rPr>
                          <w:rFonts w:cs="Calibri"/>
                          <w:sz w:val="21"/>
                          <w:szCs w:val="21"/>
                        </w:rPr>
                      </w:pPr>
                      <w:r w:rsidRPr="00D94B72">
                        <w:rPr>
                          <w:rFonts w:ascii="Calibri" w:eastAsia="Times New Roman" w:hAnsi="Calibri" w:cs="Calibri"/>
                          <w:spacing w:val="-1"/>
                          <w:sz w:val="21"/>
                          <w:szCs w:val="21"/>
                        </w:rPr>
                        <w:t xml:space="preserve">Progress made on the part of ACEs confirms that targeted applied research contributes substantially to development outcomes. For instance, the ACE Center for Genomics of Infectious Diseases in Nigeria tested in 2014 the first Ebola patient in the country within six hours of receiving the blood sample. This proved to be critical and timely for the successful containment of Ebola in the country. </w:t>
                      </w:r>
                    </w:p>
                  </w:txbxContent>
                </v:textbox>
                <w10:wrap type="topAndBottom" anchorx="margin"/>
              </v:shape>
            </w:pict>
          </mc:Fallback>
        </mc:AlternateContent>
      </w:r>
      <w:bookmarkStart w:id="50" w:name="_Hlk1543445"/>
    </w:p>
    <w:p w14:paraId="66F55DAE" w14:textId="37825DB5" w:rsidR="002E1A3F"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bookmarkStart w:id="51" w:name="_Hlk1543871"/>
      <w:bookmarkEnd w:id="50"/>
      <w:r w:rsidRPr="002E1A3F">
        <w:rPr>
          <w:rFonts w:ascii="Calibri" w:eastAsia="Calibri" w:hAnsi="Calibri" w:cs="Calibri"/>
          <w:b/>
          <w:bCs/>
          <w:spacing w:val="-1"/>
          <w:sz w:val="22"/>
          <w:szCs w:val="22"/>
        </w:rPr>
        <w:t xml:space="preserve">The proposed Second </w:t>
      </w:r>
      <w:r w:rsidR="00BB4A89">
        <w:rPr>
          <w:rFonts w:ascii="Calibri" w:eastAsia="Calibri" w:hAnsi="Calibri" w:cs="Calibri"/>
          <w:b/>
          <w:bCs/>
          <w:spacing w:val="-1"/>
          <w:sz w:val="22"/>
          <w:szCs w:val="22"/>
        </w:rPr>
        <w:t>ACE Impact Project</w:t>
      </w:r>
      <w:r w:rsidRPr="002E1A3F">
        <w:rPr>
          <w:rFonts w:ascii="Calibri" w:eastAsia="Calibri" w:hAnsi="Calibri" w:cs="Calibri"/>
          <w:b/>
          <w:bCs/>
          <w:spacing w:val="-1"/>
          <w:sz w:val="22"/>
          <w:szCs w:val="22"/>
        </w:rPr>
        <w:t xml:space="preserve"> </w:t>
      </w:r>
      <w:r w:rsidRPr="002E1A3F">
        <w:rPr>
          <w:rFonts w:ascii="Calibri" w:eastAsia="Calibri" w:hAnsi="Calibri" w:cs="Calibri"/>
          <w:b/>
          <w:spacing w:val="-1"/>
          <w:sz w:val="22"/>
          <w:szCs w:val="22"/>
        </w:rPr>
        <w:t>builds on lessons learned from the ACE I and II projects and emphasizes the largest remaining challenge</w:t>
      </w:r>
      <w:r w:rsidR="007E5451">
        <w:rPr>
          <w:rFonts w:ascii="Calibri" w:eastAsia="Calibri" w:hAnsi="Calibri" w:cs="Calibri"/>
          <w:b/>
          <w:spacing w:val="-1"/>
          <w:sz w:val="22"/>
          <w:szCs w:val="22"/>
        </w:rPr>
        <w:t>,</w:t>
      </w:r>
      <w:r w:rsidR="006D582C">
        <w:rPr>
          <w:rFonts w:ascii="Calibri" w:eastAsia="Calibri" w:hAnsi="Calibri" w:cs="Calibri"/>
          <w:b/>
          <w:spacing w:val="-1"/>
          <w:sz w:val="22"/>
          <w:szCs w:val="22"/>
        </w:rPr>
        <w:t xml:space="preserve"> which is</w:t>
      </w:r>
      <w:r w:rsidRPr="002E1A3F">
        <w:rPr>
          <w:rFonts w:ascii="Calibri" w:eastAsia="Calibri" w:hAnsi="Calibri" w:cs="Calibri"/>
          <w:b/>
          <w:spacing w:val="-1"/>
          <w:sz w:val="22"/>
          <w:szCs w:val="22"/>
        </w:rPr>
        <w:t xml:space="preserve"> increasing </w:t>
      </w:r>
      <w:r w:rsidR="002D64F1">
        <w:rPr>
          <w:rFonts w:ascii="Calibri" w:eastAsia="Calibri" w:hAnsi="Calibri" w:cs="Calibri"/>
          <w:b/>
          <w:spacing w:val="-1"/>
          <w:sz w:val="22"/>
          <w:szCs w:val="22"/>
        </w:rPr>
        <w:t>the</w:t>
      </w:r>
      <w:r w:rsidR="00367640">
        <w:rPr>
          <w:rFonts w:ascii="Calibri" w:eastAsia="Calibri" w:hAnsi="Calibri" w:cs="Calibri"/>
          <w:b/>
          <w:spacing w:val="-1"/>
          <w:sz w:val="22"/>
          <w:szCs w:val="22"/>
        </w:rPr>
        <w:t xml:space="preserve"> </w:t>
      </w:r>
      <w:r w:rsidRPr="002E1A3F">
        <w:rPr>
          <w:rFonts w:ascii="Calibri" w:eastAsia="Calibri" w:hAnsi="Calibri" w:cs="Calibri"/>
          <w:b/>
          <w:spacing w:val="-1"/>
          <w:sz w:val="22"/>
          <w:szCs w:val="22"/>
        </w:rPr>
        <w:t xml:space="preserve">impact </w:t>
      </w:r>
      <w:r w:rsidR="002D64F1">
        <w:rPr>
          <w:rFonts w:ascii="Calibri" w:eastAsia="Calibri" w:hAnsi="Calibri" w:cs="Calibri"/>
          <w:b/>
          <w:spacing w:val="-1"/>
          <w:sz w:val="22"/>
          <w:szCs w:val="22"/>
        </w:rPr>
        <w:t xml:space="preserve">of these efforts </w:t>
      </w:r>
      <w:r w:rsidRPr="002E1A3F">
        <w:rPr>
          <w:rFonts w:ascii="Calibri" w:eastAsia="Calibri" w:hAnsi="Calibri" w:cs="Calibri"/>
          <w:b/>
          <w:spacing w:val="-1"/>
          <w:sz w:val="22"/>
          <w:szCs w:val="22"/>
        </w:rPr>
        <w:t xml:space="preserve">on development. </w:t>
      </w:r>
      <w:r w:rsidRPr="002E1A3F">
        <w:rPr>
          <w:rFonts w:ascii="Calibri" w:eastAsia="Calibri" w:hAnsi="Calibri" w:cs="Calibri"/>
          <w:spacing w:val="-1"/>
          <w:sz w:val="22"/>
          <w:szCs w:val="22"/>
        </w:rPr>
        <w:t>The lessons learn</w:t>
      </w:r>
      <w:r w:rsidR="00F6281E">
        <w:rPr>
          <w:rFonts w:ascii="Calibri" w:eastAsia="Calibri" w:hAnsi="Calibri" w:cs="Calibri"/>
          <w:spacing w:val="-1"/>
          <w:sz w:val="22"/>
          <w:szCs w:val="22"/>
        </w:rPr>
        <w:t>ed</w:t>
      </w:r>
      <w:r w:rsidRPr="002E1A3F">
        <w:rPr>
          <w:rFonts w:ascii="Calibri" w:eastAsia="Calibri" w:hAnsi="Calibri" w:cs="Calibri"/>
          <w:spacing w:val="-1"/>
          <w:sz w:val="22"/>
          <w:szCs w:val="22"/>
        </w:rPr>
        <w:t xml:space="preserve"> are detailed in Section</w:t>
      </w:r>
      <w:r w:rsidR="0073621F">
        <w:rPr>
          <w:rFonts w:ascii="Calibri" w:eastAsia="Calibri" w:hAnsi="Calibri" w:cs="Calibri"/>
          <w:spacing w:val="-1"/>
          <w:sz w:val="22"/>
          <w:szCs w:val="22"/>
        </w:rPr>
        <w:t xml:space="preserve"> II</w:t>
      </w:r>
      <w:r w:rsidR="002D753C">
        <w:rPr>
          <w:rFonts w:ascii="Calibri" w:eastAsia="Calibri" w:hAnsi="Calibri" w:cs="Calibri"/>
          <w:spacing w:val="-1"/>
          <w:sz w:val="22"/>
          <w:szCs w:val="22"/>
        </w:rPr>
        <w:t>.</w:t>
      </w:r>
      <w:r w:rsidRPr="002E1A3F">
        <w:rPr>
          <w:rFonts w:ascii="Calibri" w:eastAsia="Calibri" w:hAnsi="Calibri" w:cs="Calibri"/>
          <w:spacing w:val="-1"/>
          <w:sz w:val="22"/>
          <w:szCs w:val="22"/>
        </w:rPr>
        <w:t xml:space="preserve">F. With the success of the established model, the proposed project will scale up the </w:t>
      </w:r>
      <w:r w:rsidR="00933C76">
        <w:rPr>
          <w:rFonts w:ascii="Calibri" w:eastAsia="Calibri" w:hAnsi="Calibri" w:cs="Calibri"/>
          <w:spacing w:val="-1"/>
          <w:sz w:val="22"/>
          <w:szCs w:val="22"/>
        </w:rPr>
        <w:t xml:space="preserve">development </w:t>
      </w:r>
      <w:r w:rsidRPr="002E1A3F">
        <w:rPr>
          <w:rFonts w:ascii="Calibri" w:eastAsia="Calibri" w:hAnsi="Calibri" w:cs="Calibri"/>
          <w:spacing w:val="-1"/>
          <w:sz w:val="22"/>
          <w:szCs w:val="22"/>
        </w:rPr>
        <w:t>impact</w:t>
      </w:r>
      <w:r w:rsidR="003D5C4D">
        <w:rPr>
          <w:rFonts w:ascii="Calibri" w:eastAsia="Calibri" w:hAnsi="Calibri" w:cs="Calibri"/>
          <w:spacing w:val="-1"/>
          <w:sz w:val="22"/>
          <w:szCs w:val="22"/>
        </w:rPr>
        <w:t xml:space="preserve"> from the</w:t>
      </w:r>
      <w:r w:rsidRPr="002E1A3F">
        <w:rPr>
          <w:rFonts w:ascii="Calibri" w:eastAsia="Calibri" w:hAnsi="Calibri" w:cs="Calibri"/>
          <w:spacing w:val="-1"/>
          <w:sz w:val="22"/>
          <w:szCs w:val="22"/>
        </w:rPr>
        <w:t xml:space="preserve"> production of quality, employable graduates and applied research in well-performing existing centers, and support </w:t>
      </w:r>
      <w:r w:rsidR="00A572B0">
        <w:rPr>
          <w:rFonts w:ascii="Calibri" w:eastAsia="Calibri" w:hAnsi="Calibri" w:cs="Calibri"/>
          <w:spacing w:val="-1"/>
          <w:sz w:val="22"/>
          <w:szCs w:val="22"/>
        </w:rPr>
        <w:t>N</w:t>
      </w:r>
      <w:r w:rsidRPr="002E1A3F">
        <w:rPr>
          <w:rFonts w:ascii="Calibri" w:eastAsia="Calibri" w:hAnsi="Calibri" w:cs="Calibri"/>
          <w:spacing w:val="-1"/>
          <w:sz w:val="22"/>
          <w:szCs w:val="22"/>
        </w:rPr>
        <w:t xml:space="preserve">ew centers, including in </w:t>
      </w:r>
      <w:r w:rsidR="002D753C" w:rsidRPr="002D753C">
        <w:rPr>
          <w:rFonts w:ascii="Calibri" w:eastAsia="Calibri" w:hAnsi="Calibri" w:cs="Calibri"/>
          <w:spacing w:val="-1"/>
          <w:sz w:val="22"/>
          <w:szCs w:val="22"/>
        </w:rPr>
        <w:t xml:space="preserve">Western and Central African </w:t>
      </w:r>
      <w:r w:rsidRPr="002E1A3F">
        <w:rPr>
          <w:rFonts w:ascii="Calibri" w:eastAsia="Calibri" w:hAnsi="Calibri" w:cs="Calibri"/>
          <w:spacing w:val="-1"/>
          <w:sz w:val="22"/>
          <w:szCs w:val="22"/>
        </w:rPr>
        <w:t xml:space="preserve">countries that did not participate in </w:t>
      </w:r>
      <w:r w:rsidR="00944C30">
        <w:rPr>
          <w:rFonts w:ascii="Calibri" w:eastAsia="Calibri" w:hAnsi="Calibri" w:cs="Calibri"/>
          <w:spacing w:val="-1"/>
          <w:sz w:val="22"/>
          <w:szCs w:val="22"/>
        </w:rPr>
        <w:t xml:space="preserve">either </w:t>
      </w:r>
      <w:r w:rsidRPr="002E1A3F">
        <w:rPr>
          <w:rFonts w:ascii="Calibri" w:eastAsia="Calibri" w:hAnsi="Calibri" w:cs="Calibri"/>
          <w:spacing w:val="-1"/>
          <w:sz w:val="22"/>
          <w:szCs w:val="22"/>
        </w:rPr>
        <w:t>ACE I</w:t>
      </w:r>
      <w:r w:rsidR="002D753C">
        <w:rPr>
          <w:rFonts w:ascii="Calibri" w:eastAsia="Calibri" w:hAnsi="Calibri" w:cs="Calibri"/>
          <w:spacing w:val="-1"/>
          <w:sz w:val="22"/>
          <w:szCs w:val="22"/>
        </w:rPr>
        <w:t xml:space="preserve"> or </w:t>
      </w:r>
      <w:r w:rsidR="00C7099D">
        <w:rPr>
          <w:rFonts w:ascii="Calibri" w:eastAsia="Calibri" w:hAnsi="Calibri" w:cs="Calibri"/>
          <w:spacing w:val="-1"/>
          <w:sz w:val="22"/>
          <w:szCs w:val="22"/>
        </w:rPr>
        <w:t xml:space="preserve">the </w:t>
      </w:r>
      <w:r w:rsidR="002D753C">
        <w:rPr>
          <w:rFonts w:ascii="Calibri" w:eastAsia="Calibri" w:hAnsi="Calibri" w:cs="Calibri"/>
          <w:spacing w:val="-1"/>
          <w:sz w:val="22"/>
          <w:szCs w:val="22"/>
        </w:rPr>
        <w:t xml:space="preserve">First ACE Impact </w:t>
      </w:r>
      <w:r w:rsidR="00C7099D">
        <w:rPr>
          <w:rFonts w:ascii="Calibri" w:eastAsia="Calibri" w:hAnsi="Calibri" w:cs="Calibri"/>
          <w:spacing w:val="-1"/>
          <w:sz w:val="22"/>
          <w:szCs w:val="22"/>
        </w:rPr>
        <w:t>P</w:t>
      </w:r>
      <w:r w:rsidR="002D753C">
        <w:rPr>
          <w:rFonts w:ascii="Calibri" w:eastAsia="Calibri" w:hAnsi="Calibri" w:cs="Calibri"/>
          <w:spacing w:val="-1"/>
          <w:sz w:val="22"/>
          <w:szCs w:val="22"/>
        </w:rPr>
        <w:t>rojects</w:t>
      </w:r>
      <w:r w:rsidRPr="002E1A3F">
        <w:rPr>
          <w:rFonts w:ascii="Calibri" w:eastAsia="Calibri" w:hAnsi="Calibri" w:cs="Calibri"/>
          <w:spacing w:val="-1"/>
          <w:sz w:val="22"/>
          <w:szCs w:val="22"/>
        </w:rPr>
        <w:t xml:space="preserve">. Further, the project represents an evolution by </w:t>
      </w:r>
      <w:r w:rsidR="00FE2734">
        <w:rPr>
          <w:rFonts w:ascii="Calibri" w:eastAsia="Calibri" w:hAnsi="Calibri" w:cs="Calibri"/>
          <w:spacing w:val="-1"/>
          <w:sz w:val="22"/>
          <w:szCs w:val="22"/>
        </w:rPr>
        <w:t>aiming for</w:t>
      </w:r>
      <w:r w:rsidRPr="002E1A3F">
        <w:rPr>
          <w:rFonts w:ascii="Calibri" w:eastAsia="Calibri" w:hAnsi="Calibri" w:cs="Calibri"/>
          <w:spacing w:val="-1"/>
          <w:sz w:val="22"/>
          <w:szCs w:val="22"/>
        </w:rPr>
        <w:t xml:space="preserve"> a larger impact on development through: (a) specific targeting of pre-identified skills and knowledge gaps for the region (power engineering, ICT, environmental sciences</w:t>
      </w:r>
      <w:r w:rsidR="00F6281E">
        <w:rPr>
          <w:rFonts w:ascii="Calibri" w:eastAsia="Calibri" w:hAnsi="Calibri" w:cs="Calibri"/>
          <w:spacing w:val="-1"/>
          <w:sz w:val="22"/>
          <w:szCs w:val="22"/>
        </w:rPr>
        <w:t>,</w:t>
      </w:r>
      <w:r w:rsidRPr="002E1A3F">
        <w:rPr>
          <w:rFonts w:ascii="Calibri" w:eastAsia="Calibri" w:hAnsi="Calibri" w:cs="Calibri"/>
          <w:spacing w:val="-1"/>
          <w:sz w:val="22"/>
          <w:szCs w:val="22"/>
        </w:rPr>
        <w:t xml:space="preserve"> etc.); (b) ensuring mandatory upfront and continuous engagement with the key economic sector/industry players; (c) increasing focus on institutional change </w:t>
      </w:r>
      <w:r w:rsidR="00C72624">
        <w:rPr>
          <w:rFonts w:ascii="Calibri" w:eastAsia="Calibri" w:hAnsi="Calibri" w:cs="Calibri"/>
          <w:spacing w:val="-1"/>
          <w:sz w:val="22"/>
          <w:szCs w:val="22"/>
        </w:rPr>
        <w:t>at</w:t>
      </w:r>
      <w:r w:rsidR="00C72624" w:rsidRPr="002E1A3F">
        <w:rPr>
          <w:rFonts w:ascii="Calibri" w:eastAsia="Calibri" w:hAnsi="Calibri" w:cs="Calibri"/>
          <w:spacing w:val="-1"/>
          <w:sz w:val="22"/>
          <w:szCs w:val="22"/>
        </w:rPr>
        <w:t xml:space="preserve"> </w:t>
      </w:r>
      <w:r w:rsidRPr="002E1A3F">
        <w:rPr>
          <w:rFonts w:ascii="Calibri" w:eastAsia="Calibri" w:hAnsi="Calibri" w:cs="Calibri"/>
          <w:spacing w:val="-1"/>
          <w:sz w:val="22"/>
          <w:szCs w:val="22"/>
        </w:rPr>
        <w:t>the university</w:t>
      </w:r>
      <w:r w:rsidR="00C72624">
        <w:rPr>
          <w:rFonts w:ascii="Calibri" w:eastAsia="Calibri" w:hAnsi="Calibri" w:cs="Calibri"/>
          <w:spacing w:val="-1"/>
          <w:sz w:val="22"/>
          <w:szCs w:val="22"/>
        </w:rPr>
        <w:t xml:space="preserve"> level</w:t>
      </w:r>
      <w:r w:rsidRPr="002E1A3F">
        <w:rPr>
          <w:rFonts w:ascii="Calibri" w:eastAsia="Calibri" w:hAnsi="Calibri" w:cs="Calibri"/>
          <w:spacing w:val="-1"/>
          <w:sz w:val="22"/>
          <w:szCs w:val="22"/>
        </w:rPr>
        <w:t xml:space="preserve">, beyond one center of </w:t>
      </w:r>
      <w:r w:rsidR="00571E2D">
        <w:rPr>
          <w:rFonts w:ascii="Calibri" w:eastAsia="Calibri" w:hAnsi="Calibri" w:cs="Calibri"/>
          <w:spacing w:val="-1"/>
          <w:sz w:val="22"/>
          <w:szCs w:val="22"/>
        </w:rPr>
        <w:t>the</w:t>
      </w:r>
      <w:r w:rsidRPr="002E1A3F">
        <w:rPr>
          <w:rFonts w:ascii="Calibri" w:eastAsia="Calibri" w:hAnsi="Calibri" w:cs="Calibri"/>
          <w:spacing w:val="-1"/>
          <w:sz w:val="22"/>
          <w:szCs w:val="22"/>
        </w:rPr>
        <w:t xml:space="preserve"> university, including strengthening engineering and technology schools; (d) allowing less competitive (Emerging) institutions to benefit from regional networking with the </w:t>
      </w:r>
      <w:r w:rsidR="00571E2D">
        <w:rPr>
          <w:rFonts w:ascii="Calibri" w:eastAsia="Calibri" w:hAnsi="Calibri" w:cs="Calibri"/>
          <w:spacing w:val="-1"/>
          <w:sz w:val="22"/>
          <w:szCs w:val="22"/>
        </w:rPr>
        <w:t xml:space="preserve">more competitive </w:t>
      </w:r>
      <w:r w:rsidRPr="002E1A3F">
        <w:rPr>
          <w:rFonts w:ascii="Calibri" w:eastAsia="Calibri" w:hAnsi="Calibri" w:cs="Calibri"/>
          <w:spacing w:val="-1"/>
          <w:sz w:val="22"/>
          <w:szCs w:val="22"/>
        </w:rPr>
        <w:t>ACE centers; (e) directly linking with a series of World Bank and government supported regional initiatives; and (f) building a multi-partner platform for enhancing Africa’s higher education sector</w:t>
      </w:r>
      <w:r w:rsidRPr="002E1A3F">
        <w:rPr>
          <w:rFonts w:ascii="Calibri,Times New Roman" w:eastAsia="Calibri,Times New Roman" w:hAnsi="Calibri,Times New Roman" w:cs="Calibri,Times New Roman"/>
          <w:spacing w:val="-1"/>
          <w:sz w:val="22"/>
          <w:szCs w:val="22"/>
        </w:rPr>
        <w:t>.</w:t>
      </w:r>
    </w:p>
    <w:p w14:paraId="1F51AB71" w14:textId="77777777" w:rsidR="00436CE5" w:rsidRPr="002E1A3F" w:rsidRDefault="00436CE5" w:rsidP="006C70A5">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p w14:paraId="6E17CEA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Times New Roman" w:hAnsi="Calibri" w:cs="Calibri"/>
          <w:b/>
          <w:bCs/>
          <w:sz w:val="22"/>
          <w:szCs w:val="22"/>
        </w:rPr>
        <w:lastRenderedPageBreak/>
        <w:t xml:space="preserve">By </w:t>
      </w:r>
      <w:r w:rsidR="007146F3">
        <w:rPr>
          <w:rFonts w:ascii="Calibri" w:eastAsia="Calibri,Times New Roman" w:hAnsi="Calibri" w:cs="Calibri"/>
          <w:b/>
          <w:bCs/>
          <w:sz w:val="22"/>
          <w:szCs w:val="22"/>
        </w:rPr>
        <w:t xml:space="preserve">adding those centers to be supported in </w:t>
      </w:r>
      <w:r w:rsidRPr="002E1A3F">
        <w:rPr>
          <w:rFonts w:ascii="Calibri" w:eastAsia="Calibri,Times New Roman" w:hAnsi="Calibri" w:cs="Calibri"/>
          <w:b/>
          <w:bCs/>
          <w:sz w:val="22"/>
          <w:szCs w:val="22"/>
        </w:rPr>
        <w:t xml:space="preserve">the First and </w:t>
      </w:r>
      <w:r w:rsidR="00C7099D">
        <w:rPr>
          <w:rFonts w:ascii="Calibri" w:eastAsia="Calibri,Times New Roman" w:hAnsi="Calibri" w:cs="Calibri"/>
          <w:b/>
          <w:bCs/>
          <w:sz w:val="22"/>
          <w:szCs w:val="22"/>
        </w:rPr>
        <w:t xml:space="preserve">proposed </w:t>
      </w:r>
      <w:r w:rsidRPr="002E1A3F">
        <w:rPr>
          <w:rFonts w:ascii="Calibri" w:eastAsia="Calibri,Times New Roman" w:hAnsi="Calibri" w:cs="Calibri"/>
          <w:b/>
          <w:bCs/>
          <w:sz w:val="22"/>
          <w:szCs w:val="22"/>
        </w:rPr>
        <w:t>Second ACE Impact projects to th</w:t>
      </w:r>
      <w:r w:rsidR="007146F3">
        <w:rPr>
          <w:rFonts w:ascii="Calibri" w:eastAsia="Calibri,Times New Roman" w:hAnsi="Calibri" w:cs="Calibri"/>
          <w:b/>
          <w:bCs/>
          <w:sz w:val="22"/>
          <w:szCs w:val="22"/>
        </w:rPr>
        <w:t xml:space="preserve">ose centers already supported under the </w:t>
      </w:r>
      <w:r w:rsidRPr="002E1A3F">
        <w:rPr>
          <w:rFonts w:ascii="Calibri" w:eastAsia="Calibri,Times New Roman" w:hAnsi="Calibri" w:cs="Calibri"/>
          <w:b/>
          <w:bCs/>
          <w:sz w:val="22"/>
          <w:szCs w:val="22"/>
        </w:rPr>
        <w:t xml:space="preserve">ACE I and II </w:t>
      </w:r>
      <w:r w:rsidR="007146F3">
        <w:rPr>
          <w:rFonts w:ascii="Calibri" w:eastAsia="Calibri,Times New Roman" w:hAnsi="Calibri" w:cs="Calibri"/>
          <w:b/>
          <w:bCs/>
          <w:sz w:val="22"/>
          <w:szCs w:val="22"/>
        </w:rPr>
        <w:t>Projects</w:t>
      </w:r>
      <w:r w:rsidRPr="002E1A3F">
        <w:rPr>
          <w:rFonts w:ascii="Calibri" w:eastAsia="Calibri,Times New Roman" w:hAnsi="Calibri" w:cs="Calibri"/>
          <w:b/>
          <w:bCs/>
          <w:sz w:val="22"/>
          <w:szCs w:val="22"/>
        </w:rPr>
        <w:t xml:space="preserve">, </w:t>
      </w:r>
      <w:r w:rsidRPr="002E1A3F">
        <w:rPr>
          <w:rFonts w:ascii="Calibri" w:eastAsia="Times New Roman" w:hAnsi="Calibri" w:cs="Calibri"/>
          <w:b/>
          <w:bCs/>
          <w:spacing w:val="-1"/>
          <w:sz w:val="22"/>
          <w:szCs w:val="22"/>
        </w:rPr>
        <w:t>t</w:t>
      </w:r>
      <w:r w:rsidRPr="002E1A3F">
        <w:rPr>
          <w:rFonts w:ascii="Calibri" w:eastAsia="Calibri" w:hAnsi="Calibri" w:cs="Calibri"/>
          <w:b/>
          <w:bCs/>
          <w:spacing w:val="-1"/>
          <w:sz w:val="22"/>
          <w:szCs w:val="22"/>
        </w:rPr>
        <w:t>he World Bank w</w:t>
      </w:r>
      <w:r w:rsidR="00F93DDB">
        <w:rPr>
          <w:rFonts w:ascii="Calibri" w:eastAsia="Calibri" w:hAnsi="Calibri" w:cs="Calibri"/>
          <w:b/>
          <w:bCs/>
          <w:spacing w:val="-1"/>
          <w:sz w:val="22"/>
          <w:szCs w:val="22"/>
        </w:rPr>
        <w:t>ill</w:t>
      </w:r>
      <w:r w:rsidRPr="002E1A3F">
        <w:rPr>
          <w:rFonts w:ascii="Calibri" w:eastAsia="Calibri" w:hAnsi="Calibri" w:cs="Calibri"/>
          <w:b/>
          <w:bCs/>
          <w:spacing w:val="-1"/>
          <w:sz w:val="22"/>
          <w:szCs w:val="22"/>
        </w:rPr>
        <w:t xml:space="preserve"> be supporting a total of </w:t>
      </w:r>
      <w:r w:rsidR="00DF195D">
        <w:rPr>
          <w:rFonts w:ascii="Calibri" w:eastAsia="Calibri" w:hAnsi="Calibri" w:cs="Calibri"/>
          <w:b/>
          <w:bCs/>
          <w:spacing w:val="-1"/>
          <w:sz w:val="22"/>
          <w:szCs w:val="22"/>
        </w:rPr>
        <w:t>about 7</w:t>
      </w:r>
      <w:r w:rsidRPr="002E1A3F">
        <w:rPr>
          <w:rFonts w:ascii="Calibri" w:eastAsia="Calibri" w:hAnsi="Calibri" w:cs="Calibri"/>
          <w:b/>
          <w:bCs/>
          <w:spacing w:val="-1"/>
          <w:sz w:val="22"/>
          <w:szCs w:val="22"/>
        </w:rPr>
        <w:t xml:space="preserve">0 </w:t>
      </w:r>
      <w:r w:rsidR="00C72AA5">
        <w:rPr>
          <w:rFonts w:ascii="Calibri" w:eastAsia="Calibri" w:hAnsi="Calibri" w:cs="Calibri"/>
          <w:b/>
          <w:bCs/>
          <w:spacing w:val="-1"/>
          <w:sz w:val="22"/>
          <w:szCs w:val="22"/>
        </w:rPr>
        <w:t xml:space="preserve">unique </w:t>
      </w:r>
      <w:r w:rsidRPr="002E1A3F">
        <w:rPr>
          <w:rFonts w:ascii="Calibri" w:eastAsia="Calibri" w:hAnsi="Calibri" w:cs="Calibri"/>
          <w:b/>
          <w:bCs/>
          <w:spacing w:val="-1"/>
          <w:sz w:val="22"/>
          <w:szCs w:val="22"/>
        </w:rPr>
        <w:t>centers of excellence across SSA</w:t>
      </w:r>
      <w:r w:rsidR="006D5563">
        <w:rPr>
          <w:rFonts w:ascii="Calibri" w:eastAsia="Calibri" w:hAnsi="Calibri" w:cs="Calibri"/>
          <w:b/>
          <w:bCs/>
          <w:spacing w:val="-1"/>
          <w:sz w:val="22"/>
          <w:szCs w:val="22"/>
        </w:rPr>
        <w:t xml:space="preserve"> (where </w:t>
      </w:r>
      <w:r w:rsidR="004C6C1C">
        <w:rPr>
          <w:rFonts w:ascii="Calibri" w:eastAsia="Calibri" w:hAnsi="Calibri" w:cs="Calibri"/>
          <w:b/>
          <w:bCs/>
          <w:spacing w:val="-1"/>
          <w:sz w:val="22"/>
          <w:szCs w:val="22"/>
        </w:rPr>
        <w:t xml:space="preserve">14 </w:t>
      </w:r>
      <w:r w:rsidR="007146F3">
        <w:rPr>
          <w:rFonts w:ascii="Calibri" w:eastAsia="Calibri" w:hAnsi="Calibri" w:cs="Calibri"/>
          <w:b/>
          <w:bCs/>
          <w:spacing w:val="-1"/>
          <w:sz w:val="22"/>
          <w:szCs w:val="22"/>
        </w:rPr>
        <w:t xml:space="preserve">of the </w:t>
      </w:r>
      <w:r w:rsidR="007B2965">
        <w:rPr>
          <w:rFonts w:ascii="Calibri" w:eastAsia="Calibri" w:hAnsi="Calibri" w:cs="Calibri"/>
          <w:b/>
          <w:bCs/>
          <w:spacing w:val="-1"/>
          <w:sz w:val="22"/>
          <w:szCs w:val="22"/>
        </w:rPr>
        <w:t>N</w:t>
      </w:r>
      <w:r w:rsidR="000C245A">
        <w:rPr>
          <w:rFonts w:ascii="Calibri" w:eastAsia="Calibri" w:hAnsi="Calibri" w:cs="Calibri"/>
          <w:b/>
          <w:bCs/>
          <w:spacing w:val="-1"/>
          <w:sz w:val="22"/>
          <w:szCs w:val="22"/>
        </w:rPr>
        <w:t xml:space="preserve">ew ACEs </w:t>
      </w:r>
      <w:r w:rsidR="004C6C1C">
        <w:rPr>
          <w:rFonts w:ascii="Calibri" w:eastAsia="Calibri" w:hAnsi="Calibri" w:cs="Calibri"/>
          <w:b/>
          <w:bCs/>
          <w:spacing w:val="-1"/>
          <w:sz w:val="22"/>
          <w:szCs w:val="22"/>
        </w:rPr>
        <w:t>will be</w:t>
      </w:r>
      <w:r w:rsidR="000C245A">
        <w:rPr>
          <w:rFonts w:ascii="Calibri" w:eastAsia="Calibri" w:hAnsi="Calibri" w:cs="Calibri"/>
          <w:b/>
          <w:bCs/>
          <w:spacing w:val="-1"/>
          <w:sz w:val="22"/>
          <w:szCs w:val="22"/>
        </w:rPr>
        <w:t xml:space="preserve"> </w:t>
      </w:r>
      <w:r w:rsidR="007146F3">
        <w:rPr>
          <w:rFonts w:ascii="Calibri" w:eastAsia="Calibri" w:hAnsi="Calibri" w:cs="Calibri"/>
          <w:b/>
          <w:bCs/>
          <w:spacing w:val="-1"/>
          <w:sz w:val="22"/>
          <w:szCs w:val="22"/>
        </w:rPr>
        <w:t xml:space="preserve">supported under </w:t>
      </w:r>
      <w:r w:rsidR="000C245A">
        <w:rPr>
          <w:rFonts w:ascii="Calibri" w:eastAsia="Calibri" w:hAnsi="Calibri" w:cs="Calibri"/>
          <w:b/>
          <w:bCs/>
          <w:spacing w:val="-1"/>
          <w:sz w:val="22"/>
          <w:szCs w:val="22"/>
        </w:rPr>
        <w:t>this proposed</w:t>
      </w:r>
      <w:r w:rsidR="004C6C1C">
        <w:rPr>
          <w:rFonts w:ascii="Calibri" w:eastAsia="Calibri" w:hAnsi="Calibri" w:cs="Calibri"/>
          <w:b/>
          <w:bCs/>
          <w:spacing w:val="-1"/>
          <w:sz w:val="22"/>
          <w:szCs w:val="22"/>
        </w:rPr>
        <w:t xml:space="preserve"> </w:t>
      </w:r>
      <w:r w:rsidR="004C6C1C" w:rsidRPr="002E1A3F">
        <w:rPr>
          <w:rFonts w:ascii="Calibri" w:eastAsia="Calibri,Times New Roman" w:hAnsi="Calibri" w:cs="Calibri"/>
          <w:b/>
          <w:bCs/>
          <w:sz w:val="22"/>
          <w:szCs w:val="22"/>
        </w:rPr>
        <w:t xml:space="preserve">Second </w:t>
      </w:r>
      <w:r w:rsidR="00BB4A89">
        <w:rPr>
          <w:rFonts w:ascii="Calibri" w:eastAsia="Calibri,Times New Roman" w:hAnsi="Calibri" w:cs="Calibri"/>
          <w:b/>
          <w:bCs/>
          <w:sz w:val="22"/>
          <w:szCs w:val="22"/>
        </w:rPr>
        <w:t>ACE Impact Project</w:t>
      </w:r>
      <w:r w:rsidR="004C6C1C">
        <w:rPr>
          <w:rFonts w:ascii="Calibri" w:eastAsia="Calibri,Times New Roman" w:hAnsi="Calibri" w:cs="Calibri"/>
          <w:b/>
          <w:bCs/>
          <w:sz w:val="22"/>
          <w:szCs w:val="22"/>
        </w:rPr>
        <w:t>)</w:t>
      </w:r>
      <w:r w:rsidRPr="002E1A3F">
        <w:rPr>
          <w:rFonts w:ascii="Calibri" w:eastAsia="Calibri" w:hAnsi="Calibri" w:cs="Calibri"/>
          <w:b/>
          <w:bCs/>
          <w:spacing w:val="-1"/>
          <w:sz w:val="22"/>
          <w:szCs w:val="22"/>
        </w:rPr>
        <w:t xml:space="preserve">. </w:t>
      </w:r>
      <w:r w:rsidRPr="002E1A3F">
        <w:rPr>
          <w:rFonts w:ascii="Calibri" w:eastAsia="Calibri" w:hAnsi="Calibri" w:cs="Times New Roman"/>
          <w:color w:val="auto"/>
          <w:sz w:val="22"/>
          <w:szCs w:val="22"/>
        </w:rPr>
        <w:t xml:space="preserve">This support will serve as a catalyst for building a highly skilled workforce and generating the applied research skills and knowledge required to drive SSA’s economic transformation. In developed and emerging economies, universities continue to be pivotal in driving change. For example, the Government of India supported 135 engineering colleges to improve the quality of their programs/training offered under the World Bank-financed Technical </w:t>
      </w:r>
      <w:r w:rsidR="007146F3">
        <w:rPr>
          <w:rFonts w:ascii="Calibri" w:eastAsia="Calibri" w:hAnsi="Calibri" w:cs="Times New Roman"/>
          <w:color w:val="auto"/>
          <w:sz w:val="22"/>
          <w:szCs w:val="22"/>
        </w:rPr>
        <w:t xml:space="preserve">Engineering </w:t>
      </w:r>
      <w:r w:rsidRPr="002E1A3F">
        <w:rPr>
          <w:rFonts w:ascii="Calibri" w:eastAsia="Calibri" w:hAnsi="Calibri" w:cs="Times New Roman"/>
          <w:color w:val="auto"/>
          <w:sz w:val="22"/>
          <w:szCs w:val="22"/>
        </w:rPr>
        <w:t>Education</w:t>
      </w:r>
      <w:r w:rsidR="007146F3">
        <w:rPr>
          <w:rFonts w:ascii="Calibri" w:eastAsia="Calibri" w:hAnsi="Calibri" w:cs="Times New Roman"/>
          <w:color w:val="auto"/>
          <w:sz w:val="22"/>
          <w:szCs w:val="22"/>
        </w:rPr>
        <w:t>al</w:t>
      </w:r>
      <w:r w:rsidRPr="002E1A3F">
        <w:rPr>
          <w:rFonts w:ascii="Calibri" w:eastAsia="Calibri" w:hAnsi="Calibri" w:cs="Times New Roman"/>
          <w:color w:val="auto"/>
          <w:sz w:val="22"/>
          <w:szCs w:val="22"/>
        </w:rPr>
        <w:t xml:space="preserve"> Quality Improvement Program (P102549). Further</w:t>
      </w:r>
      <w:r w:rsidRPr="002E1A3F">
        <w:rPr>
          <w:rFonts w:ascii="Calibri" w:eastAsia="Calibri" w:hAnsi="Calibri" w:cs="Calibri"/>
          <w:spacing w:val="-1"/>
          <w:sz w:val="22"/>
          <w:szCs w:val="22"/>
        </w:rPr>
        <w:t>, it is common to find many specialized centers in a single world-class university</w:t>
      </w:r>
      <w:r w:rsidRPr="002E1A3F">
        <w:rPr>
          <w:rFonts w:ascii="Calibri,Times New Roman" w:eastAsia="Calibri,Times New Roman" w:hAnsi="Calibri,Times New Roman" w:cs="Calibri,Times New Roman"/>
          <w:spacing w:val="-1"/>
          <w:sz w:val="22"/>
          <w:szCs w:val="22"/>
        </w:rPr>
        <w:t xml:space="preserve">. </w:t>
      </w:r>
      <w:bookmarkStart w:id="52" w:name="_Hlk520308577"/>
      <w:r w:rsidRPr="002E1A3F">
        <w:rPr>
          <w:rFonts w:ascii="Calibri" w:eastAsia="Calibri" w:hAnsi="Calibri" w:cs="Calibri"/>
          <w:spacing w:val="-1"/>
          <w:sz w:val="22"/>
          <w:szCs w:val="22"/>
        </w:rPr>
        <w:t xml:space="preserve">For example, </w:t>
      </w:r>
      <w:r w:rsidR="007146F3">
        <w:rPr>
          <w:rFonts w:ascii="Calibri" w:eastAsia="Calibri" w:hAnsi="Calibri" w:cs="Calibri"/>
          <w:spacing w:val="-1"/>
          <w:sz w:val="22"/>
          <w:szCs w:val="22"/>
        </w:rPr>
        <w:t xml:space="preserve">the </w:t>
      </w:r>
      <w:r w:rsidRPr="002E1A3F">
        <w:rPr>
          <w:rFonts w:ascii="Calibri" w:eastAsia="Calibri" w:hAnsi="Calibri" w:cs="Calibri"/>
          <w:spacing w:val="-1"/>
          <w:sz w:val="22"/>
          <w:szCs w:val="22"/>
        </w:rPr>
        <w:t>KTH Royal Institute of Technology</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 top-ranked Swedish university,</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currently has more than 50 such centers</w:t>
      </w:r>
      <w:r w:rsidRPr="002E1A3F">
        <w:rPr>
          <w:rFonts w:ascii="Calibri,Times New Roman" w:eastAsia="Calibri,Times New Roman" w:hAnsi="Calibri,Times New Roman" w:cs="Calibri,Times New Roman"/>
          <w:spacing w:val="-1"/>
          <w:sz w:val="22"/>
          <w:szCs w:val="22"/>
        </w:rPr>
        <w:t xml:space="preserve">. </w:t>
      </w:r>
    </w:p>
    <w:bookmarkEnd w:id="52"/>
    <w:p w14:paraId="225EB7FA"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bCs/>
          <w:spacing w:val="-1"/>
          <w:sz w:val="22"/>
          <w:szCs w:val="22"/>
        </w:rPr>
        <w:t xml:space="preserve">The proposed Second </w:t>
      </w:r>
      <w:r w:rsidR="00BB4A89">
        <w:rPr>
          <w:rFonts w:ascii="Calibri" w:eastAsia="Calibri" w:hAnsi="Calibri" w:cs="Calibri"/>
          <w:b/>
          <w:bCs/>
          <w:spacing w:val="-1"/>
          <w:sz w:val="22"/>
          <w:szCs w:val="22"/>
        </w:rPr>
        <w:t>ACE Impact Project</w:t>
      </w:r>
      <w:r w:rsidRPr="002E1A3F">
        <w:rPr>
          <w:rFonts w:ascii="Calibri" w:eastAsia="Calibri" w:hAnsi="Calibri" w:cs="Calibri"/>
          <w:b/>
          <w:bCs/>
          <w:spacing w:val="-1"/>
          <w:sz w:val="22"/>
          <w:szCs w:val="22"/>
        </w:rPr>
        <w:t xml:space="preserve"> is aligned with the Partnership for Skills in Applied Sciences, Engineering and Technology (PASET), which seeks to build – from the technical/vocational level to higher education and research – a technical and scientifically skilled labor force to support priority sectors in SSA</w:t>
      </w:r>
      <w:r w:rsidRPr="002E1A3F">
        <w:rPr>
          <w:rFonts w:ascii="Calibri,Times New Roman" w:eastAsia="Calibri,Times New Roman" w:hAnsi="Calibri,Times New Roman" w:cs="Calibri,Times New Roman"/>
          <w:b/>
          <w:bCs/>
          <w:spacing w:val="-1"/>
          <w:sz w:val="22"/>
          <w:szCs w:val="22"/>
        </w:rPr>
        <w:t>.</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 xml:space="preserve">Two of the main initiatives under PASET are the Regional Scholarship and Innovation Fund (RSIF) and the Regional Benchmarking of SSA </w:t>
      </w:r>
      <w:r w:rsidR="007146F3">
        <w:rPr>
          <w:rFonts w:ascii="Calibri" w:eastAsia="Calibri" w:hAnsi="Calibri" w:cs="Calibri"/>
          <w:spacing w:val="-1"/>
          <w:sz w:val="22"/>
          <w:szCs w:val="22"/>
        </w:rPr>
        <w:t>u</w:t>
      </w:r>
      <w:r w:rsidRPr="002E1A3F">
        <w:rPr>
          <w:rFonts w:ascii="Calibri" w:eastAsia="Calibri" w:hAnsi="Calibri" w:cs="Calibri"/>
          <w:spacing w:val="-1"/>
          <w:sz w:val="22"/>
          <w:szCs w:val="22"/>
        </w:rPr>
        <w:t xml:space="preserve">niversities. The ACE I and II </w:t>
      </w:r>
      <w:r w:rsidR="007146F3">
        <w:rPr>
          <w:rFonts w:ascii="Calibri" w:eastAsia="Calibri" w:hAnsi="Calibri" w:cs="Calibri"/>
          <w:spacing w:val="-1"/>
          <w:sz w:val="22"/>
          <w:szCs w:val="22"/>
        </w:rPr>
        <w:t>P</w:t>
      </w:r>
      <w:r w:rsidRPr="002E1A3F">
        <w:rPr>
          <w:rFonts w:ascii="Calibri" w:eastAsia="Calibri" w:hAnsi="Calibri" w:cs="Calibri"/>
          <w:spacing w:val="-1"/>
          <w:sz w:val="22"/>
          <w:szCs w:val="22"/>
        </w:rPr>
        <w:t xml:space="preserve">rojects have provided the framework within which PASET’s </w:t>
      </w:r>
      <w:r w:rsidR="007146F3">
        <w:rPr>
          <w:rFonts w:ascii="Calibri" w:eastAsia="Calibri" w:hAnsi="Calibri" w:cs="Calibri"/>
          <w:spacing w:val="-1"/>
          <w:sz w:val="22"/>
          <w:szCs w:val="22"/>
        </w:rPr>
        <w:t>RSIF</w:t>
      </w:r>
      <w:r w:rsidRPr="002E1A3F">
        <w:rPr>
          <w:rFonts w:ascii="Calibri" w:eastAsia="Calibri" w:hAnsi="Calibri" w:cs="Calibri"/>
          <w:spacing w:val="-1"/>
          <w:sz w:val="22"/>
          <w:szCs w:val="22"/>
        </w:rPr>
        <w:t xml:space="preserve"> has been nurtured and is now supported as a World Bank-financed project</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Times New Roman"/>
          <w:color w:val="auto"/>
          <w:sz w:val="22"/>
          <w:szCs w:val="22"/>
        </w:rPr>
        <w:t xml:space="preserve"> </w:t>
      </w:r>
      <w:r w:rsidRPr="002E1A3F">
        <w:rPr>
          <w:rFonts w:ascii="Calibri" w:eastAsia="Calibri" w:hAnsi="Calibri" w:cs="Calibri"/>
          <w:spacing w:val="-1"/>
          <w:sz w:val="22"/>
          <w:szCs w:val="22"/>
        </w:rPr>
        <w:t>Africa RSIF for Applied Sciences, Engineering and Technology (P165581</w:t>
      </w:r>
      <w:r w:rsidRPr="002E1A3F">
        <w:rPr>
          <w:rFonts w:ascii="Calibri,Times New Roman" w:eastAsia="Calibri,Times New Roman" w:hAnsi="Calibri,Times New Roman" w:cs="Calibri,Times New Roman"/>
          <w:spacing w:val="-1"/>
          <w:sz w:val="22"/>
          <w:szCs w:val="22"/>
        </w:rPr>
        <w:t xml:space="preserve">) </w:t>
      </w:r>
      <w:r w:rsidR="00512AFA">
        <w:rPr>
          <w:rFonts w:ascii="Calibri,Times New Roman" w:eastAsia="Calibri,Times New Roman" w:hAnsi="Calibri,Times New Roman" w:cs="Calibri,Times New Roman"/>
          <w:spacing w:val="-1"/>
          <w:sz w:val="22"/>
          <w:szCs w:val="22"/>
        </w:rPr>
        <w:t>(</w:t>
      </w:r>
      <w:r w:rsidRPr="002E1A3F">
        <w:rPr>
          <w:rFonts w:ascii="Calibri" w:eastAsia="Calibri" w:hAnsi="Calibri" w:cs="Calibri"/>
          <w:spacing w:val="-1"/>
          <w:sz w:val="22"/>
          <w:szCs w:val="22"/>
        </w:rPr>
        <w:t>the RSIF project</w:t>
      </w:r>
      <w:r w:rsidR="00512AFA">
        <w:rPr>
          <w:rFonts w:ascii="Calibri" w:eastAsia="Calibri" w:hAnsi="Calibri" w:cs="Calibri"/>
          <w:spacing w:val="-1"/>
          <w:sz w:val="22"/>
          <w:szCs w:val="22"/>
        </w:rPr>
        <w:t>)</w:t>
      </w:r>
      <w:r w:rsidRPr="002E1A3F">
        <w:rPr>
          <w:rFonts w:ascii="Calibri" w:eastAsia="Calibri" w:hAnsi="Calibri" w:cs="Calibri"/>
          <w:spacing w:val="-1"/>
          <w:sz w:val="22"/>
          <w:szCs w:val="22"/>
        </w:rPr>
        <w:t xml:space="preserve">. </w:t>
      </w:r>
      <w:r w:rsidR="00110BA4">
        <w:rPr>
          <w:rFonts w:ascii="Calibri" w:eastAsia="Calibri" w:hAnsi="Calibri" w:cs="Calibri"/>
          <w:spacing w:val="-1"/>
          <w:sz w:val="22"/>
          <w:szCs w:val="22"/>
        </w:rPr>
        <w:t>P</w:t>
      </w:r>
      <w:r w:rsidRPr="002E1A3F">
        <w:rPr>
          <w:rFonts w:ascii="Calibri" w:eastAsia="Calibri" w:hAnsi="Calibri" w:cs="Calibri"/>
          <w:spacing w:val="-1"/>
          <w:sz w:val="22"/>
          <w:szCs w:val="22"/>
        </w:rPr>
        <w:t xml:space="preserve">articipating countries may allocate </w:t>
      </w:r>
      <w:r w:rsidR="001D1044">
        <w:rPr>
          <w:rFonts w:ascii="Calibri" w:eastAsia="Calibri" w:hAnsi="Calibri" w:cs="Calibri"/>
          <w:spacing w:val="-1"/>
          <w:sz w:val="22"/>
          <w:szCs w:val="22"/>
        </w:rPr>
        <w:t xml:space="preserve">part of </w:t>
      </w:r>
      <w:r w:rsidRPr="002E1A3F">
        <w:rPr>
          <w:rFonts w:ascii="Calibri" w:eastAsia="Calibri" w:hAnsi="Calibri" w:cs="Calibri"/>
          <w:spacing w:val="-1"/>
          <w:sz w:val="22"/>
          <w:szCs w:val="22"/>
        </w:rPr>
        <w:t>the</w:t>
      </w:r>
      <w:r w:rsidR="007146F3">
        <w:rPr>
          <w:rFonts w:ascii="Calibri" w:eastAsia="Calibri" w:hAnsi="Calibri" w:cs="Calibri"/>
          <w:spacing w:val="-1"/>
          <w:sz w:val="22"/>
          <w:szCs w:val="22"/>
        </w:rPr>
        <w:t>ir</w:t>
      </w:r>
      <w:r w:rsidRPr="002E1A3F">
        <w:rPr>
          <w:rFonts w:ascii="Calibri" w:eastAsia="Calibri" w:hAnsi="Calibri" w:cs="Calibri"/>
          <w:spacing w:val="-1"/>
          <w:sz w:val="22"/>
          <w:szCs w:val="22"/>
        </w:rPr>
        <w:t xml:space="preserve"> Second ACE Impact IDA </w:t>
      </w:r>
      <w:r w:rsidR="007146F3">
        <w:rPr>
          <w:rFonts w:ascii="Calibri" w:eastAsia="Calibri" w:hAnsi="Calibri" w:cs="Calibri"/>
          <w:spacing w:val="-1"/>
          <w:sz w:val="22"/>
          <w:szCs w:val="22"/>
        </w:rPr>
        <w:t xml:space="preserve">financing </w:t>
      </w:r>
      <w:r w:rsidRPr="002E1A3F">
        <w:rPr>
          <w:rFonts w:ascii="Calibri" w:eastAsia="Calibri" w:hAnsi="Calibri" w:cs="Calibri"/>
          <w:spacing w:val="-1"/>
          <w:sz w:val="22"/>
          <w:szCs w:val="22"/>
        </w:rPr>
        <w:t>envelope to the RSIF</w:t>
      </w:r>
      <w:r w:rsidRPr="002E1A3F">
        <w:rPr>
          <w:rFonts w:ascii="Calibri,Times New Roman" w:eastAsia="Calibri,Times New Roman" w:hAnsi="Calibri,Times New Roman" w:cs="Calibri,Times New Roman"/>
          <w:spacing w:val="-1"/>
          <w:sz w:val="22"/>
          <w:szCs w:val="22"/>
        </w:rPr>
        <w:t xml:space="preserve">.  </w:t>
      </w:r>
    </w:p>
    <w:p w14:paraId="26C4C25F"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spacing w:val="-1"/>
          <w:sz w:val="22"/>
          <w:szCs w:val="22"/>
        </w:rPr>
        <w:t>Most higher education systems in the region lack accountability in the performance of their higher education institutions.</w:t>
      </w:r>
      <w:r w:rsidRPr="002E1A3F">
        <w:rPr>
          <w:rFonts w:ascii="Calibri" w:eastAsia="Calibri" w:hAnsi="Calibri" w:cs="Calibri"/>
          <w:spacing w:val="-1"/>
          <w:sz w:val="22"/>
          <w:szCs w:val="22"/>
        </w:rPr>
        <w:t xml:space="preserve"> However, under PASET’s Benchmarking initiative, a strong momentum has been generated from several governments and universities in the region to strengthen availability of data which can be used for performance assessment. About 31 universities (most of which host ACE centers) across 12 countries participated in the PASET Benchmarking exercise in 2016. The benchmarking exercise compared universities on 60 indicators including those related to access, gender, quality of faculty, governance, financing, research, graduate outcomes and technology transfer. Benchmarking exercises coupled with student engagement surveys and graduate tracer stud</w:t>
      </w:r>
      <w:r w:rsidR="00CF4923">
        <w:rPr>
          <w:rFonts w:ascii="Calibri" w:eastAsia="Calibri" w:hAnsi="Calibri" w:cs="Calibri"/>
          <w:spacing w:val="-1"/>
          <w:sz w:val="22"/>
          <w:szCs w:val="22"/>
        </w:rPr>
        <w:t xml:space="preserve">ies </w:t>
      </w:r>
      <w:r w:rsidRPr="002E1A3F">
        <w:rPr>
          <w:rFonts w:ascii="Calibri" w:eastAsia="Calibri" w:hAnsi="Calibri" w:cs="Calibri"/>
          <w:spacing w:val="-1"/>
          <w:sz w:val="22"/>
          <w:szCs w:val="22"/>
        </w:rPr>
        <w:t>currently under development could help</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to establish greater accountability and improve performance in higher education institutions in the region</w:t>
      </w:r>
      <w:r w:rsidRPr="002E1A3F">
        <w:rPr>
          <w:rFonts w:ascii="Calibri,Times New Roman" w:eastAsia="Calibri,Times New Roman" w:hAnsi="Calibri,Times New Roman" w:cs="Calibri,Times New Roman"/>
          <w:spacing w:val="-1"/>
          <w:sz w:val="22"/>
          <w:szCs w:val="22"/>
        </w:rPr>
        <w:t>.</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067564C3" w14:textId="77777777" w:rsidTr="009277AD">
        <w:trPr>
          <w:trHeight w:val="80"/>
        </w:trPr>
        <w:tc>
          <w:tcPr>
            <w:tcW w:w="10710" w:type="dxa"/>
          </w:tcPr>
          <w:p w14:paraId="6561741A" w14:textId="77777777" w:rsidR="002E1A3F" w:rsidRPr="002E1A3F" w:rsidRDefault="00B00100" w:rsidP="001118F8">
            <w:pPr>
              <w:keepNext/>
              <w:widowControl/>
              <w:autoSpaceDE/>
              <w:autoSpaceDN/>
              <w:adjustRightInd/>
              <w:spacing w:before="40"/>
              <w:outlineLvl w:val="1"/>
              <w:rPr>
                <w:rFonts w:ascii="Calibri" w:eastAsia="Times New Roman" w:hAnsi="Calibri" w:cs="Times New Roman"/>
                <w:b/>
                <w:color w:val="172D5F"/>
                <w:sz w:val="22"/>
                <w:szCs w:val="22"/>
              </w:rPr>
            </w:pPr>
            <w:bookmarkStart w:id="53" w:name="_Toc256000128"/>
            <w:bookmarkStart w:id="54" w:name="_Toc256000104"/>
            <w:bookmarkStart w:id="55" w:name="_Toc256000066"/>
            <w:bookmarkStart w:id="56" w:name="_Toc256000022"/>
            <w:bookmarkStart w:id="57" w:name="_Toc256000007"/>
            <w:bookmarkStart w:id="58" w:name="_Toc8301921"/>
            <w:bookmarkStart w:id="59" w:name="_Toc14789337"/>
            <w:bookmarkStart w:id="60" w:name="_Toc22655907"/>
            <w:bookmarkStart w:id="61" w:name="_Toc23779836"/>
            <w:bookmarkStart w:id="62" w:name="_Toc23866052"/>
            <w:bookmarkStart w:id="63" w:name="_Toc23930663"/>
            <w:bookmarkEnd w:id="51"/>
            <w:r w:rsidRPr="002E1A3F">
              <w:rPr>
                <w:rFonts w:ascii="Calibri" w:eastAsia="Times New Roman" w:hAnsi="Calibri" w:cs="Times New Roman"/>
                <w:b/>
                <w:bCs/>
                <w:color w:val="172D5F"/>
                <w:sz w:val="22"/>
                <w:szCs w:val="22"/>
              </w:rPr>
              <w:t>C.</w:t>
            </w:r>
            <w:r w:rsidRPr="002E1A3F">
              <w:rPr>
                <w:rFonts w:ascii="Calibri" w:eastAsia="Times New Roman" w:hAnsi="Calibri" w:cs="Times New Roman"/>
                <w:b/>
                <w:color w:val="172D5F"/>
                <w:sz w:val="22"/>
                <w:szCs w:val="22"/>
              </w:rPr>
              <w:t xml:space="preserve"> Relevance to Higher Level Objectives</w:t>
            </w:r>
            <w:bookmarkEnd w:id="53"/>
            <w:bookmarkEnd w:id="54"/>
            <w:bookmarkEnd w:id="55"/>
            <w:bookmarkEnd w:id="56"/>
            <w:bookmarkEnd w:id="57"/>
            <w:bookmarkEnd w:id="58"/>
            <w:bookmarkEnd w:id="59"/>
            <w:bookmarkEnd w:id="60"/>
            <w:bookmarkEnd w:id="61"/>
            <w:bookmarkEnd w:id="62"/>
            <w:bookmarkEnd w:id="63"/>
          </w:p>
          <w:p w14:paraId="66AFEF1F" w14:textId="77777777" w:rsidR="002E1A3F" w:rsidRPr="002E1A3F" w:rsidRDefault="002E1A3F" w:rsidP="001118F8">
            <w:pPr>
              <w:widowControl/>
              <w:autoSpaceDE/>
              <w:autoSpaceDN/>
              <w:adjustRightInd/>
              <w:rPr>
                <w:rFonts w:ascii="Calibri" w:eastAsia="Calibri" w:hAnsi="Calibri" w:cs="Times New Roman"/>
                <w:color w:val="auto"/>
                <w:sz w:val="22"/>
                <w:szCs w:val="22"/>
              </w:rPr>
            </w:pPr>
          </w:p>
        </w:tc>
      </w:tr>
    </w:tbl>
    <w:p w14:paraId="60A740EA" w14:textId="51B8F745" w:rsidR="002E1A3F"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t>The</w:t>
      </w:r>
      <w:r w:rsidRPr="002E1A3F">
        <w:rPr>
          <w:rFonts w:ascii="Calibri,Times New Roman" w:eastAsia="Calibri,Times New Roman" w:hAnsi="Calibri,Times New Roman" w:cs="Calibri,Times New Roman"/>
          <w:b/>
          <w:sz w:val="22"/>
          <w:szCs w:val="22"/>
        </w:rPr>
        <w:t xml:space="preserve"> </w:t>
      </w:r>
      <w:r w:rsidRPr="002E1A3F">
        <w:rPr>
          <w:rFonts w:ascii="Calibri" w:eastAsia="Calibri" w:hAnsi="Calibri" w:cs="Calibri"/>
          <w:b/>
          <w:sz w:val="22"/>
          <w:szCs w:val="22"/>
        </w:rPr>
        <w:t xml:space="preserve">proposed Second </w:t>
      </w:r>
      <w:r w:rsidR="00BB4A89">
        <w:rPr>
          <w:rFonts w:ascii="Calibri" w:eastAsia="Calibri" w:hAnsi="Calibri" w:cs="Calibri"/>
          <w:b/>
          <w:sz w:val="22"/>
          <w:szCs w:val="22"/>
        </w:rPr>
        <w:t>ACE Impact Project</w:t>
      </w:r>
      <w:r w:rsidRPr="002E1A3F">
        <w:rPr>
          <w:rFonts w:ascii="Calibri" w:eastAsia="Calibri" w:hAnsi="Calibri" w:cs="Calibri"/>
          <w:b/>
          <w:sz w:val="22"/>
          <w:szCs w:val="22"/>
        </w:rPr>
        <w:t xml:space="preserve"> will contribute to the World Bank Group</w:t>
      </w:r>
      <w:r w:rsidR="00466DA8">
        <w:rPr>
          <w:rFonts w:ascii="Calibri" w:eastAsia="Calibri" w:hAnsi="Calibri" w:cs="Calibri"/>
          <w:b/>
          <w:sz w:val="22"/>
          <w:szCs w:val="22"/>
        </w:rPr>
        <w:t>’s</w:t>
      </w:r>
      <w:r w:rsidRPr="002E1A3F">
        <w:rPr>
          <w:rFonts w:ascii="Calibri" w:eastAsia="Calibri" w:hAnsi="Calibri" w:cs="Calibri"/>
          <w:b/>
          <w:sz w:val="22"/>
          <w:szCs w:val="22"/>
        </w:rPr>
        <w:t xml:space="preserve"> (WBG) twin goals and relevant World Bank strategies. </w:t>
      </w:r>
      <w:r w:rsidRPr="002E1A3F">
        <w:rPr>
          <w:rFonts w:ascii="Calibri" w:eastAsia="Calibri" w:hAnsi="Calibri" w:cs="Calibri"/>
          <w:sz w:val="22"/>
          <w:szCs w:val="22"/>
        </w:rPr>
        <w:t>The proposed project aims at reducing higher-level skills gaps, enhancing learning, and improving applied research and technology uptake in the priority sectors</w:t>
      </w:r>
      <w:r w:rsidR="00637507">
        <w:rPr>
          <w:rFonts w:ascii="Calibri" w:eastAsia="Calibri" w:hAnsi="Calibri" w:cs="Calibri"/>
          <w:sz w:val="22"/>
          <w:szCs w:val="22"/>
        </w:rPr>
        <w:t xml:space="preserve"> (t</w:t>
      </w:r>
      <w:r w:rsidRPr="002E1A3F">
        <w:rPr>
          <w:rFonts w:ascii="Calibri" w:eastAsia="Calibri" w:hAnsi="Calibri" w:cs="Calibri"/>
          <w:sz w:val="22"/>
          <w:szCs w:val="22"/>
        </w:rPr>
        <w:t xml:space="preserve">he </w:t>
      </w:r>
      <w:r w:rsidR="00637507">
        <w:rPr>
          <w:rFonts w:ascii="Calibri" w:eastAsia="Calibri" w:hAnsi="Calibri" w:cs="Calibri"/>
          <w:sz w:val="22"/>
          <w:szCs w:val="22"/>
        </w:rPr>
        <w:t>t</w:t>
      </w:r>
      <w:r w:rsidRPr="002E1A3F">
        <w:rPr>
          <w:rFonts w:ascii="Calibri" w:eastAsia="Calibri" w:hAnsi="Calibri" w:cs="Calibri"/>
          <w:sz w:val="22"/>
          <w:szCs w:val="22"/>
        </w:rPr>
        <w:t xml:space="preserve">hematic </w:t>
      </w:r>
      <w:r w:rsidR="00E90350">
        <w:rPr>
          <w:rFonts w:ascii="Calibri" w:eastAsia="Calibri" w:hAnsi="Calibri" w:cs="Calibri"/>
          <w:sz w:val="22"/>
          <w:szCs w:val="22"/>
        </w:rPr>
        <w:t>a</w:t>
      </w:r>
      <w:r w:rsidRPr="002E1A3F">
        <w:rPr>
          <w:rFonts w:ascii="Calibri" w:eastAsia="Calibri" w:hAnsi="Calibri" w:cs="Calibri"/>
          <w:sz w:val="22"/>
          <w:szCs w:val="22"/>
        </w:rPr>
        <w:t xml:space="preserve">reas of the </w:t>
      </w:r>
      <w:r w:rsidR="00E90350">
        <w:rPr>
          <w:rFonts w:ascii="Calibri" w:eastAsia="Calibri" w:hAnsi="Calibri" w:cs="Calibri"/>
          <w:sz w:val="22"/>
          <w:szCs w:val="22"/>
        </w:rPr>
        <w:t>c</w:t>
      </w:r>
      <w:r w:rsidRPr="002E1A3F">
        <w:rPr>
          <w:rFonts w:ascii="Calibri" w:eastAsia="Calibri" w:hAnsi="Calibri" w:cs="Calibri"/>
          <w:sz w:val="22"/>
          <w:szCs w:val="22"/>
        </w:rPr>
        <w:t xml:space="preserve">enters </w:t>
      </w:r>
      <w:r w:rsidR="002515A3">
        <w:rPr>
          <w:rFonts w:ascii="Calibri" w:eastAsia="Calibri" w:hAnsi="Calibri" w:cs="Calibri"/>
          <w:sz w:val="22"/>
          <w:szCs w:val="22"/>
        </w:rPr>
        <w:t xml:space="preserve">for both ACE Impact Projects </w:t>
      </w:r>
      <w:r w:rsidRPr="002E1A3F">
        <w:rPr>
          <w:rFonts w:ascii="Calibri" w:eastAsia="Calibri" w:hAnsi="Calibri" w:cs="Calibri"/>
          <w:sz w:val="22"/>
          <w:szCs w:val="22"/>
        </w:rPr>
        <w:t>are presented in Annex 6</w:t>
      </w:r>
      <w:r w:rsidR="00637507">
        <w:rPr>
          <w:rFonts w:ascii="Calibri" w:eastAsia="Calibri" w:hAnsi="Calibri" w:cs="Calibri"/>
          <w:sz w:val="22"/>
          <w:szCs w:val="22"/>
        </w:rPr>
        <w:t>)</w:t>
      </w:r>
      <w:r w:rsidRPr="002E1A3F">
        <w:rPr>
          <w:rFonts w:ascii="Calibri" w:eastAsia="Calibri" w:hAnsi="Calibri" w:cs="Calibri"/>
          <w:sz w:val="22"/>
          <w:szCs w:val="22"/>
        </w:rPr>
        <w:t xml:space="preserve">. Therefore, it will </w:t>
      </w:r>
      <w:r w:rsidR="00863267">
        <w:rPr>
          <w:rFonts w:ascii="Calibri" w:eastAsia="Calibri" w:hAnsi="Calibri" w:cs="Calibri"/>
          <w:sz w:val="22"/>
          <w:szCs w:val="22"/>
        </w:rPr>
        <w:t xml:space="preserve">contribute to </w:t>
      </w:r>
      <w:r w:rsidRPr="002E1A3F">
        <w:rPr>
          <w:rFonts w:ascii="Calibri" w:eastAsia="Calibri" w:hAnsi="Calibri" w:cs="Calibri"/>
          <w:sz w:val="22"/>
          <w:szCs w:val="22"/>
        </w:rPr>
        <w:t xml:space="preserve">increase productivity, spur economic growth, provide better opportunities of social mobility of children from low and middle-income families through higher education, and thereby reduce poverty. As such, the project </w:t>
      </w:r>
      <w:r w:rsidR="00863267">
        <w:rPr>
          <w:rFonts w:ascii="Calibri" w:eastAsia="Calibri" w:hAnsi="Calibri" w:cs="Calibri"/>
          <w:sz w:val="22"/>
          <w:szCs w:val="22"/>
        </w:rPr>
        <w:t>aligns</w:t>
      </w:r>
      <w:r w:rsidRPr="002E1A3F">
        <w:rPr>
          <w:rFonts w:ascii="Calibri" w:eastAsia="Calibri" w:hAnsi="Calibri" w:cs="Calibri"/>
          <w:sz w:val="22"/>
          <w:szCs w:val="22"/>
        </w:rPr>
        <w:t xml:space="preserve"> with</w:t>
      </w:r>
      <w:r w:rsidR="00863267">
        <w:rPr>
          <w:rFonts w:ascii="Calibri" w:eastAsia="Calibri" w:hAnsi="Calibri" w:cs="Calibri"/>
          <w:sz w:val="22"/>
          <w:szCs w:val="22"/>
        </w:rPr>
        <w:t xml:space="preserve"> </w:t>
      </w:r>
      <w:r w:rsidRPr="002E1A3F">
        <w:rPr>
          <w:rFonts w:ascii="Calibri" w:eastAsia="Calibri" w:hAnsi="Calibri" w:cs="Calibri"/>
          <w:sz w:val="22"/>
          <w:szCs w:val="22"/>
        </w:rPr>
        <w:t xml:space="preserve">the </w:t>
      </w:r>
      <w:r w:rsidRPr="002E1A3F">
        <w:rPr>
          <w:rFonts w:ascii="Calibri" w:eastAsia="Calibri" w:hAnsi="Calibri" w:cs="Calibri"/>
          <w:spacing w:val="-1"/>
          <w:sz w:val="22"/>
          <w:szCs w:val="22"/>
        </w:rPr>
        <w:t xml:space="preserve">WBG twin goals of </w:t>
      </w:r>
      <w:r w:rsidR="007146F3">
        <w:rPr>
          <w:rFonts w:ascii="Calibri" w:eastAsia="Calibri" w:hAnsi="Calibri" w:cs="Calibri"/>
          <w:spacing w:val="-1"/>
          <w:sz w:val="22"/>
          <w:szCs w:val="22"/>
        </w:rPr>
        <w:t xml:space="preserve">ending </w:t>
      </w:r>
      <w:r w:rsidRPr="002E1A3F">
        <w:rPr>
          <w:rFonts w:ascii="Calibri" w:eastAsia="Calibri" w:hAnsi="Calibri" w:cs="Calibri"/>
          <w:spacing w:val="-1"/>
          <w:sz w:val="22"/>
          <w:szCs w:val="22"/>
        </w:rPr>
        <w:t xml:space="preserve">extreme poverty and boosting shared prosperity, in a sustainable manner, as well as the World Bank’s 2020 Education strategy “Learning for All”. </w:t>
      </w:r>
    </w:p>
    <w:p w14:paraId="3FF2EDEE" w14:textId="77777777" w:rsidR="00436CE5" w:rsidRPr="002E1A3F" w:rsidRDefault="00436CE5" w:rsidP="006C70A5">
      <w:pPr>
        <w:widowControl/>
        <w:tabs>
          <w:tab w:val="left" w:pos="0"/>
          <w:tab w:val="left" w:pos="720"/>
        </w:tabs>
        <w:autoSpaceDE/>
        <w:autoSpaceDN/>
        <w:adjustRightInd/>
        <w:spacing w:after="240"/>
        <w:jc w:val="both"/>
        <w:rPr>
          <w:rFonts w:ascii="Calibri" w:eastAsia="Calibri" w:hAnsi="Calibri" w:cs="Calibri"/>
          <w:sz w:val="22"/>
          <w:szCs w:val="22"/>
        </w:rPr>
      </w:pPr>
    </w:p>
    <w:p w14:paraId="0B723411"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lastRenderedPageBreak/>
        <w:t>The project is part of the World Bank’s Africa Regional Integration and Cooperation Strategy (FY18 – FY23)</w:t>
      </w:r>
      <w:r>
        <w:rPr>
          <w:rFonts w:ascii="Calibri" w:eastAsia="Calibri" w:hAnsi="Calibri" w:cs="Calibri"/>
          <w:b/>
          <w:sz w:val="22"/>
          <w:szCs w:val="22"/>
        </w:rPr>
        <w:t xml:space="preserve">, </w:t>
      </w:r>
      <w:r w:rsidR="00CF4E09">
        <w:rPr>
          <w:rFonts w:ascii="Calibri" w:eastAsia="Calibri" w:hAnsi="Calibri" w:cs="Calibri"/>
          <w:b/>
          <w:sz w:val="22"/>
          <w:szCs w:val="22"/>
        </w:rPr>
        <w:t xml:space="preserve">the </w:t>
      </w:r>
      <w:r w:rsidR="00CF4E09" w:rsidRPr="00CF4E09">
        <w:rPr>
          <w:rFonts w:ascii="Calibri" w:eastAsia="Calibri" w:hAnsi="Calibri" w:cs="Calibri"/>
          <w:b/>
          <w:sz w:val="22"/>
          <w:szCs w:val="22"/>
        </w:rPr>
        <w:t xml:space="preserve">Digital Economy for Africa </w:t>
      </w:r>
      <w:r w:rsidR="00FA17A5">
        <w:rPr>
          <w:rFonts w:ascii="Calibri" w:eastAsia="Calibri" w:hAnsi="Calibri" w:cs="Calibri"/>
          <w:b/>
          <w:sz w:val="22"/>
          <w:szCs w:val="22"/>
        </w:rPr>
        <w:t>Initiative</w:t>
      </w:r>
      <w:r w:rsidR="00FA17A5" w:rsidRPr="00CF4E09">
        <w:rPr>
          <w:rFonts w:ascii="Calibri" w:eastAsia="Calibri" w:hAnsi="Calibri" w:cs="Calibri"/>
          <w:b/>
          <w:sz w:val="22"/>
          <w:szCs w:val="22"/>
        </w:rPr>
        <w:t xml:space="preserve"> </w:t>
      </w:r>
      <w:r w:rsidR="00CF4E09" w:rsidRPr="00CF4E09">
        <w:rPr>
          <w:rFonts w:ascii="Calibri" w:eastAsia="Calibri" w:hAnsi="Calibri" w:cs="Calibri"/>
          <w:b/>
          <w:sz w:val="22"/>
          <w:szCs w:val="22"/>
        </w:rPr>
        <w:t xml:space="preserve">on Digital Skills </w:t>
      </w:r>
      <w:r w:rsidRPr="002E1A3F">
        <w:rPr>
          <w:rFonts w:ascii="Calibri" w:eastAsia="Calibri" w:hAnsi="Calibri" w:cs="Calibri"/>
          <w:b/>
          <w:sz w:val="22"/>
          <w:szCs w:val="22"/>
        </w:rPr>
        <w:t xml:space="preserve">and the </w:t>
      </w:r>
      <w:r w:rsidR="00096F61">
        <w:rPr>
          <w:rFonts w:ascii="Calibri" w:eastAsia="Calibri" w:hAnsi="Calibri" w:cs="Calibri"/>
          <w:b/>
          <w:sz w:val="22"/>
          <w:szCs w:val="22"/>
        </w:rPr>
        <w:t xml:space="preserve">Africa </w:t>
      </w:r>
      <w:r w:rsidR="00CF4E09">
        <w:rPr>
          <w:rFonts w:ascii="Calibri" w:eastAsia="Calibri" w:hAnsi="Calibri" w:cs="Calibri"/>
          <w:b/>
          <w:sz w:val="22"/>
          <w:szCs w:val="22"/>
        </w:rPr>
        <w:t>Human Capital P</w:t>
      </w:r>
      <w:r w:rsidR="00330EE8">
        <w:rPr>
          <w:rFonts w:ascii="Calibri" w:eastAsia="Calibri" w:hAnsi="Calibri" w:cs="Calibri"/>
          <w:b/>
          <w:sz w:val="22"/>
          <w:szCs w:val="22"/>
        </w:rPr>
        <w:t>lan</w:t>
      </w:r>
      <w:r w:rsidRPr="002E1A3F">
        <w:rPr>
          <w:rFonts w:ascii="Calibri" w:eastAsia="Calibri,Times New Roman" w:hAnsi="Calibri" w:cs="Calibri"/>
          <w:b/>
          <w:sz w:val="22"/>
          <w:szCs w:val="22"/>
        </w:rPr>
        <w:t>.</w:t>
      </w:r>
      <w:r>
        <w:rPr>
          <w:rFonts w:ascii="Calibri" w:eastAsia="Calibri,Times New Roman" w:hAnsi="Calibri" w:cs="Calibri"/>
          <w:b/>
          <w:sz w:val="22"/>
          <w:szCs w:val="22"/>
          <w:vertAlign w:val="superscript"/>
        </w:rPr>
        <w:footnoteReference w:id="10"/>
      </w:r>
      <w:r w:rsidRPr="002E1A3F">
        <w:rPr>
          <w:rFonts w:ascii="Calibri" w:eastAsia="Calibri,Times New Roman" w:hAnsi="Calibri" w:cs="Calibri"/>
          <w:b/>
          <w:sz w:val="22"/>
          <w:szCs w:val="22"/>
        </w:rPr>
        <w:t xml:space="preserve"> </w:t>
      </w:r>
      <w:r w:rsidRPr="002E1A3F">
        <w:rPr>
          <w:rFonts w:ascii="Calibri" w:eastAsia="Calibri" w:hAnsi="Calibri" w:cs="Calibri"/>
          <w:sz w:val="22"/>
          <w:szCs w:val="22"/>
        </w:rPr>
        <w:t xml:space="preserve">At the core of </w:t>
      </w:r>
      <w:r w:rsidR="005B164A">
        <w:rPr>
          <w:rFonts w:ascii="Calibri" w:eastAsia="Calibri" w:hAnsi="Calibri" w:cs="Calibri"/>
          <w:sz w:val="22"/>
          <w:szCs w:val="22"/>
        </w:rPr>
        <w:t xml:space="preserve">the </w:t>
      </w:r>
      <w:r w:rsidRPr="002E1A3F">
        <w:rPr>
          <w:rFonts w:ascii="Calibri" w:eastAsia="Calibri" w:hAnsi="Calibri" w:cs="Calibri"/>
          <w:sz w:val="22"/>
          <w:szCs w:val="22"/>
        </w:rPr>
        <w:t xml:space="preserve">Africa Regional Integration and Cooperation strategy is the goal </w:t>
      </w:r>
      <w:r w:rsidR="002515A3">
        <w:rPr>
          <w:rFonts w:ascii="Calibri" w:eastAsia="Calibri" w:hAnsi="Calibri" w:cs="Calibri"/>
          <w:sz w:val="22"/>
          <w:szCs w:val="22"/>
        </w:rPr>
        <w:t>of</w:t>
      </w:r>
      <w:r w:rsidRPr="002E1A3F">
        <w:rPr>
          <w:rFonts w:ascii="Calibri" w:eastAsia="Calibri" w:hAnsi="Calibri" w:cs="Calibri"/>
          <w:sz w:val="22"/>
          <w:szCs w:val="22"/>
        </w:rPr>
        <w:t xml:space="preserve"> ensur</w:t>
      </w:r>
      <w:r w:rsidR="002515A3">
        <w:rPr>
          <w:rFonts w:ascii="Calibri" w:eastAsia="Calibri" w:hAnsi="Calibri" w:cs="Calibri"/>
          <w:sz w:val="22"/>
          <w:szCs w:val="22"/>
        </w:rPr>
        <w:t>ing</w:t>
      </w:r>
      <w:r w:rsidRPr="002E1A3F">
        <w:rPr>
          <w:rFonts w:ascii="Calibri" w:eastAsia="Calibri" w:hAnsi="Calibri" w:cs="Calibri"/>
          <w:sz w:val="22"/>
          <w:szCs w:val="22"/>
        </w:rPr>
        <w:t xml:space="preserve"> that the regional workforce is equipped with the skills and applied technical knowledge to tackle various development challenges while harnessing the advantages of a regional approach. The objectives of the strategy, which include competitiveness and productivity and human capital a</w:t>
      </w:r>
      <w:r w:rsidR="00894605">
        <w:rPr>
          <w:rFonts w:ascii="Calibri" w:eastAsia="Calibri" w:hAnsi="Calibri" w:cs="Calibri"/>
          <w:sz w:val="22"/>
          <w:szCs w:val="22"/>
        </w:rPr>
        <w:t>s well as</w:t>
      </w:r>
      <w:r w:rsidRPr="002E1A3F">
        <w:rPr>
          <w:rFonts w:ascii="Calibri" w:eastAsia="Calibri" w:hAnsi="Calibri" w:cs="Calibri"/>
          <w:sz w:val="22"/>
          <w:szCs w:val="22"/>
        </w:rPr>
        <w:t xml:space="preserve"> access to services are well aligned with the </w:t>
      </w:r>
      <w:r w:rsidR="007146F3">
        <w:rPr>
          <w:rFonts w:ascii="Calibri" w:eastAsia="Calibri" w:hAnsi="Calibri" w:cs="Calibri"/>
          <w:sz w:val="22"/>
          <w:szCs w:val="22"/>
        </w:rPr>
        <w:t xml:space="preserve">proposed </w:t>
      </w:r>
      <w:r w:rsidR="00BB4A89">
        <w:rPr>
          <w:rFonts w:ascii="Calibri" w:eastAsia="Calibri" w:hAnsi="Calibri" w:cs="Calibri"/>
          <w:sz w:val="22"/>
          <w:szCs w:val="22"/>
        </w:rPr>
        <w:t>Second ACE Impact Project</w:t>
      </w:r>
      <w:r w:rsidRPr="002E1A3F">
        <w:rPr>
          <w:rFonts w:ascii="Calibri" w:eastAsia="Calibri" w:hAnsi="Calibri" w:cs="Calibri"/>
          <w:sz w:val="22"/>
          <w:szCs w:val="22"/>
        </w:rPr>
        <w:t>. Further, the proposed project will help establish a competitive regional market for higher education in which ACE centers will be strengthened to provide quality postgraduate education in specific fields within specific priority sectors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ACE centers and their host institutions will receive support to develop their own regional strategic plans to help them attract the right profile of students and faculty from the region (and beyond) and establish the necessary student affairs services to cater to both nationals and non-nationals of the ACE host countries. The proposed project will also increase the production of advanced digital skills, an objective of the Africa region’s digital </w:t>
      </w:r>
      <w:r w:rsidR="00E0350D">
        <w:rPr>
          <w:rFonts w:ascii="Calibri" w:eastAsia="Calibri" w:hAnsi="Calibri" w:cs="Calibri"/>
          <w:sz w:val="22"/>
          <w:szCs w:val="22"/>
        </w:rPr>
        <w:t>economy</w:t>
      </w:r>
      <w:r w:rsidRPr="002E1A3F">
        <w:rPr>
          <w:rFonts w:ascii="Calibri" w:eastAsia="Calibri" w:hAnsi="Calibri" w:cs="Calibri"/>
          <w:sz w:val="22"/>
          <w:szCs w:val="22"/>
        </w:rPr>
        <w:t xml:space="preserve"> strategy. </w:t>
      </w:r>
      <w:r w:rsidR="00C72765">
        <w:rPr>
          <w:rFonts w:ascii="Calibri" w:eastAsia="Calibri" w:hAnsi="Calibri" w:cs="Calibri"/>
          <w:sz w:val="22"/>
          <w:szCs w:val="22"/>
        </w:rPr>
        <w:t>There are several STEM</w:t>
      </w:r>
      <w:r w:rsidR="007146F3">
        <w:rPr>
          <w:rFonts w:ascii="Calibri" w:eastAsia="Calibri" w:hAnsi="Calibri" w:cs="Calibri"/>
          <w:sz w:val="22"/>
          <w:szCs w:val="22"/>
        </w:rPr>
        <w:t>-</w:t>
      </w:r>
      <w:r w:rsidR="00C72765">
        <w:rPr>
          <w:rFonts w:ascii="Calibri" w:eastAsia="Calibri" w:hAnsi="Calibri" w:cs="Calibri"/>
          <w:sz w:val="22"/>
          <w:szCs w:val="22"/>
        </w:rPr>
        <w:t xml:space="preserve">focused centers </w:t>
      </w:r>
      <w:r w:rsidR="007D3C24">
        <w:rPr>
          <w:rFonts w:ascii="Calibri" w:eastAsia="Calibri" w:hAnsi="Calibri" w:cs="Calibri"/>
          <w:sz w:val="22"/>
          <w:szCs w:val="22"/>
        </w:rPr>
        <w:t>and schools of engineering</w:t>
      </w:r>
      <w:r w:rsidR="00E42CBB">
        <w:rPr>
          <w:rFonts w:ascii="Calibri" w:eastAsia="Calibri" w:hAnsi="Calibri" w:cs="Calibri"/>
          <w:sz w:val="22"/>
          <w:szCs w:val="22"/>
        </w:rPr>
        <w:t xml:space="preserve">, </w:t>
      </w:r>
      <w:r w:rsidR="007D3C24">
        <w:rPr>
          <w:rFonts w:ascii="Calibri" w:eastAsia="Calibri" w:hAnsi="Calibri" w:cs="Calibri"/>
          <w:sz w:val="22"/>
          <w:szCs w:val="22"/>
        </w:rPr>
        <w:t xml:space="preserve">that </w:t>
      </w:r>
      <w:r w:rsidR="006F4707">
        <w:rPr>
          <w:rFonts w:ascii="Calibri" w:eastAsia="Calibri" w:hAnsi="Calibri" w:cs="Calibri"/>
          <w:sz w:val="22"/>
          <w:szCs w:val="22"/>
        </w:rPr>
        <w:t xml:space="preserve">offer </w:t>
      </w:r>
      <w:r w:rsidR="00E07E58">
        <w:rPr>
          <w:rFonts w:ascii="Calibri" w:eastAsia="Calibri" w:hAnsi="Calibri" w:cs="Calibri"/>
          <w:sz w:val="22"/>
          <w:szCs w:val="22"/>
        </w:rPr>
        <w:t xml:space="preserve">academic </w:t>
      </w:r>
      <w:r w:rsidR="006F4707">
        <w:rPr>
          <w:rFonts w:ascii="Calibri" w:eastAsia="Calibri" w:hAnsi="Calibri" w:cs="Calibri"/>
          <w:sz w:val="22"/>
          <w:szCs w:val="22"/>
        </w:rPr>
        <w:t xml:space="preserve">programs </w:t>
      </w:r>
      <w:r w:rsidR="00272A9B">
        <w:rPr>
          <w:rFonts w:ascii="Calibri" w:eastAsia="Calibri" w:hAnsi="Calibri" w:cs="Calibri"/>
          <w:sz w:val="22"/>
          <w:szCs w:val="22"/>
        </w:rPr>
        <w:t xml:space="preserve">in advanced digital </w:t>
      </w:r>
      <w:r w:rsidR="00EC3BBF">
        <w:rPr>
          <w:rFonts w:ascii="Calibri" w:eastAsia="Calibri" w:hAnsi="Calibri" w:cs="Calibri"/>
          <w:sz w:val="22"/>
          <w:szCs w:val="22"/>
        </w:rPr>
        <w:t xml:space="preserve">skills and related fields that </w:t>
      </w:r>
      <w:r w:rsidR="007D3C24">
        <w:rPr>
          <w:rFonts w:ascii="Calibri" w:eastAsia="Calibri" w:hAnsi="Calibri" w:cs="Calibri"/>
          <w:sz w:val="22"/>
          <w:szCs w:val="22"/>
        </w:rPr>
        <w:t>will be receiving support</w:t>
      </w:r>
      <w:r w:rsidR="00EC3BBF">
        <w:rPr>
          <w:rFonts w:ascii="Calibri" w:eastAsia="Calibri" w:hAnsi="Calibri" w:cs="Calibri"/>
          <w:sz w:val="22"/>
          <w:szCs w:val="22"/>
        </w:rPr>
        <w:t xml:space="preserve"> under the proposed project.</w:t>
      </w:r>
      <w:r w:rsidRPr="002E1A3F">
        <w:rPr>
          <w:rFonts w:ascii="Calibri" w:eastAsia="Calibri" w:hAnsi="Calibri" w:cs="Calibri"/>
          <w:sz w:val="22"/>
          <w:szCs w:val="22"/>
        </w:rPr>
        <w:t xml:space="preserve"> </w:t>
      </w:r>
      <w:r w:rsidR="004C7195">
        <w:rPr>
          <w:rFonts w:ascii="Calibri" w:eastAsia="Calibri" w:hAnsi="Calibri" w:cs="Calibri"/>
          <w:sz w:val="22"/>
          <w:szCs w:val="22"/>
        </w:rPr>
        <w:t>The proposed pro</w:t>
      </w:r>
      <w:r w:rsidR="008B7E8A">
        <w:rPr>
          <w:rFonts w:ascii="Calibri" w:eastAsia="Calibri" w:hAnsi="Calibri" w:cs="Calibri"/>
          <w:sz w:val="22"/>
          <w:szCs w:val="22"/>
        </w:rPr>
        <w:t>ject addresses various development challenges, across several sectors that are known to impact human capital.</w:t>
      </w:r>
      <w:r w:rsidR="004C7195">
        <w:rPr>
          <w:rFonts w:ascii="Calibri" w:eastAsia="Calibri" w:hAnsi="Calibri" w:cs="Calibri"/>
          <w:sz w:val="22"/>
          <w:szCs w:val="22"/>
        </w:rPr>
        <w:t xml:space="preserve"> </w:t>
      </w:r>
      <w:bookmarkStart w:id="64" w:name="_Hlk23529750"/>
      <w:r w:rsidRPr="002E1A3F">
        <w:rPr>
          <w:rFonts w:ascii="Calibri" w:eastAsia="Calibri" w:hAnsi="Calibri" w:cs="Calibri"/>
          <w:sz w:val="22"/>
          <w:szCs w:val="22"/>
        </w:rPr>
        <w:t xml:space="preserve">The project is </w:t>
      </w:r>
      <w:r w:rsidR="002F720A">
        <w:rPr>
          <w:rFonts w:ascii="Calibri" w:eastAsia="Calibri" w:hAnsi="Calibri" w:cs="Calibri"/>
          <w:sz w:val="22"/>
          <w:szCs w:val="22"/>
        </w:rPr>
        <w:t>aligned</w:t>
      </w:r>
      <w:r w:rsidR="00E0350D">
        <w:rPr>
          <w:rFonts w:ascii="Calibri" w:eastAsia="Calibri" w:hAnsi="Calibri" w:cs="Calibri"/>
          <w:sz w:val="22"/>
          <w:szCs w:val="22"/>
        </w:rPr>
        <w:t xml:space="preserve"> with</w:t>
      </w:r>
      <w:r w:rsidRPr="002E1A3F">
        <w:rPr>
          <w:rFonts w:ascii="Calibri" w:eastAsia="Calibri" w:hAnsi="Calibri" w:cs="Calibri"/>
          <w:sz w:val="22"/>
          <w:szCs w:val="22"/>
        </w:rPr>
        <w:t xml:space="preserve"> the Country Partnership Strategies </w:t>
      </w:r>
      <w:r w:rsidR="00AB46B8">
        <w:rPr>
          <w:rFonts w:ascii="Calibri" w:eastAsia="Calibri" w:hAnsi="Calibri" w:cs="Calibri"/>
          <w:sz w:val="22"/>
          <w:szCs w:val="22"/>
        </w:rPr>
        <w:t xml:space="preserve">(CPS) </w:t>
      </w:r>
      <w:r w:rsidRPr="002E1A3F">
        <w:rPr>
          <w:rFonts w:ascii="Calibri" w:eastAsia="Calibri" w:hAnsi="Calibri" w:cs="Calibri"/>
          <w:sz w:val="22"/>
          <w:szCs w:val="22"/>
        </w:rPr>
        <w:t>for the countries involved</w:t>
      </w:r>
      <w:bookmarkEnd w:id="64"/>
      <w:r w:rsidRPr="002E1A3F">
        <w:rPr>
          <w:rFonts w:ascii="Calibri" w:eastAsia="Calibri" w:hAnsi="Calibri" w:cs="Calibri"/>
          <w:sz w:val="22"/>
          <w:szCs w:val="22"/>
        </w:rPr>
        <w:t xml:space="preserve">. </w:t>
      </w:r>
    </w:p>
    <w:p w14:paraId="3744289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E1A3F">
        <w:rPr>
          <w:rFonts w:ascii="Calibri" w:eastAsia="Calibri" w:hAnsi="Calibri" w:cs="Calibri"/>
          <w:b/>
          <w:sz w:val="22"/>
          <w:szCs w:val="22"/>
        </w:rPr>
        <w:t xml:space="preserve">The project </w:t>
      </w:r>
      <w:r w:rsidRPr="002E1A3F">
        <w:rPr>
          <w:rFonts w:ascii="Calibri" w:eastAsia="Calibri" w:hAnsi="Calibri" w:cs="Calibri"/>
          <w:b/>
          <w:spacing w:val="-1"/>
          <w:sz w:val="22"/>
          <w:szCs w:val="22"/>
        </w:rPr>
        <w:t xml:space="preserve">is also aligned with </w:t>
      </w:r>
      <w:r w:rsidRPr="002E1A3F">
        <w:rPr>
          <w:rFonts w:ascii="Calibri" w:eastAsia="Calibri" w:hAnsi="Calibri" w:cs="Calibri"/>
          <w:b/>
          <w:sz w:val="22"/>
          <w:szCs w:val="22"/>
        </w:rPr>
        <w:t xml:space="preserve">the strategies of regional economic communities including the </w:t>
      </w:r>
      <w:r w:rsidRPr="002E1A3F">
        <w:rPr>
          <w:rFonts w:ascii="Calibri" w:eastAsia="Calibri" w:hAnsi="Calibri" w:cs="Calibri"/>
          <w:b/>
          <w:spacing w:val="-1"/>
          <w:sz w:val="22"/>
          <w:szCs w:val="22"/>
        </w:rPr>
        <w:t>Economic Community of West African States (ECOWAS)</w:t>
      </w:r>
      <w:r w:rsidRPr="002E1A3F">
        <w:rPr>
          <w:rFonts w:ascii="Calibri" w:eastAsia="Calibri" w:hAnsi="Calibri" w:cs="Calibri"/>
          <w:spacing w:val="-1"/>
          <w:sz w:val="22"/>
          <w:szCs w:val="22"/>
        </w:rPr>
        <w:t xml:space="preserve"> as well as national development strategies across countries in the region. The project was endorsed by the ECOWAS Ministers of Higher Education in September 2017 with the objective of sharing human and </w:t>
      </w:r>
      <w:r w:rsidR="008F3268">
        <w:rPr>
          <w:rFonts w:ascii="Calibri" w:eastAsia="Calibri" w:hAnsi="Calibri" w:cs="Calibri"/>
          <w:spacing w:val="-1"/>
          <w:sz w:val="22"/>
          <w:szCs w:val="22"/>
        </w:rPr>
        <w:t xml:space="preserve">other </w:t>
      </w:r>
      <w:r w:rsidRPr="002E1A3F">
        <w:rPr>
          <w:rFonts w:ascii="Calibri" w:eastAsia="Calibri" w:hAnsi="Calibri" w:cs="Calibri"/>
          <w:spacing w:val="-1"/>
          <w:sz w:val="22"/>
          <w:szCs w:val="22"/>
        </w:rPr>
        <w:t>university resources through these regional centers of excellence. In addition, countries</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 xml:space="preserve">in West and Central Africa have increasingly highlighted the importance of higher education in their economic growth and development. </w:t>
      </w:r>
    </w:p>
    <w:p w14:paraId="4CD646CE"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bCs/>
          <w:sz w:val="22"/>
          <w:szCs w:val="22"/>
        </w:rPr>
        <w:t xml:space="preserve">The proposed Second </w:t>
      </w:r>
      <w:r w:rsidR="00BB4A89">
        <w:rPr>
          <w:rFonts w:ascii="Calibri" w:eastAsia="Calibri" w:hAnsi="Calibri" w:cs="Calibri"/>
          <w:b/>
          <w:bCs/>
          <w:sz w:val="22"/>
          <w:szCs w:val="22"/>
        </w:rPr>
        <w:t>ACE Impact Project</w:t>
      </w:r>
      <w:r w:rsidRPr="002E1A3F">
        <w:rPr>
          <w:rFonts w:ascii="Calibri" w:eastAsia="Calibri" w:hAnsi="Calibri" w:cs="Calibri"/>
          <w:b/>
          <w:bCs/>
          <w:sz w:val="22"/>
          <w:szCs w:val="22"/>
        </w:rPr>
        <w:t xml:space="preserve"> has benefited from extensive consultations on project design and scope. </w:t>
      </w:r>
      <w:r w:rsidRPr="002E1A3F">
        <w:rPr>
          <w:rFonts w:ascii="Calibri" w:eastAsia="Calibri" w:hAnsi="Calibri" w:cs="Calibri"/>
          <w:sz w:val="22"/>
          <w:szCs w:val="22"/>
        </w:rPr>
        <w:t>Throughout project preparation, governments in West and Central Africa have contributed to the identification of priority skills and research gaps that should be addressed through the project</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and to the refinement of the project design</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Through discussions with leading science research funding agencies in Europe, Asia and North America</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the expectations for centers</w:t>
      </w:r>
      <w:r w:rsidR="009308A8">
        <w:rPr>
          <w:rFonts w:ascii="Calibri" w:eastAsia="Calibri" w:hAnsi="Calibri" w:cs="Calibri"/>
          <w:sz w:val="22"/>
          <w:szCs w:val="22"/>
        </w:rPr>
        <w:t xml:space="preserve"> </w:t>
      </w:r>
      <w:r w:rsidR="009308A8" w:rsidRPr="002E1A3F">
        <w:rPr>
          <w:rFonts w:ascii="Calibri" w:eastAsia="Calibri" w:hAnsi="Calibri" w:cs="Calibri"/>
          <w:sz w:val="22"/>
          <w:szCs w:val="22"/>
        </w:rPr>
        <w:t>(also known as ACE Impact centers)</w:t>
      </w:r>
      <w:r w:rsidRPr="002E1A3F">
        <w:rPr>
          <w:rFonts w:ascii="Calibri" w:eastAsia="Calibri" w:hAnsi="Calibri" w:cs="Calibri"/>
          <w:sz w:val="22"/>
          <w:szCs w:val="22"/>
        </w:rPr>
        <w:t xml:space="preserve">, </w:t>
      </w:r>
      <w:r w:rsidR="00B15558">
        <w:rPr>
          <w:rFonts w:ascii="Calibri" w:eastAsia="Calibri" w:hAnsi="Calibri" w:cs="Calibri"/>
          <w:sz w:val="22"/>
          <w:szCs w:val="22"/>
        </w:rPr>
        <w:t xml:space="preserve">to be </w:t>
      </w:r>
      <w:r w:rsidRPr="002E1A3F">
        <w:rPr>
          <w:rFonts w:ascii="Calibri" w:eastAsia="Calibri" w:hAnsi="Calibri" w:cs="Calibri"/>
          <w:sz w:val="22"/>
          <w:szCs w:val="22"/>
        </w:rPr>
        <w:t xml:space="preserve">supported through the </w:t>
      </w:r>
      <w:r w:rsidR="007146F3">
        <w:rPr>
          <w:rFonts w:ascii="Calibri" w:eastAsia="Calibri" w:hAnsi="Calibri" w:cs="Calibri"/>
          <w:sz w:val="22"/>
          <w:szCs w:val="22"/>
        </w:rPr>
        <w:t xml:space="preserve">proposed </w:t>
      </w:r>
      <w:r w:rsidR="00F46DB5">
        <w:rPr>
          <w:rFonts w:ascii="Calibri" w:eastAsia="Calibri" w:hAnsi="Calibri" w:cs="Calibri"/>
          <w:sz w:val="22"/>
          <w:szCs w:val="22"/>
        </w:rPr>
        <w:t xml:space="preserve">Second </w:t>
      </w:r>
      <w:r w:rsidR="00BB4A89">
        <w:rPr>
          <w:rFonts w:ascii="Calibri" w:eastAsia="Calibri" w:hAnsi="Calibri" w:cs="Calibri"/>
          <w:sz w:val="22"/>
          <w:szCs w:val="22"/>
        </w:rPr>
        <w:t>ACE Impact Project</w:t>
      </w:r>
      <w:r w:rsidR="007146F3">
        <w:rPr>
          <w:rFonts w:ascii="Calibri" w:eastAsia="Calibri" w:hAnsi="Calibri" w:cs="Calibri"/>
          <w:sz w:val="22"/>
          <w:szCs w:val="22"/>
        </w:rPr>
        <w:t xml:space="preserve"> </w:t>
      </w:r>
      <w:r w:rsidRPr="002E1A3F">
        <w:rPr>
          <w:rFonts w:ascii="Calibri" w:eastAsia="Calibri" w:hAnsi="Calibri" w:cs="Calibri"/>
          <w:sz w:val="22"/>
          <w:szCs w:val="22"/>
        </w:rPr>
        <w:t>– towards sustainability</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good governance and global partnerships – have been developed, and internationally recognized academic expertise in SSA has been identified</w:t>
      </w:r>
      <w:r w:rsidRPr="002E1A3F">
        <w:rPr>
          <w:rFonts w:ascii="Calibri,Times New Roman" w:eastAsia="Calibri,Times New Roman" w:hAnsi="Calibri,Times New Roman" w:cs="Calibri,Times New Roman"/>
          <w:sz w:val="22"/>
          <w:szCs w:val="22"/>
        </w:rPr>
        <w:t xml:space="preserve">.  </w:t>
      </w:r>
    </w:p>
    <w:p w14:paraId="536722C7"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bCs/>
          <w:sz w:val="22"/>
          <w:szCs w:val="22"/>
        </w:rPr>
        <w:t xml:space="preserve">The proposed project also responds to </w:t>
      </w:r>
      <w:r w:rsidR="000678CD">
        <w:rPr>
          <w:rFonts w:ascii="Calibri" w:eastAsia="Calibri" w:hAnsi="Calibri" w:cs="Calibri"/>
          <w:b/>
          <w:bCs/>
          <w:sz w:val="22"/>
          <w:szCs w:val="22"/>
        </w:rPr>
        <w:t>priorities</w:t>
      </w:r>
      <w:r w:rsidRPr="002E1A3F">
        <w:rPr>
          <w:rFonts w:ascii="Calibri" w:eastAsia="Calibri" w:hAnsi="Calibri" w:cs="Calibri"/>
          <w:b/>
          <w:bCs/>
          <w:sz w:val="22"/>
          <w:szCs w:val="22"/>
        </w:rPr>
        <w:t xml:space="preserve"> (in terms of training, capacity-building and research) identified for national and regional support in collaboration with participating governments, sectoral leaders in the region and the World Bank’s Global Practices (GPs)</w:t>
      </w:r>
      <w:r w:rsidRPr="002E1A3F">
        <w:rPr>
          <w:rFonts w:ascii="Calibri,Times New Roman" w:eastAsia="Calibri,Times New Roman" w:hAnsi="Calibri,Times New Roman" w:cs="Calibri,Times New Roman"/>
          <w:b/>
          <w:bCs/>
          <w:sz w:val="22"/>
          <w:szCs w:val="22"/>
        </w:rPr>
        <w:t xml:space="preserve">. </w:t>
      </w:r>
      <w:r w:rsidR="002C5AC2">
        <w:rPr>
          <w:rFonts w:ascii="Calibri" w:eastAsia="Calibri" w:hAnsi="Calibri" w:cs="Calibri"/>
          <w:sz w:val="22"/>
          <w:szCs w:val="22"/>
        </w:rPr>
        <w:t xml:space="preserve">This responsiveness </w:t>
      </w:r>
      <w:r w:rsidR="00094CE3">
        <w:rPr>
          <w:rFonts w:ascii="Calibri" w:eastAsia="Calibri" w:hAnsi="Calibri" w:cs="Calibri"/>
          <w:sz w:val="22"/>
          <w:szCs w:val="22"/>
        </w:rPr>
        <w:t xml:space="preserve">to targeting well-defined needs </w:t>
      </w:r>
      <w:r w:rsidR="00DA225C">
        <w:rPr>
          <w:rFonts w:ascii="Calibri" w:eastAsia="Calibri" w:hAnsi="Calibri" w:cs="Calibri"/>
          <w:sz w:val="22"/>
          <w:szCs w:val="22"/>
        </w:rPr>
        <w:t>can</w:t>
      </w:r>
      <w:r w:rsidR="002C5AC2">
        <w:rPr>
          <w:rFonts w:ascii="Calibri" w:eastAsia="Calibri" w:hAnsi="Calibri" w:cs="Calibri"/>
          <w:sz w:val="22"/>
          <w:szCs w:val="22"/>
        </w:rPr>
        <w:t xml:space="preserve"> contribute to long-term sustainability</w:t>
      </w:r>
      <w:r w:rsidR="00B7587A">
        <w:rPr>
          <w:rFonts w:ascii="Calibri" w:eastAsia="Calibri" w:hAnsi="Calibri" w:cs="Calibri"/>
          <w:sz w:val="22"/>
          <w:szCs w:val="22"/>
        </w:rPr>
        <w:t xml:space="preserve"> of the centers</w:t>
      </w:r>
      <w:r w:rsidR="008B45DF">
        <w:rPr>
          <w:rFonts w:ascii="Calibri" w:eastAsia="Calibri" w:hAnsi="Calibri" w:cs="Calibri"/>
          <w:sz w:val="22"/>
          <w:szCs w:val="22"/>
        </w:rPr>
        <w:t>.  I</w:t>
      </w:r>
      <w:r w:rsidRPr="002E1A3F">
        <w:rPr>
          <w:rFonts w:ascii="Calibri" w:eastAsia="Calibri" w:hAnsi="Calibri" w:cs="Calibri"/>
          <w:sz w:val="22"/>
          <w:szCs w:val="22"/>
        </w:rPr>
        <w:t xml:space="preserve">n addition to the broader priority areas of engineering, agriculture and health, the </w:t>
      </w:r>
      <w:r w:rsidR="007146F3">
        <w:rPr>
          <w:rFonts w:ascii="Calibri" w:eastAsia="Calibri" w:hAnsi="Calibri" w:cs="Calibri"/>
          <w:sz w:val="22"/>
          <w:szCs w:val="22"/>
        </w:rPr>
        <w:t xml:space="preserve">proposed </w:t>
      </w:r>
      <w:r w:rsidRPr="002E1A3F">
        <w:rPr>
          <w:rFonts w:ascii="Calibri" w:eastAsia="Calibri" w:hAnsi="Calibri" w:cs="Calibri"/>
          <w:sz w:val="22"/>
          <w:szCs w:val="22"/>
        </w:rPr>
        <w:t xml:space="preserve">project will provide financing to establish regional higher education centers of excellence within the following pre-identified areas: environmental science and applied impact assessment (Environment and Natural Resources GP); </w:t>
      </w:r>
      <w:r w:rsidRPr="002E1A3F">
        <w:rPr>
          <w:rFonts w:ascii="Calibri" w:eastAsia="Calibri" w:hAnsi="Calibri" w:cs="Calibri"/>
          <w:sz w:val="22"/>
          <w:szCs w:val="22"/>
        </w:rPr>
        <w:lastRenderedPageBreak/>
        <w:t xml:space="preserve">housing/land development and </w:t>
      </w:r>
      <w:r w:rsidR="00AB46B8">
        <w:rPr>
          <w:rFonts w:ascii="Calibri" w:eastAsia="Calibri" w:hAnsi="Calibri" w:cs="Calibri"/>
          <w:sz w:val="22"/>
          <w:szCs w:val="22"/>
        </w:rPr>
        <w:t>u</w:t>
      </w:r>
      <w:r w:rsidRPr="002E1A3F">
        <w:rPr>
          <w:rFonts w:ascii="Calibri" w:eastAsia="Calibri" w:hAnsi="Calibri" w:cs="Calibri"/>
          <w:sz w:val="22"/>
          <w:szCs w:val="22"/>
        </w:rPr>
        <w:t>rban planning, (both coordinated with the Social, Urban, Rural and Resilience GP)</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digital development</w:t>
      </w:r>
      <w:r w:rsidR="001F65BE">
        <w:rPr>
          <w:rFonts w:ascii="Calibri" w:eastAsia="Calibri" w:hAnsi="Calibri" w:cs="Calibri"/>
          <w:sz w:val="22"/>
          <w:szCs w:val="22"/>
        </w:rPr>
        <w:t xml:space="preserve"> </w:t>
      </w:r>
      <w:r w:rsidRPr="002E1A3F">
        <w:rPr>
          <w:rFonts w:ascii="Calibri" w:eastAsia="Calibri" w:hAnsi="Calibri" w:cs="Calibri"/>
          <w:sz w:val="22"/>
          <w:szCs w:val="22"/>
        </w:rPr>
        <w:t>- ICT (coordinated with the Digital Development GP</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power (transmission and generation) and renewable energy (solar) (coordinated with the Energy and Extractives GP); water (coordinated with the Water GP); nursing and professional health workers (coordinated with the Health, Nutrition and Population GP)</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education, training and leadership (internally coordinated within the Education GP); and quantitative economics (coordinated with the Office of the Chief Economist of the World Bank). </w:t>
      </w:r>
    </w:p>
    <w:p w14:paraId="36AE133F" w14:textId="77777777" w:rsidR="002E1A3F" w:rsidRPr="00294CE8"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sz w:val="22"/>
          <w:szCs w:val="22"/>
        </w:rPr>
        <w:t>These cross</w:t>
      </w:r>
      <w:r w:rsidRPr="002E1A3F">
        <w:rPr>
          <w:rFonts w:ascii="Calibri,Times New Roman" w:eastAsia="Calibri,Times New Roman" w:hAnsi="Calibri,Times New Roman" w:cs="Calibri,Times New Roman"/>
          <w:b/>
          <w:sz w:val="22"/>
          <w:szCs w:val="22"/>
        </w:rPr>
        <w:t>-</w:t>
      </w:r>
      <w:r w:rsidRPr="002E1A3F">
        <w:rPr>
          <w:rFonts w:ascii="Calibri" w:eastAsia="Calibri" w:hAnsi="Calibri" w:cs="Calibri"/>
          <w:b/>
          <w:sz w:val="22"/>
          <w:szCs w:val="22"/>
        </w:rPr>
        <w:t xml:space="preserve">GP collaborations are in addition to existing efforts supported under </w:t>
      </w:r>
      <w:r w:rsidR="00BB4A89">
        <w:rPr>
          <w:rFonts w:ascii="Calibri" w:eastAsia="Calibri" w:hAnsi="Calibri" w:cs="Calibri"/>
          <w:b/>
          <w:sz w:val="22"/>
          <w:szCs w:val="22"/>
        </w:rPr>
        <w:t xml:space="preserve">the </w:t>
      </w:r>
      <w:r w:rsidRPr="002E1A3F">
        <w:rPr>
          <w:rFonts w:ascii="Calibri" w:eastAsia="Calibri" w:hAnsi="Calibri" w:cs="Calibri"/>
          <w:b/>
          <w:sz w:val="22"/>
          <w:szCs w:val="22"/>
        </w:rPr>
        <w:t xml:space="preserve">ACE I and II </w:t>
      </w:r>
      <w:r w:rsidR="00BB4A89">
        <w:rPr>
          <w:rFonts w:ascii="Calibri" w:eastAsia="Calibri" w:hAnsi="Calibri" w:cs="Calibri"/>
          <w:b/>
          <w:sz w:val="22"/>
          <w:szCs w:val="22"/>
        </w:rPr>
        <w:t>projects</w:t>
      </w:r>
      <w:r w:rsidRPr="002E1A3F">
        <w:rPr>
          <w:rFonts w:ascii="Calibri" w:eastAsia="Calibri" w:hAnsi="Calibri" w:cs="Calibri"/>
          <w:b/>
          <w:sz w:val="22"/>
          <w:szCs w:val="22"/>
        </w:rPr>
        <w:t>–that support existing ACE centers that are jointly supervised by the Education GP and partner GPs, such as the Poverty and Equity GP for training in statistics.</w:t>
      </w:r>
      <w:r w:rsidRPr="002E1A3F">
        <w:rPr>
          <w:rFonts w:ascii="Calibri" w:eastAsia="Calibri" w:hAnsi="Calibri" w:cs="Calibri"/>
          <w:sz w:val="22"/>
          <w:szCs w:val="22"/>
        </w:rPr>
        <w:t xml:space="preserve"> The proposed project will capitalize on the World Bank’s and the governments’ sector knowledge and networks to meet the need for sector</w:t>
      </w:r>
      <w:r w:rsidR="00F572DA">
        <w:rPr>
          <w:rFonts w:ascii="Calibri" w:eastAsia="Calibri" w:hAnsi="Calibri" w:cs="Calibri"/>
          <w:sz w:val="22"/>
          <w:szCs w:val="22"/>
        </w:rPr>
        <w:t>al</w:t>
      </w:r>
      <w:r w:rsidRPr="002E1A3F">
        <w:rPr>
          <w:rFonts w:ascii="Calibri" w:eastAsia="Calibri" w:hAnsi="Calibri" w:cs="Calibri"/>
          <w:sz w:val="22"/>
          <w:szCs w:val="22"/>
        </w:rPr>
        <w:t xml:space="preserve"> training and applied knowledge in partnership with the private sector and civil society. </w:t>
      </w:r>
      <w:r w:rsidRPr="002E1A3F">
        <w:rPr>
          <w:rFonts w:ascii="Calibri,Times New Roman" w:eastAsia="Calibri,Times New Roman" w:hAnsi="Calibri,Times New Roman" w:cs="Calibri,Times New Roman"/>
          <w:b/>
          <w:bCs/>
          <w:sz w:val="22"/>
          <w:szCs w:val="22"/>
        </w:rPr>
        <w:t xml:space="preserve"> </w:t>
      </w:r>
      <w:r w:rsidRPr="002E1A3F">
        <w:rPr>
          <w:rFonts w:ascii="Calibri" w:eastAsia="Calibri" w:hAnsi="Calibri" w:cs="Calibri"/>
          <w:sz w:val="22"/>
          <w:szCs w:val="22"/>
        </w:rPr>
        <w:t xml:space="preserve">These synergies – strengthened through targeted partnerships – will </w:t>
      </w:r>
      <w:r w:rsidR="00AB46B8">
        <w:rPr>
          <w:rFonts w:ascii="Calibri" w:eastAsia="Calibri" w:hAnsi="Calibri" w:cs="Calibri"/>
          <w:sz w:val="22"/>
          <w:szCs w:val="22"/>
        </w:rPr>
        <w:t xml:space="preserve">further </w:t>
      </w:r>
      <w:r w:rsidRPr="002E1A3F">
        <w:rPr>
          <w:rFonts w:ascii="Calibri" w:eastAsia="Calibri" w:hAnsi="Calibri" w:cs="Calibri"/>
          <w:sz w:val="22"/>
          <w:szCs w:val="22"/>
        </w:rPr>
        <w:t>contribute to a single, coherent large-scale</w:t>
      </w:r>
      <w:r w:rsidR="0020441A">
        <w:rPr>
          <w:rFonts w:ascii="Calibri" w:eastAsia="Calibri" w:hAnsi="Calibri" w:cs="Calibri"/>
          <w:sz w:val="22"/>
          <w:szCs w:val="22"/>
        </w:rPr>
        <w:t>, sustainable</w:t>
      </w:r>
      <w:r w:rsidRPr="002E1A3F">
        <w:rPr>
          <w:rFonts w:ascii="Calibri" w:eastAsia="Calibri" w:hAnsi="Calibri" w:cs="Calibri"/>
          <w:sz w:val="22"/>
          <w:szCs w:val="22"/>
        </w:rPr>
        <w:t xml:space="preserve"> ACE platform that benefits from substantial technical and financial support delivered through sector partners, international</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universities, and </w:t>
      </w:r>
      <w:r w:rsidR="007146F3">
        <w:rPr>
          <w:rFonts w:ascii="Calibri" w:eastAsia="Calibri" w:hAnsi="Calibri" w:cs="Calibri"/>
          <w:sz w:val="22"/>
          <w:szCs w:val="22"/>
        </w:rPr>
        <w:t>DPs</w:t>
      </w:r>
      <w:r w:rsidRPr="002E1A3F">
        <w:rPr>
          <w:rFonts w:ascii="Calibri" w:eastAsia="Calibri" w:hAnsi="Calibri" w:cs="Calibri"/>
          <w:sz w:val="22"/>
          <w:szCs w:val="22"/>
        </w:rPr>
        <w:t xml:space="preserve">. </w:t>
      </w:r>
    </w:p>
    <w:tbl>
      <w:tblPr>
        <w:tblStyle w:val="TableGrid1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0"/>
        <w:gridCol w:w="90"/>
      </w:tblGrid>
      <w:tr w:rsidR="000C3959" w14:paraId="5E7EDA6F" w14:textId="77777777" w:rsidTr="009277AD">
        <w:trPr>
          <w:trHeight w:val="432"/>
        </w:trPr>
        <w:tc>
          <w:tcPr>
            <w:tcW w:w="10800" w:type="dxa"/>
            <w:gridSpan w:val="2"/>
            <w:shd w:val="clear" w:color="auto" w:fill="F2F7FC"/>
            <w:vAlign w:val="center"/>
          </w:tcPr>
          <w:p w14:paraId="4F252164" w14:textId="77777777" w:rsidR="002E1A3F" w:rsidRPr="002E1A3F" w:rsidRDefault="00B00100" w:rsidP="002E1A3F">
            <w:pPr>
              <w:widowControl/>
              <w:numPr>
                <w:ilvl w:val="0"/>
                <w:numId w:val="1"/>
              </w:numPr>
              <w:autoSpaceDE/>
              <w:autoSpaceDN/>
              <w:adjustRightInd/>
              <w:ind w:left="288" w:hanging="288"/>
              <w:outlineLvl w:val="0"/>
              <w:rPr>
                <w:rFonts w:ascii="Calibri" w:eastAsia="Calibri" w:hAnsi="Calibri" w:cs="Times New Roman"/>
                <w:b/>
                <w:noProof/>
                <w:color w:val="auto"/>
                <w:sz w:val="22"/>
                <w:szCs w:val="22"/>
              </w:rPr>
            </w:pPr>
            <w:bookmarkStart w:id="65" w:name="_Toc256000134"/>
            <w:bookmarkStart w:id="66" w:name="_Toc256000105"/>
            <w:bookmarkStart w:id="67" w:name="_Toc256000072"/>
            <w:bookmarkStart w:id="68" w:name="_Toc256000035"/>
            <w:bookmarkStart w:id="69" w:name="_Toc256000008"/>
            <w:bookmarkStart w:id="70" w:name="_Toc8301922"/>
            <w:bookmarkStart w:id="71" w:name="_Toc14789338"/>
            <w:bookmarkStart w:id="72" w:name="_Toc22655908"/>
            <w:bookmarkStart w:id="73" w:name="_Toc23779837"/>
            <w:bookmarkStart w:id="74" w:name="_Toc23866053"/>
            <w:bookmarkStart w:id="75" w:name="_Toc23930664"/>
            <w:r w:rsidRPr="002E1A3F">
              <w:rPr>
                <w:rFonts w:ascii="Calibri" w:eastAsia="Calibri" w:hAnsi="Calibri" w:cs="Times New Roman"/>
                <w:b/>
                <w:color w:val="auto"/>
                <w:sz w:val="22"/>
                <w:szCs w:val="22"/>
              </w:rPr>
              <w:t>PROJECT DESCRIPTION</w:t>
            </w:r>
            <w:bookmarkEnd w:id="65"/>
            <w:bookmarkEnd w:id="66"/>
            <w:bookmarkEnd w:id="67"/>
            <w:bookmarkEnd w:id="68"/>
            <w:bookmarkEnd w:id="69"/>
            <w:bookmarkEnd w:id="70"/>
            <w:bookmarkEnd w:id="71"/>
            <w:bookmarkEnd w:id="72"/>
            <w:bookmarkEnd w:id="73"/>
            <w:bookmarkEnd w:id="74"/>
            <w:bookmarkEnd w:id="75"/>
          </w:p>
        </w:tc>
      </w:tr>
      <w:tr w:rsidR="000C3959" w14:paraId="13FC571D" w14:textId="77777777" w:rsidTr="009277AD">
        <w:tblPrEx>
          <w:shd w:val="clear" w:color="auto" w:fill="auto"/>
        </w:tblPrEx>
        <w:trPr>
          <w:gridAfter w:val="1"/>
          <w:wAfter w:w="90" w:type="dxa"/>
          <w:trHeight w:val="360"/>
        </w:trPr>
        <w:tc>
          <w:tcPr>
            <w:tcW w:w="10710" w:type="dxa"/>
          </w:tcPr>
          <w:p w14:paraId="438EBDC0" w14:textId="77777777" w:rsidR="00CE2C51" w:rsidRDefault="00CE2C51" w:rsidP="008E2709">
            <w:pPr>
              <w:keepNext/>
              <w:widowControl/>
              <w:autoSpaceDE/>
              <w:autoSpaceDN/>
              <w:adjustRightInd/>
              <w:outlineLvl w:val="1"/>
              <w:rPr>
                <w:rFonts w:ascii="Calibri" w:eastAsia="Times New Roman" w:hAnsi="Calibri" w:cs="Times New Roman"/>
                <w:b/>
                <w:color w:val="172D5F"/>
                <w:sz w:val="22"/>
                <w:szCs w:val="22"/>
              </w:rPr>
            </w:pPr>
            <w:bookmarkStart w:id="76" w:name="_Toc8301923"/>
            <w:bookmarkStart w:id="77" w:name="_Toc14789339"/>
          </w:p>
          <w:p w14:paraId="56123807" w14:textId="77777777" w:rsidR="002E1A3F" w:rsidRPr="002E1A3F" w:rsidRDefault="00B00100" w:rsidP="008E2709">
            <w:pPr>
              <w:keepNext/>
              <w:widowControl/>
              <w:autoSpaceDE/>
              <w:autoSpaceDN/>
              <w:adjustRightInd/>
              <w:spacing w:after="120"/>
              <w:outlineLvl w:val="1"/>
              <w:rPr>
                <w:rFonts w:ascii="Calibri" w:eastAsia="Times New Roman" w:hAnsi="Calibri" w:cs="Times New Roman"/>
                <w:b/>
                <w:color w:val="172D5F"/>
                <w:sz w:val="22"/>
                <w:szCs w:val="22"/>
              </w:rPr>
            </w:pPr>
            <w:bookmarkStart w:id="78" w:name="_Toc256000136"/>
            <w:bookmarkStart w:id="79" w:name="_Toc256000107"/>
            <w:bookmarkStart w:id="80" w:name="_Toc256000074"/>
            <w:bookmarkStart w:id="81" w:name="_Toc256000042"/>
            <w:bookmarkStart w:id="82" w:name="_Toc256000010"/>
            <w:bookmarkStart w:id="83" w:name="_Toc22655909"/>
            <w:bookmarkStart w:id="84" w:name="_Toc23779838"/>
            <w:bookmarkStart w:id="85" w:name="_Toc23866054"/>
            <w:bookmarkStart w:id="86" w:name="_Toc23930665"/>
            <w:r w:rsidRPr="002E1A3F">
              <w:rPr>
                <w:rFonts w:ascii="Calibri" w:eastAsia="Times New Roman" w:hAnsi="Calibri" w:cs="Times New Roman"/>
                <w:b/>
                <w:color w:val="172D5F"/>
                <w:sz w:val="22"/>
                <w:szCs w:val="22"/>
              </w:rPr>
              <w:t>A. Project Development Objective</w:t>
            </w:r>
            <w:bookmarkEnd w:id="76"/>
            <w:bookmarkEnd w:id="77"/>
            <w:bookmarkEnd w:id="78"/>
            <w:bookmarkEnd w:id="79"/>
            <w:bookmarkEnd w:id="80"/>
            <w:bookmarkEnd w:id="81"/>
            <w:bookmarkEnd w:id="82"/>
            <w:bookmarkEnd w:id="83"/>
            <w:bookmarkEnd w:id="84"/>
            <w:bookmarkEnd w:id="85"/>
            <w:bookmarkEnd w:id="86"/>
          </w:p>
        </w:tc>
      </w:tr>
    </w:tbl>
    <w:p w14:paraId="52A69C98" w14:textId="77777777" w:rsidR="002E1A3F" w:rsidRPr="002E1A3F" w:rsidRDefault="00B00100" w:rsidP="008E2709">
      <w:pPr>
        <w:keepNext/>
        <w:spacing w:after="120"/>
        <w:ind w:left="-274"/>
        <w:rPr>
          <w:rFonts w:ascii="Calibri" w:eastAsia="Calibri,Arial,Times New Roman" w:hAnsi="Calibri" w:cs="Calibri"/>
          <w:b/>
          <w:sz w:val="22"/>
          <w:szCs w:val="22"/>
        </w:rPr>
      </w:pPr>
      <w:r w:rsidRPr="002E1A3F">
        <w:rPr>
          <w:rFonts w:ascii="Calibri" w:eastAsia="Calibri" w:hAnsi="Calibri" w:cs="Calibri"/>
          <w:b/>
          <w:sz w:val="22"/>
          <w:szCs w:val="22"/>
        </w:rPr>
        <w:t>PDO Statement</w:t>
      </w:r>
    </w:p>
    <w:tbl>
      <w:tblPr>
        <w:tblW w:w="9581" w:type="dxa"/>
        <w:tblInd w:w="-90" w:type="dxa"/>
        <w:tblLayout w:type="fixed"/>
        <w:tblLook w:val="04A0" w:firstRow="1" w:lastRow="0" w:firstColumn="1" w:lastColumn="0" w:noHBand="0" w:noVBand="1"/>
      </w:tblPr>
      <w:tblGrid>
        <w:gridCol w:w="9581"/>
      </w:tblGrid>
      <w:tr w:rsidR="000C3959" w14:paraId="0DFC666E" w14:textId="77777777" w:rsidTr="009277AD">
        <w:trPr>
          <w:trHeight w:val="109"/>
        </w:trPr>
        <w:tc>
          <w:tcPr>
            <w:tcW w:w="9581" w:type="dxa"/>
          </w:tcPr>
          <w:p w14:paraId="5CD261B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pacing w:val="-1"/>
                <w:sz w:val="22"/>
                <w:szCs w:val="22"/>
              </w:rPr>
            </w:pPr>
            <w:r w:rsidRPr="002E1A3F">
              <w:rPr>
                <w:rFonts w:ascii="Calibri" w:eastAsia="Calibri" w:hAnsi="Calibri" w:cs="Calibri"/>
                <w:spacing w:val="-1"/>
                <w:sz w:val="22"/>
                <w:szCs w:val="22"/>
              </w:rPr>
              <w:t>The project development objective (PDO) is to improve the quality, quantity and development impact of postgraduate</w:t>
            </w:r>
            <w:r>
              <w:rPr>
                <w:rFonts w:ascii="Calibri" w:eastAsia="Calibri" w:hAnsi="Calibri" w:cs="Calibri"/>
                <w:spacing w:val="-1"/>
                <w:sz w:val="22"/>
                <w:szCs w:val="22"/>
                <w:vertAlign w:val="superscript"/>
              </w:rPr>
              <w:footnoteReference w:id="11"/>
            </w:r>
            <w:r w:rsidRPr="002E1A3F">
              <w:rPr>
                <w:rFonts w:ascii="Calibri" w:eastAsia="Calibri" w:hAnsi="Calibri" w:cs="Calibri"/>
                <w:spacing w:val="-1"/>
                <w:sz w:val="22"/>
                <w:szCs w:val="22"/>
              </w:rPr>
              <w:t xml:space="preserve"> education in selected universities through regional specialization and collaboration.</w:t>
            </w:r>
          </w:p>
        </w:tc>
      </w:tr>
    </w:tbl>
    <w:p w14:paraId="26F24A7A" w14:textId="77777777" w:rsidR="002E1A3F" w:rsidRPr="002E1A3F" w:rsidRDefault="00B00100" w:rsidP="008E2709">
      <w:pPr>
        <w:keepNext/>
        <w:spacing w:after="120"/>
        <w:ind w:left="-274"/>
        <w:rPr>
          <w:rFonts w:ascii="Calibri" w:eastAsia="Calibri,Arial,Times New Roman" w:hAnsi="Calibri" w:cs="Calibri"/>
          <w:b/>
          <w:sz w:val="22"/>
          <w:szCs w:val="22"/>
        </w:rPr>
      </w:pPr>
      <w:r w:rsidRPr="002E1A3F">
        <w:rPr>
          <w:rFonts w:ascii="Calibri" w:eastAsia="Calibri" w:hAnsi="Calibri" w:cs="Calibri"/>
          <w:b/>
          <w:sz w:val="22"/>
          <w:szCs w:val="22"/>
        </w:rPr>
        <w:t>PDO-Level Indicators</w:t>
      </w:r>
    </w:p>
    <w:p w14:paraId="381FECDC"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Arial,Times New Roman" w:hAnsi="Calibri" w:cs="Calibri"/>
          <w:b/>
          <w:color w:val="172D5F"/>
          <w:sz w:val="22"/>
          <w:szCs w:val="22"/>
        </w:rPr>
      </w:pPr>
      <w:r w:rsidRPr="002E1A3F">
        <w:rPr>
          <w:rFonts w:ascii="Calibri" w:eastAsia="Calibri" w:hAnsi="Calibri" w:cs="Calibri"/>
          <w:spacing w:val="-1"/>
          <w:sz w:val="22"/>
          <w:szCs w:val="22"/>
        </w:rPr>
        <w:t>The PDO-level indicators are:</w:t>
      </w:r>
    </w:p>
    <w:p w14:paraId="3BCE72CA" w14:textId="77777777" w:rsidR="002E1A3F" w:rsidRPr="002E1A3F" w:rsidRDefault="00B00100" w:rsidP="006C70A5">
      <w:pPr>
        <w:widowControl/>
        <w:numPr>
          <w:ilvl w:val="3"/>
          <w:numId w:val="7"/>
        </w:numPr>
        <w:autoSpaceDE/>
        <w:autoSpaceDN/>
        <w:adjustRightInd/>
        <w:spacing w:after="60"/>
        <w:ind w:left="990" w:hanging="270"/>
        <w:jc w:val="both"/>
        <w:rPr>
          <w:rFonts w:ascii="Calibri" w:eastAsia="Calibri" w:hAnsi="Calibri" w:cs="Calibri"/>
          <w:spacing w:val="-1"/>
          <w:sz w:val="22"/>
          <w:szCs w:val="22"/>
        </w:rPr>
      </w:pPr>
      <w:r>
        <w:rPr>
          <w:rFonts w:ascii="Calibri" w:eastAsia="Calibri" w:hAnsi="Calibri" w:cs="Calibri"/>
          <w:spacing w:val="-1"/>
          <w:sz w:val="22"/>
          <w:szCs w:val="22"/>
        </w:rPr>
        <w:t>S</w:t>
      </w:r>
      <w:r w:rsidR="00F77C8C" w:rsidRPr="002E1A3F">
        <w:rPr>
          <w:rFonts w:ascii="Calibri" w:eastAsia="Calibri" w:hAnsi="Calibri" w:cs="Calibri"/>
          <w:spacing w:val="-1"/>
          <w:sz w:val="22"/>
          <w:szCs w:val="22"/>
        </w:rPr>
        <w:t>tudents (national and regional) enrolled in specialized master’s, PhD and short-term professional courses/programs in the ACEs</w:t>
      </w:r>
      <w:r>
        <w:rPr>
          <w:rFonts w:ascii="Calibri" w:eastAsia="Calibri" w:hAnsi="Calibri" w:cs="Calibri"/>
          <w:spacing w:val="-1"/>
          <w:sz w:val="22"/>
          <w:szCs w:val="22"/>
        </w:rPr>
        <w:t xml:space="preserve"> (number)</w:t>
      </w:r>
      <w:r w:rsidR="00F77C8C" w:rsidRPr="002E1A3F">
        <w:rPr>
          <w:rFonts w:ascii="Calibri" w:eastAsia="Calibri" w:hAnsi="Calibri" w:cs="Calibri"/>
          <w:spacing w:val="-1"/>
          <w:sz w:val="22"/>
          <w:szCs w:val="22"/>
        </w:rPr>
        <w:t xml:space="preserve"> (</w:t>
      </w:r>
      <w:r w:rsidR="00F77C8C" w:rsidRPr="008E2709">
        <w:rPr>
          <w:rFonts w:ascii="Calibri" w:eastAsia="Calibri" w:hAnsi="Calibri" w:cs="Calibri"/>
          <w:i/>
          <w:spacing w:val="-1"/>
          <w:sz w:val="22"/>
          <w:szCs w:val="22"/>
        </w:rPr>
        <w:t>Quantity of Education &amp; Regional Specialization</w:t>
      </w:r>
      <w:r w:rsidR="00F77C8C" w:rsidRPr="002E1A3F">
        <w:rPr>
          <w:rFonts w:ascii="Calibri" w:eastAsia="Calibri" w:hAnsi="Calibri" w:cs="Calibri"/>
          <w:spacing w:val="-1"/>
          <w:sz w:val="22"/>
          <w:szCs w:val="22"/>
        </w:rPr>
        <w:t>)</w:t>
      </w:r>
    </w:p>
    <w:p w14:paraId="7A167211" w14:textId="77777777" w:rsidR="002E1A3F" w:rsidRPr="002E1A3F" w:rsidRDefault="00B00100" w:rsidP="006C70A5">
      <w:pPr>
        <w:widowControl/>
        <w:numPr>
          <w:ilvl w:val="3"/>
          <w:numId w:val="7"/>
        </w:numPr>
        <w:autoSpaceDE/>
        <w:autoSpaceDN/>
        <w:adjustRightInd/>
        <w:spacing w:after="60"/>
        <w:ind w:left="990" w:hanging="270"/>
        <w:jc w:val="both"/>
        <w:rPr>
          <w:rFonts w:ascii="Calibri" w:eastAsia="Calibri" w:hAnsi="Calibri" w:cs="Calibri"/>
          <w:spacing w:val="-1"/>
          <w:sz w:val="22"/>
          <w:szCs w:val="22"/>
        </w:rPr>
      </w:pPr>
      <w:r w:rsidRPr="002E1A3F">
        <w:rPr>
          <w:rFonts w:ascii="Calibri" w:eastAsia="Calibri" w:hAnsi="Calibri" w:cs="Calibri"/>
          <w:spacing w:val="-1"/>
          <w:sz w:val="22"/>
          <w:szCs w:val="22"/>
        </w:rPr>
        <w:t xml:space="preserve">ACE programs and ACE host institutions that obtain international accreditation </w:t>
      </w:r>
      <w:r w:rsidR="001B304A">
        <w:rPr>
          <w:rFonts w:ascii="Calibri" w:eastAsia="Calibri" w:hAnsi="Calibri" w:cs="Calibri"/>
          <w:spacing w:val="-1"/>
          <w:sz w:val="22"/>
          <w:szCs w:val="22"/>
        </w:rPr>
        <w:t xml:space="preserve">(number) </w:t>
      </w:r>
      <w:r w:rsidRPr="002E1A3F">
        <w:rPr>
          <w:rFonts w:ascii="Calibri" w:eastAsia="Calibri" w:hAnsi="Calibri" w:cs="Calibri"/>
          <w:spacing w:val="-1"/>
          <w:sz w:val="22"/>
          <w:szCs w:val="22"/>
        </w:rPr>
        <w:t>(</w:t>
      </w:r>
      <w:r w:rsidRPr="008E2709">
        <w:rPr>
          <w:rFonts w:ascii="Calibri" w:eastAsia="Calibri" w:hAnsi="Calibri" w:cs="Calibri"/>
          <w:i/>
          <w:spacing w:val="-1"/>
          <w:sz w:val="22"/>
          <w:szCs w:val="22"/>
        </w:rPr>
        <w:t>Quality of Education</w:t>
      </w:r>
      <w:r w:rsidRPr="002E1A3F">
        <w:rPr>
          <w:rFonts w:ascii="Calibri" w:eastAsia="Calibri" w:hAnsi="Calibri" w:cs="Calibri"/>
          <w:spacing w:val="-1"/>
          <w:sz w:val="22"/>
          <w:szCs w:val="22"/>
        </w:rPr>
        <w:t>)</w:t>
      </w:r>
      <w:r w:rsidR="001B304A">
        <w:rPr>
          <w:rFonts w:ascii="Calibri" w:eastAsia="Calibri" w:hAnsi="Calibri" w:cs="Calibri"/>
          <w:spacing w:val="-1"/>
          <w:sz w:val="22"/>
          <w:szCs w:val="22"/>
        </w:rPr>
        <w:t xml:space="preserve"> </w:t>
      </w:r>
    </w:p>
    <w:p w14:paraId="4A22E957" w14:textId="77777777" w:rsidR="002E1A3F" w:rsidRPr="002E1A3F" w:rsidRDefault="00B00100" w:rsidP="006C70A5">
      <w:pPr>
        <w:widowControl/>
        <w:numPr>
          <w:ilvl w:val="3"/>
          <w:numId w:val="7"/>
        </w:numPr>
        <w:autoSpaceDE/>
        <w:autoSpaceDN/>
        <w:adjustRightInd/>
        <w:spacing w:after="60"/>
        <w:ind w:left="990" w:hanging="270"/>
        <w:jc w:val="both"/>
        <w:rPr>
          <w:rFonts w:ascii="Calibri" w:eastAsia="Calibri" w:hAnsi="Calibri" w:cs="Calibri"/>
          <w:spacing w:val="-1"/>
          <w:sz w:val="22"/>
          <w:szCs w:val="22"/>
        </w:rPr>
      </w:pPr>
      <w:r w:rsidRPr="002E1A3F">
        <w:rPr>
          <w:rFonts w:ascii="Calibri" w:eastAsia="Calibri" w:hAnsi="Calibri" w:cs="Calibri"/>
          <w:spacing w:val="-1"/>
          <w:sz w:val="22"/>
          <w:szCs w:val="22"/>
        </w:rPr>
        <w:t xml:space="preserve">ACE host institutions with a comprehensive strategic plan for regionalization </w:t>
      </w:r>
      <w:r w:rsidR="001B304A">
        <w:rPr>
          <w:rFonts w:ascii="Calibri" w:eastAsia="Calibri" w:hAnsi="Calibri" w:cs="Calibri"/>
          <w:spacing w:val="-1"/>
          <w:sz w:val="22"/>
          <w:szCs w:val="22"/>
        </w:rPr>
        <w:t xml:space="preserve">(%) </w:t>
      </w:r>
      <w:r w:rsidRPr="002E1A3F">
        <w:rPr>
          <w:rFonts w:ascii="Calibri" w:eastAsia="Calibri" w:hAnsi="Calibri" w:cs="Calibri"/>
          <w:spacing w:val="-1"/>
          <w:sz w:val="22"/>
          <w:szCs w:val="22"/>
        </w:rPr>
        <w:t>(</w:t>
      </w:r>
      <w:r w:rsidRPr="008E2709">
        <w:rPr>
          <w:rFonts w:ascii="Calibri" w:eastAsia="Calibri" w:hAnsi="Calibri" w:cs="Calibri"/>
          <w:i/>
          <w:spacing w:val="-1"/>
          <w:sz w:val="22"/>
          <w:szCs w:val="22"/>
        </w:rPr>
        <w:t>Regional Specialization and Collaboration</w:t>
      </w:r>
      <w:r w:rsidRPr="002E1A3F">
        <w:rPr>
          <w:rFonts w:ascii="Calibri" w:eastAsia="Calibri" w:hAnsi="Calibri" w:cs="Calibri"/>
          <w:spacing w:val="-1"/>
          <w:sz w:val="22"/>
          <w:szCs w:val="22"/>
        </w:rPr>
        <w:t>)</w:t>
      </w:r>
    </w:p>
    <w:p w14:paraId="385E8F7D" w14:textId="77777777" w:rsidR="002E1A3F" w:rsidRPr="002E1A3F" w:rsidRDefault="00B00100" w:rsidP="006C70A5">
      <w:pPr>
        <w:widowControl/>
        <w:numPr>
          <w:ilvl w:val="3"/>
          <w:numId w:val="7"/>
        </w:numPr>
        <w:autoSpaceDE/>
        <w:autoSpaceDN/>
        <w:adjustRightInd/>
        <w:spacing w:after="60"/>
        <w:ind w:left="990" w:hanging="270"/>
        <w:jc w:val="both"/>
        <w:rPr>
          <w:rFonts w:ascii="Calibri" w:eastAsia="Calibri" w:hAnsi="Calibri" w:cs="Calibri"/>
          <w:spacing w:val="-1"/>
          <w:sz w:val="22"/>
          <w:szCs w:val="22"/>
        </w:rPr>
      </w:pPr>
      <w:r w:rsidRPr="002E1A3F">
        <w:rPr>
          <w:rFonts w:ascii="Calibri" w:eastAsia="Calibri" w:hAnsi="Calibri" w:cs="Calibri"/>
          <w:spacing w:val="-1"/>
          <w:sz w:val="22"/>
          <w:szCs w:val="22"/>
        </w:rPr>
        <w:t>ACEs that have had substantial development impact (as measured by an independent evaluation of each center’s impact on development)</w:t>
      </w:r>
      <w:r w:rsidR="000820B3">
        <w:rPr>
          <w:rFonts w:ascii="Calibri" w:eastAsia="Calibri" w:hAnsi="Calibri" w:cs="Calibri"/>
          <w:spacing w:val="-1"/>
          <w:sz w:val="22"/>
          <w:szCs w:val="22"/>
        </w:rPr>
        <w:t xml:space="preserve"> </w:t>
      </w:r>
      <w:r w:rsidR="001B304A">
        <w:rPr>
          <w:rFonts w:ascii="Calibri" w:eastAsia="Calibri" w:hAnsi="Calibri" w:cs="Calibri"/>
          <w:spacing w:val="-1"/>
          <w:sz w:val="22"/>
          <w:szCs w:val="22"/>
        </w:rPr>
        <w:t xml:space="preserve">(number) </w:t>
      </w:r>
      <w:r w:rsidR="000820B3" w:rsidRPr="002E1A3F">
        <w:rPr>
          <w:rFonts w:ascii="Calibri" w:eastAsia="Calibri" w:hAnsi="Calibri" w:cs="Calibri"/>
          <w:spacing w:val="-1"/>
          <w:sz w:val="22"/>
          <w:szCs w:val="22"/>
        </w:rPr>
        <w:t>(</w:t>
      </w:r>
      <w:r w:rsidR="000820B3" w:rsidRPr="008E2709">
        <w:rPr>
          <w:rFonts w:ascii="Calibri" w:eastAsia="Calibri" w:hAnsi="Calibri" w:cs="Calibri"/>
          <w:i/>
          <w:spacing w:val="-1"/>
          <w:sz w:val="22"/>
          <w:szCs w:val="22"/>
        </w:rPr>
        <w:t>Development Impact of Education</w:t>
      </w:r>
      <w:r w:rsidR="000820B3" w:rsidRPr="002E1A3F">
        <w:rPr>
          <w:rFonts w:ascii="Calibri" w:eastAsia="Calibri" w:hAnsi="Calibri" w:cs="Calibri"/>
          <w:spacing w:val="-1"/>
          <w:sz w:val="22"/>
          <w:szCs w:val="22"/>
        </w:rPr>
        <w:t>)</w:t>
      </w:r>
    </w:p>
    <w:p w14:paraId="1EB382EE" w14:textId="18745E9E" w:rsidR="002E1A3F" w:rsidRDefault="00B00100" w:rsidP="007F3C6F">
      <w:pPr>
        <w:widowControl/>
        <w:numPr>
          <w:ilvl w:val="3"/>
          <w:numId w:val="7"/>
        </w:numPr>
        <w:autoSpaceDE/>
        <w:autoSpaceDN/>
        <w:adjustRightInd/>
        <w:spacing w:after="60"/>
        <w:ind w:left="990" w:hanging="270"/>
        <w:jc w:val="both"/>
        <w:rPr>
          <w:rFonts w:ascii="Calibri" w:eastAsia="Calibri" w:hAnsi="Calibri" w:cs="Calibri"/>
          <w:spacing w:val="-1"/>
          <w:sz w:val="22"/>
          <w:szCs w:val="22"/>
        </w:rPr>
      </w:pPr>
      <w:r>
        <w:rPr>
          <w:rFonts w:ascii="Calibri" w:eastAsia="Calibri" w:hAnsi="Calibri" w:cs="Calibri"/>
          <w:spacing w:val="-1"/>
          <w:sz w:val="22"/>
          <w:szCs w:val="22"/>
        </w:rPr>
        <w:t>S</w:t>
      </w:r>
      <w:r w:rsidR="00F77C8C" w:rsidRPr="002E1A3F">
        <w:rPr>
          <w:rFonts w:ascii="Calibri" w:eastAsia="Calibri" w:hAnsi="Calibri" w:cs="Calibri"/>
          <w:spacing w:val="-1"/>
          <w:sz w:val="22"/>
          <w:szCs w:val="22"/>
        </w:rPr>
        <w:t xml:space="preserve">tudents and faculty participating in internships in relevant institutions </w:t>
      </w:r>
      <w:r>
        <w:rPr>
          <w:rFonts w:ascii="Calibri" w:eastAsia="Calibri" w:hAnsi="Calibri" w:cs="Calibri"/>
          <w:spacing w:val="-1"/>
          <w:sz w:val="22"/>
          <w:szCs w:val="22"/>
        </w:rPr>
        <w:t xml:space="preserve">(number) </w:t>
      </w:r>
      <w:r w:rsidR="00F77C8C" w:rsidRPr="002E1A3F">
        <w:rPr>
          <w:rFonts w:ascii="Calibri" w:eastAsia="Calibri" w:hAnsi="Calibri" w:cs="Calibri"/>
          <w:spacing w:val="-1"/>
          <w:sz w:val="22"/>
          <w:szCs w:val="22"/>
        </w:rPr>
        <w:t>(</w:t>
      </w:r>
      <w:r w:rsidR="00F77C8C" w:rsidRPr="008E2709">
        <w:rPr>
          <w:rFonts w:ascii="Calibri" w:eastAsia="Calibri" w:hAnsi="Calibri" w:cs="Calibri"/>
          <w:i/>
          <w:spacing w:val="-1"/>
          <w:sz w:val="22"/>
          <w:szCs w:val="22"/>
        </w:rPr>
        <w:t>Development Impact of Education</w:t>
      </w:r>
      <w:r w:rsidR="00F77C8C" w:rsidRPr="002E1A3F">
        <w:rPr>
          <w:rFonts w:ascii="Calibri" w:eastAsia="Calibri" w:hAnsi="Calibri" w:cs="Calibri"/>
          <w:spacing w:val="-1"/>
          <w:sz w:val="22"/>
          <w:szCs w:val="22"/>
        </w:rPr>
        <w:t>)</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4E9A68E3" w14:textId="77777777" w:rsidTr="009277AD">
        <w:trPr>
          <w:trHeight w:val="80"/>
        </w:trPr>
        <w:tc>
          <w:tcPr>
            <w:tcW w:w="10710" w:type="dxa"/>
          </w:tcPr>
          <w:p w14:paraId="67B2BA1A" w14:textId="77777777" w:rsidR="002E1A3F" w:rsidRPr="002E1A3F" w:rsidRDefault="00B00100" w:rsidP="001118F8">
            <w:pPr>
              <w:keepNext/>
              <w:widowControl/>
              <w:autoSpaceDE/>
              <w:autoSpaceDN/>
              <w:adjustRightInd/>
              <w:spacing w:before="40"/>
              <w:outlineLvl w:val="1"/>
              <w:rPr>
                <w:rFonts w:ascii="Calibri" w:eastAsia="Times New Roman" w:hAnsi="Calibri" w:cs="Times New Roman"/>
                <w:b/>
                <w:color w:val="172D5F"/>
                <w:sz w:val="22"/>
                <w:szCs w:val="22"/>
              </w:rPr>
            </w:pPr>
            <w:bookmarkStart w:id="87" w:name="_Toc256000137"/>
            <w:bookmarkStart w:id="88" w:name="_Toc256000108"/>
            <w:bookmarkStart w:id="89" w:name="_Toc256000075"/>
            <w:bookmarkStart w:id="90" w:name="_Toc256000043"/>
            <w:bookmarkStart w:id="91" w:name="_Toc256000011"/>
            <w:bookmarkStart w:id="92" w:name="_Toc8301924"/>
            <w:bookmarkStart w:id="93" w:name="_Toc14789340"/>
            <w:bookmarkStart w:id="94" w:name="_Toc22655910"/>
            <w:bookmarkStart w:id="95" w:name="_Toc23779839"/>
            <w:bookmarkStart w:id="96" w:name="_Toc23866055"/>
            <w:bookmarkStart w:id="97" w:name="_Toc23930666"/>
            <w:r w:rsidRPr="002E1A3F">
              <w:rPr>
                <w:rFonts w:ascii="Calibri" w:eastAsia="Times New Roman" w:hAnsi="Calibri" w:cs="Times New Roman"/>
                <w:b/>
                <w:color w:val="172D5F"/>
                <w:sz w:val="22"/>
                <w:szCs w:val="22"/>
              </w:rPr>
              <w:lastRenderedPageBreak/>
              <w:t>B. Project Components</w:t>
            </w:r>
            <w:bookmarkEnd w:id="87"/>
            <w:bookmarkEnd w:id="88"/>
            <w:bookmarkEnd w:id="89"/>
            <w:bookmarkEnd w:id="90"/>
            <w:bookmarkEnd w:id="91"/>
            <w:bookmarkEnd w:id="92"/>
            <w:bookmarkEnd w:id="93"/>
            <w:bookmarkEnd w:id="94"/>
            <w:bookmarkEnd w:id="95"/>
            <w:bookmarkEnd w:id="96"/>
            <w:bookmarkEnd w:id="97"/>
          </w:p>
        </w:tc>
      </w:tr>
    </w:tbl>
    <w:tbl>
      <w:tblPr>
        <w:tblW w:w="10076" w:type="dxa"/>
        <w:tblInd w:w="-630" w:type="dxa"/>
        <w:tblLayout w:type="fixed"/>
        <w:tblLook w:val="04A0" w:firstRow="1" w:lastRow="0" w:firstColumn="1" w:lastColumn="0" w:noHBand="0" w:noVBand="1"/>
      </w:tblPr>
      <w:tblGrid>
        <w:gridCol w:w="10076"/>
      </w:tblGrid>
      <w:tr w:rsidR="000C3959" w14:paraId="3E1C8FC0" w14:textId="77777777" w:rsidTr="009277AD">
        <w:trPr>
          <w:trHeight w:val="73"/>
        </w:trPr>
        <w:tc>
          <w:tcPr>
            <w:tcW w:w="10076" w:type="dxa"/>
          </w:tcPr>
          <w:p w14:paraId="14B6A675" w14:textId="77777777" w:rsidR="002E1A3F" w:rsidRPr="002E1A3F" w:rsidRDefault="002E1A3F" w:rsidP="008E2709">
            <w:pPr>
              <w:rPr>
                <w:rFonts w:eastAsia="Times New Roman"/>
                <w:sz w:val="22"/>
                <w:szCs w:val="22"/>
              </w:rPr>
            </w:pPr>
          </w:p>
        </w:tc>
      </w:tr>
    </w:tbl>
    <w:p w14:paraId="68C389E5" w14:textId="77777777" w:rsidR="00B72C78" w:rsidRPr="00A26ED0" w:rsidRDefault="00B00100" w:rsidP="008E2709">
      <w:pPr>
        <w:widowControl/>
        <w:numPr>
          <w:ilvl w:val="0"/>
          <w:numId w:val="7"/>
        </w:numPr>
        <w:tabs>
          <w:tab w:val="left" w:pos="0"/>
          <w:tab w:val="left" w:pos="720"/>
        </w:tabs>
        <w:autoSpaceDE/>
        <w:autoSpaceDN/>
        <w:adjustRightInd/>
        <w:spacing w:after="160"/>
        <w:ind w:left="0" w:firstLine="0"/>
        <w:jc w:val="both"/>
        <w:rPr>
          <w:rFonts w:ascii="Calibri" w:eastAsia="Times New Roman" w:hAnsi="Calibri" w:cs="Calibri"/>
          <w:bCs/>
          <w:color w:val="2E74B5"/>
          <w:sz w:val="22"/>
          <w:szCs w:val="22"/>
        </w:rPr>
      </w:pPr>
      <w:bookmarkStart w:id="98" w:name="_Hlk517134698"/>
      <w:r w:rsidRPr="00537E29">
        <w:rPr>
          <w:rFonts w:ascii="Calibri" w:eastAsia="Times New Roman" w:hAnsi="Calibri" w:cs="Calibri"/>
          <w:b/>
          <w:bCs/>
          <w:spacing w:val="-1"/>
          <w:sz w:val="22"/>
          <w:szCs w:val="22"/>
        </w:rPr>
        <w:t xml:space="preserve">The proposed project consists of three </w:t>
      </w:r>
      <w:r w:rsidR="00DA5CC9" w:rsidRPr="00537E29">
        <w:rPr>
          <w:rFonts w:ascii="Calibri" w:eastAsia="Times New Roman" w:hAnsi="Calibri" w:cs="Calibri"/>
          <w:b/>
          <w:bCs/>
          <w:spacing w:val="-1"/>
          <w:sz w:val="22"/>
          <w:szCs w:val="22"/>
        </w:rPr>
        <w:t>C</w:t>
      </w:r>
      <w:r w:rsidRPr="00537E29">
        <w:rPr>
          <w:rFonts w:ascii="Calibri" w:eastAsia="Times New Roman" w:hAnsi="Calibri" w:cs="Calibri"/>
          <w:b/>
          <w:bCs/>
          <w:spacing w:val="-1"/>
          <w:sz w:val="22"/>
          <w:szCs w:val="22"/>
        </w:rPr>
        <w:t xml:space="preserve">omponents: </w:t>
      </w:r>
      <w:r w:rsidRPr="00537E29">
        <w:rPr>
          <w:rFonts w:ascii="Calibri" w:eastAsia="Times New Roman" w:hAnsi="Calibri" w:cs="Calibri"/>
          <w:bCs/>
          <w:spacing w:val="-1"/>
          <w:sz w:val="22"/>
          <w:szCs w:val="22"/>
        </w:rPr>
        <w:t>Component 1 will aim to strengthen capacity in 2</w:t>
      </w:r>
      <w:r w:rsidR="008B3CBB" w:rsidRPr="00537E29">
        <w:rPr>
          <w:rFonts w:ascii="Calibri" w:eastAsia="Times New Roman" w:hAnsi="Calibri" w:cs="Calibri"/>
          <w:bCs/>
          <w:spacing w:val="-1"/>
          <w:sz w:val="22"/>
          <w:szCs w:val="22"/>
        </w:rPr>
        <w:t>3</w:t>
      </w:r>
      <w:r w:rsidRPr="00537E29">
        <w:rPr>
          <w:rFonts w:ascii="Calibri" w:eastAsia="Times New Roman" w:hAnsi="Calibri" w:cs="Calibri"/>
          <w:bCs/>
          <w:spacing w:val="-1"/>
          <w:sz w:val="22"/>
          <w:szCs w:val="22"/>
        </w:rPr>
        <w:t xml:space="preserve"> ACE centers and their host institutions (supply-side)</w:t>
      </w:r>
      <w:r w:rsidR="000934F0" w:rsidRPr="00537E29">
        <w:rPr>
          <w:rFonts w:ascii="Calibri" w:eastAsia="Times New Roman" w:hAnsi="Calibri" w:cs="Calibri"/>
          <w:bCs/>
          <w:spacing w:val="-1"/>
          <w:sz w:val="22"/>
          <w:szCs w:val="22"/>
        </w:rPr>
        <w:t>.</w:t>
      </w:r>
      <w:r w:rsidRPr="00537E29">
        <w:rPr>
          <w:rFonts w:ascii="Calibri" w:eastAsia="Times New Roman" w:hAnsi="Calibri" w:cs="Calibri"/>
          <w:bCs/>
          <w:spacing w:val="-1"/>
          <w:sz w:val="22"/>
          <w:szCs w:val="22"/>
        </w:rPr>
        <w:t xml:space="preserve"> Component 2 will aim to strengthen </w:t>
      </w:r>
      <w:r w:rsidR="001F65BE" w:rsidRPr="00537E29">
        <w:rPr>
          <w:rFonts w:ascii="Calibri" w:eastAsia="Times New Roman" w:hAnsi="Calibri" w:cs="Calibri"/>
          <w:bCs/>
          <w:spacing w:val="-1"/>
          <w:sz w:val="22"/>
          <w:szCs w:val="22"/>
        </w:rPr>
        <w:t>three</w:t>
      </w:r>
      <w:r w:rsidR="000934F0" w:rsidRPr="00537E29">
        <w:rPr>
          <w:rFonts w:ascii="Calibri" w:eastAsia="Times New Roman" w:hAnsi="Calibri" w:cs="Calibri"/>
          <w:bCs/>
          <w:spacing w:val="-1"/>
          <w:sz w:val="22"/>
          <w:szCs w:val="22"/>
        </w:rPr>
        <w:t xml:space="preserve"> </w:t>
      </w:r>
      <w:r w:rsidRPr="00537E29">
        <w:rPr>
          <w:rFonts w:ascii="Calibri" w:eastAsia="Times New Roman" w:hAnsi="Calibri" w:cs="Calibri"/>
          <w:bCs/>
          <w:spacing w:val="-1"/>
          <w:sz w:val="22"/>
          <w:szCs w:val="22"/>
        </w:rPr>
        <w:t>non-ACE institutions in the region and allow students to benefit from the capacity in the ACE centers (demand-side)</w:t>
      </w:r>
      <w:r w:rsidR="000934F0" w:rsidRPr="00537E29">
        <w:rPr>
          <w:rFonts w:ascii="Calibri" w:eastAsia="Times New Roman" w:hAnsi="Calibri" w:cs="Calibri"/>
          <w:bCs/>
          <w:spacing w:val="-1"/>
          <w:sz w:val="22"/>
          <w:szCs w:val="22"/>
        </w:rPr>
        <w:t xml:space="preserve"> as well </w:t>
      </w:r>
      <w:r w:rsidR="00AF5C2F" w:rsidRPr="00537E29">
        <w:rPr>
          <w:rFonts w:ascii="Calibri" w:eastAsia="Times New Roman" w:hAnsi="Calibri" w:cs="Calibri"/>
          <w:bCs/>
          <w:spacing w:val="-1"/>
          <w:sz w:val="22"/>
          <w:szCs w:val="22"/>
        </w:rPr>
        <w:t>contribute to</w:t>
      </w:r>
      <w:r w:rsidR="00F37CC2" w:rsidRPr="00537E29">
        <w:rPr>
          <w:rFonts w:ascii="Calibri" w:eastAsia="Times New Roman" w:hAnsi="Calibri" w:cs="Calibri"/>
          <w:bCs/>
          <w:spacing w:val="-1"/>
          <w:sz w:val="22"/>
          <w:szCs w:val="22"/>
        </w:rPr>
        <w:t>wards the RSIF</w:t>
      </w:r>
      <w:r w:rsidRPr="00537E29">
        <w:rPr>
          <w:rFonts w:ascii="Calibri" w:eastAsia="Times New Roman" w:hAnsi="Calibri" w:cs="Calibri"/>
          <w:bCs/>
          <w:spacing w:val="-1"/>
          <w:sz w:val="22"/>
          <w:szCs w:val="22"/>
        </w:rPr>
        <w:t xml:space="preserve">. Centers under Component 2 will be </w:t>
      </w:r>
      <w:r w:rsidR="000820B3" w:rsidRPr="00537E29">
        <w:rPr>
          <w:rFonts w:ascii="Calibri" w:eastAsia="Times New Roman" w:hAnsi="Calibri" w:cs="Calibri"/>
          <w:bCs/>
          <w:spacing w:val="-1"/>
          <w:sz w:val="22"/>
          <w:szCs w:val="22"/>
        </w:rPr>
        <w:t xml:space="preserve">referred to </w:t>
      </w:r>
      <w:r w:rsidRPr="00537E29">
        <w:rPr>
          <w:rFonts w:ascii="Calibri" w:eastAsia="Times New Roman" w:hAnsi="Calibri" w:cs="Calibri"/>
          <w:bCs/>
          <w:spacing w:val="-1"/>
          <w:sz w:val="22"/>
          <w:szCs w:val="22"/>
        </w:rPr>
        <w:t xml:space="preserve">as </w:t>
      </w:r>
      <w:r w:rsidRPr="00537E29">
        <w:rPr>
          <w:rFonts w:ascii="Calibri" w:eastAsia="Times New Roman" w:hAnsi="Calibri" w:cs="Calibri"/>
          <w:bCs/>
          <w:i/>
          <w:spacing w:val="-1"/>
          <w:sz w:val="22"/>
          <w:szCs w:val="22"/>
        </w:rPr>
        <w:t>Emerging centers</w:t>
      </w:r>
      <w:r w:rsidRPr="00537E29">
        <w:rPr>
          <w:rFonts w:ascii="Calibri" w:eastAsia="Times New Roman" w:hAnsi="Calibri" w:cs="Calibri"/>
          <w:bCs/>
          <w:spacing w:val="-1"/>
          <w:sz w:val="22"/>
          <w:szCs w:val="22"/>
        </w:rPr>
        <w:t>. Component 3 will aim to support national</w:t>
      </w:r>
      <w:r>
        <w:rPr>
          <w:rFonts w:ascii="Calibri" w:eastAsia="Times New Roman" w:hAnsi="Calibri" w:cs="Calibri"/>
          <w:bCs/>
          <w:spacing w:val="-1"/>
          <w:sz w:val="22"/>
          <w:szCs w:val="22"/>
          <w:vertAlign w:val="superscript"/>
        </w:rPr>
        <w:footnoteReference w:id="12"/>
      </w:r>
      <w:r w:rsidR="00E33DAB" w:rsidRPr="008E2709">
        <w:rPr>
          <w:rFonts w:ascii="Calibri" w:eastAsia="Times New Roman" w:hAnsi="Calibri" w:cs="Calibri"/>
          <w:bCs/>
          <w:spacing w:val="-1"/>
          <w:sz w:val="22"/>
          <w:szCs w:val="22"/>
        </w:rPr>
        <w:t xml:space="preserve"> </w:t>
      </w:r>
      <w:r w:rsidR="000820B3" w:rsidRPr="00537E29">
        <w:rPr>
          <w:rFonts w:ascii="Calibri" w:eastAsia="Times New Roman" w:hAnsi="Calibri" w:cs="Calibri"/>
          <w:bCs/>
          <w:spacing w:val="-1"/>
          <w:sz w:val="22"/>
          <w:szCs w:val="22"/>
        </w:rPr>
        <w:t>-</w:t>
      </w:r>
      <w:r w:rsidRPr="00537E29">
        <w:rPr>
          <w:rFonts w:ascii="Calibri" w:eastAsia="Times New Roman" w:hAnsi="Calibri" w:cs="Calibri"/>
          <w:bCs/>
          <w:spacing w:val="-1"/>
          <w:sz w:val="22"/>
          <w:szCs w:val="22"/>
        </w:rPr>
        <w:t xml:space="preserve"> </w:t>
      </w:r>
      <w:r w:rsidR="00F37CC2" w:rsidRPr="00537E29">
        <w:rPr>
          <w:rFonts w:ascii="Calibri" w:eastAsia="Times New Roman" w:hAnsi="Calibri" w:cs="Calibri"/>
          <w:bCs/>
          <w:spacing w:val="-1"/>
          <w:sz w:val="22"/>
          <w:szCs w:val="22"/>
        </w:rPr>
        <w:t>and regional</w:t>
      </w:r>
      <w:r w:rsidR="000820B3" w:rsidRPr="00537E29">
        <w:rPr>
          <w:rFonts w:ascii="Calibri" w:eastAsia="Times New Roman" w:hAnsi="Calibri" w:cs="Calibri"/>
          <w:bCs/>
          <w:spacing w:val="-1"/>
          <w:sz w:val="22"/>
          <w:szCs w:val="22"/>
        </w:rPr>
        <w:t>-</w:t>
      </w:r>
      <w:r w:rsidR="00F37CC2" w:rsidRPr="00537E29">
        <w:rPr>
          <w:rFonts w:ascii="Calibri" w:eastAsia="Times New Roman" w:hAnsi="Calibri" w:cs="Calibri"/>
          <w:bCs/>
          <w:spacing w:val="-1"/>
          <w:sz w:val="22"/>
          <w:szCs w:val="22"/>
        </w:rPr>
        <w:t xml:space="preserve">level </w:t>
      </w:r>
      <w:r w:rsidRPr="00537E29">
        <w:rPr>
          <w:rFonts w:ascii="Calibri" w:eastAsia="Times New Roman" w:hAnsi="Calibri" w:cs="Calibri"/>
          <w:bCs/>
          <w:spacing w:val="-1"/>
          <w:sz w:val="22"/>
          <w:szCs w:val="22"/>
        </w:rPr>
        <w:t xml:space="preserve">facilitation of the project and M&amp;E related activities. Financing for Component 1 and </w:t>
      </w:r>
      <w:r w:rsidR="00AB46B8" w:rsidRPr="00537E29">
        <w:rPr>
          <w:rFonts w:ascii="Calibri" w:eastAsia="Times New Roman" w:hAnsi="Calibri" w:cs="Calibri"/>
          <w:bCs/>
          <w:spacing w:val="-1"/>
          <w:sz w:val="22"/>
          <w:szCs w:val="22"/>
        </w:rPr>
        <w:t>S</w:t>
      </w:r>
      <w:r w:rsidR="000C4249" w:rsidRPr="00537E29">
        <w:rPr>
          <w:rFonts w:ascii="Calibri" w:eastAsia="Times New Roman" w:hAnsi="Calibri" w:cs="Calibri"/>
          <w:bCs/>
          <w:spacing w:val="-1"/>
          <w:sz w:val="22"/>
          <w:szCs w:val="22"/>
        </w:rPr>
        <w:t xml:space="preserve">ub-component </w:t>
      </w:r>
      <w:r w:rsidRPr="00537E29">
        <w:rPr>
          <w:rFonts w:ascii="Calibri" w:eastAsia="Times New Roman" w:hAnsi="Calibri" w:cs="Calibri"/>
          <w:bCs/>
          <w:spacing w:val="-1"/>
          <w:sz w:val="22"/>
          <w:szCs w:val="22"/>
        </w:rPr>
        <w:t>2</w:t>
      </w:r>
      <w:r w:rsidR="00DA538D" w:rsidRPr="00537E29">
        <w:rPr>
          <w:rFonts w:ascii="Calibri" w:eastAsia="Times New Roman" w:hAnsi="Calibri" w:cs="Calibri"/>
          <w:bCs/>
          <w:spacing w:val="-1"/>
          <w:sz w:val="22"/>
          <w:szCs w:val="22"/>
        </w:rPr>
        <w:t>.1</w:t>
      </w:r>
      <w:r w:rsidRPr="00537E29">
        <w:rPr>
          <w:rFonts w:ascii="Calibri" w:eastAsia="Times New Roman" w:hAnsi="Calibri" w:cs="Calibri"/>
          <w:bCs/>
          <w:spacing w:val="-1"/>
          <w:sz w:val="22"/>
          <w:szCs w:val="22"/>
        </w:rPr>
        <w:t xml:space="preserve"> will be result</w:t>
      </w:r>
      <w:r w:rsidR="007C16C6" w:rsidRPr="00537E29">
        <w:rPr>
          <w:rFonts w:ascii="Calibri" w:eastAsia="Times New Roman" w:hAnsi="Calibri" w:cs="Calibri"/>
          <w:bCs/>
          <w:spacing w:val="-1"/>
          <w:sz w:val="22"/>
          <w:szCs w:val="22"/>
        </w:rPr>
        <w:t>s</w:t>
      </w:r>
      <w:r w:rsidRPr="00537E29">
        <w:rPr>
          <w:rFonts w:ascii="Calibri" w:eastAsia="Times New Roman" w:hAnsi="Calibri" w:cs="Calibri"/>
          <w:bCs/>
          <w:spacing w:val="-1"/>
          <w:sz w:val="22"/>
          <w:szCs w:val="22"/>
        </w:rPr>
        <w:t>-based, while financing for Component 3 will be input-based.</w:t>
      </w:r>
    </w:p>
    <w:p w14:paraId="308E0B88" w14:textId="77777777" w:rsidR="002E1A3F" w:rsidRPr="002E1A3F" w:rsidRDefault="00B00100" w:rsidP="001118F8">
      <w:pPr>
        <w:tabs>
          <w:tab w:val="left" w:pos="0"/>
        </w:tabs>
        <w:jc w:val="center"/>
        <w:rPr>
          <w:rFonts w:ascii="Calibri" w:eastAsia="Times New Roman" w:hAnsi="Calibri" w:cs="Calibri"/>
          <w:b/>
          <w:i/>
          <w:sz w:val="22"/>
          <w:szCs w:val="22"/>
        </w:rPr>
      </w:pPr>
      <w:r w:rsidRPr="002E1A3F">
        <w:rPr>
          <w:rFonts w:ascii="Calibri" w:eastAsia="Times New Roman" w:hAnsi="Calibri" w:cs="Calibri"/>
          <w:b/>
          <w:bCs/>
          <w:spacing w:val="-1"/>
          <w:sz w:val="22"/>
          <w:szCs w:val="22"/>
        </w:rPr>
        <w:t xml:space="preserve">Table </w:t>
      </w:r>
      <w:r w:rsidR="008945EB">
        <w:rPr>
          <w:rFonts w:ascii="Calibri" w:eastAsia="Times New Roman" w:hAnsi="Calibri" w:cs="Calibri"/>
          <w:b/>
          <w:bCs/>
          <w:spacing w:val="-1"/>
          <w:sz w:val="22"/>
          <w:szCs w:val="22"/>
        </w:rPr>
        <w:t>2</w:t>
      </w:r>
      <w:r w:rsidRPr="002E1A3F">
        <w:rPr>
          <w:rFonts w:ascii="Calibri" w:eastAsia="Times New Roman" w:hAnsi="Calibri" w:cs="Calibri"/>
          <w:b/>
          <w:bCs/>
          <w:spacing w:val="-1"/>
          <w:sz w:val="22"/>
          <w:szCs w:val="22"/>
        </w:rPr>
        <w:t>.</w:t>
      </w:r>
      <w:r w:rsidRPr="002E1A3F">
        <w:rPr>
          <w:rFonts w:ascii="Calibri" w:eastAsia="Times New Roman" w:hAnsi="Calibri" w:cs="Calibri"/>
          <w:b/>
          <w:bCs/>
          <w:color w:val="2E74B5"/>
          <w:sz w:val="22"/>
          <w:szCs w:val="22"/>
        </w:rPr>
        <w:t xml:space="preserve"> </w:t>
      </w:r>
      <w:r w:rsidRPr="002E1A3F">
        <w:rPr>
          <w:rFonts w:ascii="Calibri" w:eastAsia="Times New Roman" w:hAnsi="Calibri" w:cs="Calibri"/>
          <w:b/>
          <w:i/>
          <w:sz w:val="22"/>
          <w:szCs w:val="22"/>
        </w:rPr>
        <w:t xml:space="preserve">Overview of </w:t>
      </w:r>
      <w:r w:rsidR="000820B3">
        <w:rPr>
          <w:rFonts w:ascii="Calibri" w:eastAsia="Times New Roman" w:hAnsi="Calibri" w:cs="Calibri"/>
          <w:b/>
          <w:i/>
          <w:sz w:val="22"/>
          <w:szCs w:val="22"/>
        </w:rPr>
        <w:t xml:space="preserve">Proposed </w:t>
      </w:r>
      <w:r w:rsidRPr="002E1A3F">
        <w:rPr>
          <w:rFonts w:ascii="Calibri" w:eastAsia="Times New Roman" w:hAnsi="Calibri" w:cs="Calibri"/>
          <w:b/>
          <w:i/>
          <w:sz w:val="22"/>
          <w:szCs w:val="22"/>
        </w:rPr>
        <w:t>Second ACE Impact Project Components and Sub-Components</w:t>
      </w:r>
    </w:p>
    <w:tbl>
      <w:tblPr>
        <w:tblStyle w:val="TableGrid23"/>
        <w:tblW w:w="0" w:type="auto"/>
        <w:tblLook w:val="04A0" w:firstRow="1" w:lastRow="0" w:firstColumn="1" w:lastColumn="0" w:noHBand="0" w:noVBand="1"/>
      </w:tblPr>
      <w:tblGrid>
        <w:gridCol w:w="3116"/>
        <w:gridCol w:w="3117"/>
        <w:gridCol w:w="3117"/>
      </w:tblGrid>
      <w:tr w:rsidR="000C3959" w14:paraId="255D3DA7" w14:textId="77777777" w:rsidTr="002E1A3F">
        <w:tc>
          <w:tcPr>
            <w:tcW w:w="3116" w:type="dxa"/>
            <w:shd w:val="clear" w:color="auto" w:fill="D5DCE4"/>
          </w:tcPr>
          <w:p w14:paraId="545D251D" w14:textId="77777777" w:rsidR="002E1A3F" w:rsidRPr="002E1A3F" w:rsidRDefault="00B00100">
            <w:pPr>
              <w:tabs>
                <w:tab w:val="left" w:pos="0"/>
              </w:tabs>
              <w:jc w:val="center"/>
              <w:rPr>
                <w:rFonts w:ascii="Calibri" w:eastAsia="Times New Roman" w:hAnsi="Calibri" w:cs="Calibri"/>
                <w:b/>
                <w:i/>
                <w:color w:val="auto"/>
                <w:sz w:val="22"/>
                <w:szCs w:val="22"/>
              </w:rPr>
            </w:pPr>
            <w:r w:rsidRPr="002E1A3F">
              <w:rPr>
                <w:rFonts w:ascii="Calibri" w:eastAsia="Times New Roman" w:hAnsi="Calibri" w:cs="Calibri"/>
                <w:b/>
                <w:bCs/>
                <w:color w:val="auto"/>
                <w:sz w:val="20"/>
              </w:rPr>
              <w:t>Component 1</w:t>
            </w:r>
          </w:p>
        </w:tc>
        <w:tc>
          <w:tcPr>
            <w:tcW w:w="3117" w:type="dxa"/>
            <w:shd w:val="clear" w:color="auto" w:fill="D5DCE4"/>
          </w:tcPr>
          <w:p w14:paraId="1465B908" w14:textId="77777777" w:rsidR="002E1A3F" w:rsidRPr="002E1A3F" w:rsidRDefault="00B00100" w:rsidP="00E31D75">
            <w:pPr>
              <w:tabs>
                <w:tab w:val="left" w:pos="0"/>
              </w:tabs>
              <w:jc w:val="center"/>
              <w:rPr>
                <w:rFonts w:ascii="Calibri" w:eastAsia="Times New Roman" w:hAnsi="Calibri" w:cs="Calibri"/>
                <w:b/>
                <w:i/>
                <w:color w:val="auto"/>
                <w:sz w:val="22"/>
                <w:szCs w:val="22"/>
              </w:rPr>
            </w:pPr>
            <w:r w:rsidRPr="002E1A3F">
              <w:rPr>
                <w:rFonts w:ascii="Calibri" w:eastAsia="Times New Roman" w:hAnsi="Calibri" w:cs="Calibri"/>
                <w:b/>
                <w:bCs/>
                <w:color w:val="auto"/>
                <w:sz w:val="20"/>
              </w:rPr>
              <w:t>Component 2</w:t>
            </w:r>
          </w:p>
        </w:tc>
        <w:tc>
          <w:tcPr>
            <w:tcW w:w="3117" w:type="dxa"/>
            <w:shd w:val="clear" w:color="auto" w:fill="D5DCE4"/>
          </w:tcPr>
          <w:p w14:paraId="1D78262D" w14:textId="77777777" w:rsidR="002E1A3F" w:rsidRPr="002E1A3F" w:rsidRDefault="00B00100" w:rsidP="00F463C2">
            <w:pPr>
              <w:tabs>
                <w:tab w:val="left" w:pos="0"/>
              </w:tabs>
              <w:jc w:val="center"/>
              <w:rPr>
                <w:rFonts w:ascii="Calibri" w:eastAsia="Times New Roman" w:hAnsi="Calibri" w:cs="Calibri"/>
                <w:b/>
                <w:i/>
                <w:color w:val="auto"/>
                <w:sz w:val="22"/>
                <w:szCs w:val="22"/>
              </w:rPr>
            </w:pPr>
            <w:r w:rsidRPr="002E1A3F">
              <w:rPr>
                <w:rFonts w:ascii="Calibri" w:eastAsia="Times New Roman" w:hAnsi="Calibri" w:cs="Calibri"/>
                <w:b/>
                <w:bCs/>
                <w:color w:val="auto"/>
                <w:sz w:val="20"/>
              </w:rPr>
              <w:t>Component 3</w:t>
            </w:r>
          </w:p>
        </w:tc>
      </w:tr>
      <w:tr w:rsidR="000C3959" w14:paraId="11CAE943" w14:textId="77777777" w:rsidTr="002E1A3F">
        <w:tc>
          <w:tcPr>
            <w:tcW w:w="3116" w:type="dxa"/>
            <w:shd w:val="clear" w:color="auto" w:fill="D5DCE4"/>
          </w:tcPr>
          <w:p w14:paraId="0512F714" w14:textId="77777777" w:rsidR="002E1A3F" w:rsidRPr="002E1A3F" w:rsidRDefault="00B00100" w:rsidP="001118F8">
            <w:pPr>
              <w:jc w:val="center"/>
              <w:rPr>
                <w:rFonts w:ascii="Calibri" w:eastAsia="Times New Roman" w:hAnsi="Calibri" w:cs="Calibri"/>
                <w:sz w:val="20"/>
              </w:rPr>
            </w:pPr>
            <w:r w:rsidRPr="002E1A3F">
              <w:rPr>
                <w:rFonts w:ascii="Calibri" w:eastAsia="Times New Roman" w:hAnsi="Calibri" w:cs="Calibri"/>
                <w:b/>
                <w:bCs/>
                <w:sz w:val="20"/>
              </w:rPr>
              <w:t xml:space="preserve">Establishing </w:t>
            </w:r>
            <w:r w:rsidR="00FA3789">
              <w:rPr>
                <w:rFonts w:ascii="Calibri" w:eastAsia="Times New Roman" w:hAnsi="Calibri" w:cs="Calibri"/>
                <w:b/>
                <w:bCs/>
                <w:sz w:val="20"/>
              </w:rPr>
              <w:t>N</w:t>
            </w:r>
            <w:r w:rsidRPr="002E1A3F">
              <w:rPr>
                <w:rFonts w:ascii="Calibri" w:eastAsia="Times New Roman" w:hAnsi="Calibri" w:cs="Calibri"/>
                <w:b/>
                <w:bCs/>
                <w:sz w:val="20"/>
              </w:rPr>
              <w:t>ew and scaling-up well-performing existing ACEs for development impact</w:t>
            </w:r>
          </w:p>
        </w:tc>
        <w:tc>
          <w:tcPr>
            <w:tcW w:w="3117" w:type="dxa"/>
            <w:shd w:val="clear" w:color="auto" w:fill="D5DCE4"/>
          </w:tcPr>
          <w:p w14:paraId="439D71B6" w14:textId="77777777" w:rsidR="002E1A3F" w:rsidRPr="002E1A3F" w:rsidRDefault="00B00100" w:rsidP="001118F8">
            <w:pPr>
              <w:jc w:val="center"/>
              <w:rPr>
                <w:rFonts w:ascii="Calibri" w:eastAsia="Times New Roman" w:hAnsi="Calibri" w:cs="Calibri"/>
                <w:sz w:val="20"/>
              </w:rPr>
            </w:pPr>
            <w:r w:rsidRPr="002E1A3F">
              <w:rPr>
                <w:rFonts w:ascii="Calibri" w:eastAsia="Times New Roman" w:hAnsi="Calibri" w:cs="Calibri"/>
                <w:b/>
                <w:bCs/>
                <w:sz w:val="20"/>
              </w:rPr>
              <w:t>Fostering regional partnerships and scholarships</w:t>
            </w:r>
          </w:p>
        </w:tc>
        <w:tc>
          <w:tcPr>
            <w:tcW w:w="3117" w:type="dxa"/>
            <w:shd w:val="clear" w:color="auto" w:fill="D5DCE4"/>
          </w:tcPr>
          <w:p w14:paraId="0A203CD8" w14:textId="77777777" w:rsidR="002E1A3F" w:rsidRPr="002E1A3F" w:rsidRDefault="00B00100">
            <w:pPr>
              <w:jc w:val="center"/>
              <w:rPr>
                <w:rFonts w:ascii="Calibri" w:eastAsia="Times New Roman" w:hAnsi="Calibri" w:cs="Calibri"/>
                <w:sz w:val="20"/>
              </w:rPr>
            </w:pPr>
            <w:r w:rsidRPr="002E1A3F">
              <w:rPr>
                <w:rFonts w:ascii="Calibri" w:eastAsia="Times New Roman" w:hAnsi="Calibri" w:cs="Calibri"/>
                <w:b/>
                <w:bCs/>
                <w:sz w:val="20"/>
              </w:rPr>
              <w:t xml:space="preserve">Enhancing national </w:t>
            </w:r>
            <w:r w:rsidR="00E62697">
              <w:rPr>
                <w:rFonts w:ascii="Calibri" w:eastAsia="Times New Roman" w:hAnsi="Calibri" w:cs="Calibri"/>
                <w:b/>
                <w:bCs/>
                <w:sz w:val="20"/>
              </w:rPr>
              <w:t xml:space="preserve">and regional level </w:t>
            </w:r>
            <w:r w:rsidRPr="002E1A3F">
              <w:rPr>
                <w:rFonts w:ascii="Calibri" w:eastAsia="Times New Roman" w:hAnsi="Calibri" w:cs="Calibri"/>
                <w:b/>
                <w:bCs/>
                <w:sz w:val="20"/>
              </w:rPr>
              <w:t>project facilitation, and M&amp;E</w:t>
            </w:r>
          </w:p>
        </w:tc>
      </w:tr>
      <w:tr w:rsidR="000C3959" w14:paraId="52D0C168" w14:textId="77777777" w:rsidTr="009277AD">
        <w:tc>
          <w:tcPr>
            <w:tcW w:w="3116" w:type="dxa"/>
            <w:shd w:val="clear" w:color="auto" w:fill="auto"/>
          </w:tcPr>
          <w:p w14:paraId="30636B0F" w14:textId="77777777" w:rsidR="002E1A3F" w:rsidRPr="002E1A3F" w:rsidRDefault="00B00100" w:rsidP="001118F8">
            <w:pPr>
              <w:rPr>
                <w:rFonts w:ascii="Calibri" w:eastAsia="Times New Roman" w:hAnsi="Calibri" w:cs="Calibri"/>
                <w:sz w:val="20"/>
              </w:rPr>
            </w:pPr>
            <w:r w:rsidRPr="002E1A3F">
              <w:rPr>
                <w:rFonts w:ascii="Calibri" w:eastAsia="Times New Roman" w:hAnsi="Calibri" w:cs="Calibri"/>
                <w:b/>
                <w:bCs/>
                <w:sz w:val="20"/>
              </w:rPr>
              <w:t>Sub-component 1.1</w:t>
            </w:r>
          </w:p>
          <w:p w14:paraId="710EEF5E" w14:textId="77777777" w:rsidR="002E1A3F" w:rsidRPr="002E1A3F" w:rsidRDefault="00B00100" w:rsidP="001118F8">
            <w:pPr>
              <w:rPr>
                <w:rFonts w:ascii="Calibri" w:eastAsia="Times New Roman" w:hAnsi="Calibri" w:cs="Calibri"/>
                <w:sz w:val="20"/>
              </w:rPr>
            </w:pPr>
            <w:r w:rsidRPr="002E1A3F">
              <w:rPr>
                <w:rFonts w:ascii="Calibri" w:eastAsia="Times New Roman" w:hAnsi="Calibri" w:cs="Calibri"/>
                <w:sz w:val="20"/>
              </w:rPr>
              <w:t xml:space="preserve">Support to establish </w:t>
            </w:r>
            <w:r w:rsidR="00FA3789">
              <w:rPr>
                <w:rFonts w:ascii="Calibri" w:eastAsia="Times New Roman" w:hAnsi="Calibri" w:cs="Calibri"/>
                <w:sz w:val="20"/>
              </w:rPr>
              <w:t>N</w:t>
            </w:r>
            <w:r w:rsidRPr="002E1A3F">
              <w:rPr>
                <w:rFonts w:ascii="Calibri" w:eastAsia="Times New Roman" w:hAnsi="Calibri" w:cs="Calibri"/>
                <w:sz w:val="20"/>
              </w:rPr>
              <w:t>ew centers of excellence</w:t>
            </w:r>
          </w:p>
          <w:p w14:paraId="6501EFF1" w14:textId="77777777" w:rsidR="002E1A3F" w:rsidRPr="002E1A3F" w:rsidRDefault="002E1A3F">
            <w:pPr>
              <w:rPr>
                <w:rFonts w:ascii="Calibri" w:eastAsia="Times New Roman" w:hAnsi="Calibri" w:cs="Calibri"/>
                <w:sz w:val="20"/>
              </w:rPr>
            </w:pPr>
          </w:p>
          <w:p w14:paraId="165EE810" w14:textId="77777777" w:rsidR="002E1A3F" w:rsidRPr="002E1A3F" w:rsidRDefault="00B00100" w:rsidP="00E31D75">
            <w:pPr>
              <w:rPr>
                <w:rFonts w:ascii="Calibri" w:eastAsia="Times New Roman" w:hAnsi="Calibri" w:cs="Calibri"/>
                <w:sz w:val="20"/>
              </w:rPr>
            </w:pPr>
            <w:r w:rsidRPr="002E1A3F">
              <w:rPr>
                <w:rFonts w:ascii="Calibri" w:eastAsia="Times New Roman" w:hAnsi="Calibri" w:cs="Calibri"/>
                <w:b/>
                <w:bCs/>
                <w:sz w:val="20"/>
              </w:rPr>
              <w:t>Sub-component 1.2</w:t>
            </w:r>
          </w:p>
          <w:p w14:paraId="51F97CC9" w14:textId="77777777" w:rsidR="002E1A3F" w:rsidRPr="002E1A3F" w:rsidRDefault="00B00100" w:rsidP="00F463C2">
            <w:pPr>
              <w:rPr>
                <w:rFonts w:ascii="Calibri" w:eastAsia="Times New Roman" w:hAnsi="Calibri" w:cs="Calibri"/>
                <w:sz w:val="20"/>
              </w:rPr>
            </w:pPr>
            <w:r w:rsidRPr="002E1A3F">
              <w:rPr>
                <w:rFonts w:ascii="Calibri" w:eastAsia="Times New Roman" w:hAnsi="Calibri" w:cs="Calibri"/>
                <w:sz w:val="20"/>
              </w:rPr>
              <w:t>Support to scale-up well performing ACE I centers </w:t>
            </w:r>
          </w:p>
        </w:tc>
        <w:tc>
          <w:tcPr>
            <w:tcW w:w="3117" w:type="dxa"/>
            <w:shd w:val="clear" w:color="auto" w:fill="auto"/>
          </w:tcPr>
          <w:p w14:paraId="6B351617" w14:textId="77777777" w:rsidR="002E1A3F" w:rsidRPr="002E1A3F" w:rsidRDefault="00B00100" w:rsidP="00F463C2">
            <w:pPr>
              <w:rPr>
                <w:rFonts w:ascii="Calibri" w:eastAsia="Times New Roman" w:hAnsi="Calibri" w:cs="Calibri"/>
                <w:sz w:val="20"/>
              </w:rPr>
            </w:pPr>
            <w:r w:rsidRPr="002E1A3F">
              <w:rPr>
                <w:rFonts w:ascii="Calibri" w:eastAsia="Times New Roman" w:hAnsi="Calibri" w:cs="Calibri"/>
                <w:b/>
                <w:bCs/>
                <w:sz w:val="20"/>
              </w:rPr>
              <w:t xml:space="preserve">Sub-component 2.1 </w:t>
            </w:r>
          </w:p>
          <w:p w14:paraId="6E9D5FD9" w14:textId="77777777" w:rsidR="002E1A3F" w:rsidRPr="002E1A3F" w:rsidRDefault="00B00100" w:rsidP="0092105D">
            <w:pPr>
              <w:rPr>
                <w:rFonts w:ascii="Calibri" w:eastAsia="Times New Roman" w:hAnsi="Calibri" w:cs="Calibri"/>
                <w:sz w:val="20"/>
              </w:rPr>
            </w:pPr>
            <w:r w:rsidRPr="002E1A3F">
              <w:rPr>
                <w:rFonts w:ascii="Calibri" w:eastAsia="Times New Roman" w:hAnsi="Calibri" w:cs="Calibri"/>
                <w:sz w:val="20"/>
              </w:rPr>
              <w:t xml:space="preserve">Support to </w:t>
            </w:r>
            <w:r w:rsidR="00E00B72">
              <w:rPr>
                <w:rFonts w:ascii="Calibri" w:eastAsia="Times New Roman" w:hAnsi="Calibri" w:cs="Calibri"/>
                <w:sz w:val="20"/>
              </w:rPr>
              <w:t>Emerging</w:t>
            </w:r>
            <w:r w:rsidRPr="002E1A3F">
              <w:rPr>
                <w:rFonts w:ascii="Calibri" w:eastAsia="Times New Roman" w:hAnsi="Calibri" w:cs="Calibri"/>
                <w:sz w:val="20"/>
              </w:rPr>
              <w:t xml:space="preserve"> centers (non-ACEs) for networking, regional technical assistance and improving learning environment</w:t>
            </w:r>
          </w:p>
          <w:p w14:paraId="2672EC76" w14:textId="77777777" w:rsidR="002E1A3F" w:rsidRPr="002E1A3F" w:rsidRDefault="002E1A3F" w:rsidP="003247A0">
            <w:pPr>
              <w:rPr>
                <w:rFonts w:ascii="Calibri" w:eastAsia="Times New Roman" w:hAnsi="Calibri" w:cs="Calibri"/>
                <w:sz w:val="20"/>
              </w:rPr>
            </w:pPr>
          </w:p>
          <w:p w14:paraId="21E6429C" w14:textId="77777777" w:rsidR="002E1A3F" w:rsidRPr="002E1A3F" w:rsidRDefault="00B00100" w:rsidP="007118DD">
            <w:pPr>
              <w:rPr>
                <w:rFonts w:ascii="Calibri" w:eastAsia="Times New Roman" w:hAnsi="Calibri" w:cs="Calibri"/>
                <w:sz w:val="20"/>
              </w:rPr>
            </w:pPr>
            <w:r w:rsidRPr="002E1A3F">
              <w:rPr>
                <w:rFonts w:ascii="Calibri" w:eastAsia="Times New Roman" w:hAnsi="Calibri" w:cs="Calibri"/>
                <w:b/>
                <w:bCs/>
                <w:sz w:val="20"/>
              </w:rPr>
              <w:t>Sub-component 2.2</w:t>
            </w:r>
          </w:p>
          <w:p w14:paraId="1996290D" w14:textId="77777777" w:rsidR="002E1A3F" w:rsidRPr="002E1A3F" w:rsidRDefault="00B00100" w:rsidP="00B22FEF">
            <w:pPr>
              <w:rPr>
                <w:rFonts w:ascii="Calibri" w:eastAsia="Times New Roman" w:hAnsi="Calibri" w:cs="Calibri"/>
                <w:sz w:val="20"/>
              </w:rPr>
            </w:pPr>
            <w:r w:rsidRPr="002E1A3F">
              <w:rPr>
                <w:rFonts w:ascii="Calibri" w:eastAsia="Times New Roman" w:hAnsi="Calibri" w:cs="Calibri"/>
                <w:sz w:val="20"/>
              </w:rPr>
              <w:t xml:space="preserve">Support for PhD scholarships through the PASET </w:t>
            </w:r>
            <w:r w:rsidR="000820B3">
              <w:rPr>
                <w:rFonts w:ascii="Calibri" w:eastAsia="Times New Roman" w:hAnsi="Calibri" w:cs="Calibri"/>
                <w:sz w:val="20"/>
              </w:rPr>
              <w:t>RSIF</w:t>
            </w:r>
          </w:p>
        </w:tc>
        <w:tc>
          <w:tcPr>
            <w:tcW w:w="3117" w:type="dxa"/>
            <w:shd w:val="clear" w:color="auto" w:fill="auto"/>
          </w:tcPr>
          <w:p w14:paraId="30B18B0D" w14:textId="77777777" w:rsidR="006F5D9F" w:rsidRPr="006C7DB3" w:rsidRDefault="00B00100" w:rsidP="008E2709">
            <w:pPr>
              <w:rPr>
                <w:rFonts w:asciiTheme="minorHAnsi" w:hAnsiTheme="minorHAnsi" w:cstheme="minorHAnsi"/>
                <w:sz w:val="20"/>
              </w:rPr>
            </w:pPr>
            <w:r w:rsidRPr="006C7DB3">
              <w:rPr>
                <w:rFonts w:asciiTheme="minorHAnsi" w:hAnsiTheme="minorHAnsi" w:cstheme="minorHAnsi"/>
                <w:b/>
                <w:bCs/>
                <w:sz w:val="20"/>
              </w:rPr>
              <w:t>Sub-component 3.1</w:t>
            </w:r>
          </w:p>
          <w:p w14:paraId="26303576" w14:textId="77777777" w:rsidR="006F5D9F" w:rsidRDefault="00B00100" w:rsidP="008E2709">
            <w:pPr>
              <w:rPr>
                <w:rFonts w:asciiTheme="minorHAnsi" w:hAnsiTheme="minorHAnsi" w:cstheme="minorHAnsi"/>
                <w:sz w:val="20"/>
              </w:rPr>
            </w:pPr>
            <w:r w:rsidRPr="006C7DB3">
              <w:rPr>
                <w:rFonts w:asciiTheme="minorHAnsi" w:hAnsiTheme="minorHAnsi" w:cstheme="minorHAnsi"/>
                <w:sz w:val="20"/>
              </w:rPr>
              <w:t xml:space="preserve">Support for project facilitation and M&amp;E at the </w:t>
            </w:r>
            <w:r>
              <w:rPr>
                <w:rFonts w:asciiTheme="minorHAnsi" w:hAnsiTheme="minorHAnsi" w:cstheme="minorHAnsi"/>
                <w:sz w:val="20"/>
              </w:rPr>
              <w:t>r</w:t>
            </w:r>
            <w:r w:rsidRPr="006C7DB3">
              <w:rPr>
                <w:rFonts w:asciiTheme="minorHAnsi" w:hAnsiTheme="minorHAnsi" w:cstheme="minorHAnsi"/>
                <w:sz w:val="20"/>
              </w:rPr>
              <w:t>egional level</w:t>
            </w:r>
          </w:p>
          <w:p w14:paraId="227FAB23" w14:textId="77777777" w:rsidR="006F5D9F" w:rsidRPr="006C7DB3" w:rsidRDefault="006F5D9F" w:rsidP="008E2709">
            <w:pPr>
              <w:rPr>
                <w:rFonts w:asciiTheme="minorHAnsi" w:hAnsiTheme="minorHAnsi" w:cstheme="minorHAnsi"/>
                <w:sz w:val="20"/>
              </w:rPr>
            </w:pPr>
          </w:p>
          <w:p w14:paraId="16D52B32" w14:textId="77777777" w:rsidR="006F5D9F" w:rsidRPr="006C7DB3" w:rsidRDefault="00B00100" w:rsidP="008E2709">
            <w:pPr>
              <w:rPr>
                <w:rFonts w:asciiTheme="minorHAnsi" w:hAnsiTheme="minorHAnsi" w:cstheme="minorHAnsi"/>
                <w:sz w:val="20"/>
              </w:rPr>
            </w:pPr>
            <w:r w:rsidRPr="006C7DB3">
              <w:rPr>
                <w:rFonts w:asciiTheme="minorHAnsi" w:hAnsiTheme="minorHAnsi" w:cstheme="minorHAnsi"/>
                <w:b/>
                <w:bCs/>
                <w:sz w:val="20"/>
              </w:rPr>
              <w:t>Sub-component 3.2</w:t>
            </w:r>
          </w:p>
          <w:p w14:paraId="0AE6C99A" w14:textId="77777777" w:rsidR="002E1A3F" w:rsidRPr="002E1A3F" w:rsidRDefault="00B00100" w:rsidP="001118F8">
            <w:pPr>
              <w:rPr>
                <w:rFonts w:ascii="Calibri" w:eastAsia="Times New Roman" w:hAnsi="Calibri" w:cs="Calibri"/>
                <w:sz w:val="20"/>
              </w:rPr>
            </w:pPr>
            <w:r w:rsidRPr="006C7DB3">
              <w:rPr>
                <w:rFonts w:asciiTheme="minorHAnsi" w:hAnsiTheme="minorHAnsi" w:cstheme="minorHAnsi"/>
                <w:sz w:val="20"/>
              </w:rPr>
              <w:t>Support for national level coordination (</w:t>
            </w:r>
            <w:r>
              <w:rPr>
                <w:rFonts w:asciiTheme="minorHAnsi" w:hAnsiTheme="minorHAnsi" w:cstheme="minorHAnsi"/>
                <w:sz w:val="20"/>
              </w:rPr>
              <w:t>Nigeria</w:t>
            </w:r>
            <w:r w:rsidRPr="006C7DB3">
              <w:rPr>
                <w:rFonts w:asciiTheme="minorHAnsi" w:hAnsiTheme="minorHAnsi" w:cstheme="minorHAnsi"/>
                <w:sz w:val="20"/>
              </w:rPr>
              <w:t xml:space="preserve"> and </w:t>
            </w:r>
            <w:r w:rsidR="003773CF">
              <w:rPr>
                <w:rFonts w:asciiTheme="minorHAnsi" w:hAnsiTheme="minorHAnsi" w:cstheme="minorHAnsi"/>
                <w:sz w:val="20"/>
              </w:rPr>
              <w:t>T</w:t>
            </w:r>
            <w:r>
              <w:rPr>
                <w:rFonts w:asciiTheme="minorHAnsi" w:hAnsiTheme="minorHAnsi" w:cstheme="minorHAnsi"/>
                <w:sz w:val="20"/>
              </w:rPr>
              <w:t xml:space="preserve">he </w:t>
            </w:r>
            <w:r w:rsidRPr="006C7DB3">
              <w:rPr>
                <w:rFonts w:asciiTheme="minorHAnsi" w:hAnsiTheme="minorHAnsi" w:cstheme="minorHAnsi"/>
                <w:sz w:val="20"/>
              </w:rPr>
              <w:t>G</w:t>
            </w:r>
            <w:r w:rsidR="00172D22">
              <w:rPr>
                <w:rFonts w:asciiTheme="minorHAnsi" w:hAnsiTheme="minorHAnsi" w:cstheme="minorHAnsi"/>
                <w:sz w:val="20"/>
              </w:rPr>
              <w:t>ambia</w:t>
            </w:r>
            <w:r w:rsidRPr="006C7DB3">
              <w:rPr>
                <w:rFonts w:asciiTheme="minorHAnsi" w:hAnsiTheme="minorHAnsi" w:cstheme="minorHAnsi"/>
                <w:sz w:val="20"/>
              </w:rPr>
              <w:t>) by government</w:t>
            </w:r>
            <w:r w:rsidR="000820B3">
              <w:rPr>
                <w:rFonts w:asciiTheme="minorHAnsi" w:hAnsiTheme="minorHAnsi" w:cstheme="minorHAnsi"/>
                <w:sz w:val="20"/>
              </w:rPr>
              <w:t>-</w:t>
            </w:r>
            <w:r w:rsidRPr="006C7DB3">
              <w:rPr>
                <w:rFonts w:asciiTheme="minorHAnsi" w:hAnsiTheme="minorHAnsi" w:cstheme="minorHAnsi"/>
                <w:sz w:val="20"/>
              </w:rPr>
              <w:t>designated national higher education agencies</w:t>
            </w:r>
          </w:p>
        </w:tc>
      </w:tr>
    </w:tbl>
    <w:p w14:paraId="50D5FBBE" w14:textId="77777777" w:rsidR="00537E29" w:rsidRPr="00126CD2" w:rsidRDefault="00B00100" w:rsidP="008E2709">
      <w:pPr>
        <w:widowControl/>
        <w:numPr>
          <w:ilvl w:val="0"/>
          <w:numId w:val="7"/>
        </w:numPr>
        <w:tabs>
          <w:tab w:val="left" w:pos="0"/>
          <w:tab w:val="left" w:pos="720"/>
        </w:tabs>
        <w:autoSpaceDE/>
        <w:autoSpaceDN/>
        <w:adjustRightInd/>
        <w:spacing w:before="120" w:after="160"/>
        <w:ind w:left="0" w:firstLine="0"/>
        <w:jc w:val="both"/>
        <w:rPr>
          <w:rFonts w:ascii="Calibri" w:eastAsia="Times New Roman" w:hAnsi="Calibri" w:cs="Calibri"/>
          <w:bCs/>
          <w:color w:val="2E74B5"/>
          <w:sz w:val="22"/>
          <w:szCs w:val="22"/>
        </w:rPr>
      </w:pPr>
      <w:r>
        <w:rPr>
          <w:rFonts w:ascii="Calibri" w:eastAsia="Times New Roman" w:hAnsi="Calibri" w:cs="Calibri"/>
          <w:b/>
          <w:bCs/>
          <w:spacing w:val="-1"/>
          <w:sz w:val="22"/>
          <w:szCs w:val="22"/>
        </w:rPr>
        <w:t>In both Nigeria and Benin, AFD participated in the project technical discussions with the centers and government representatives, organized by the World Bank.</w:t>
      </w:r>
      <w:r>
        <w:rPr>
          <w:rFonts w:ascii="Calibri" w:eastAsia="Times New Roman" w:hAnsi="Calibri" w:cs="Calibri"/>
          <w:bCs/>
          <w:color w:val="2E74B5"/>
          <w:sz w:val="22"/>
          <w:szCs w:val="22"/>
        </w:rPr>
        <w:t xml:space="preserve"> </w:t>
      </w:r>
      <w:r w:rsidRPr="003A6D8D">
        <w:rPr>
          <w:rFonts w:ascii="Calibri" w:eastAsia="Times New Roman" w:hAnsi="Calibri" w:cs="Calibri"/>
          <w:bCs/>
          <w:color w:val="auto"/>
          <w:sz w:val="22"/>
          <w:szCs w:val="22"/>
        </w:rPr>
        <w:t xml:space="preserve">Funds from AFD for </w:t>
      </w:r>
      <w:r w:rsidRPr="00B66B7C">
        <w:rPr>
          <w:rFonts w:ascii="Calibri" w:eastAsia="Times New Roman" w:hAnsi="Calibri" w:cs="Calibri"/>
          <w:bCs/>
          <w:color w:val="auto"/>
          <w:sz w:val="22"/>
          <w:szCs w:val="22"/>
        </w:rPr>
        <w:t xml:space="preserve">Nigeria (EUR </w:t>
      </w:r>
      <w:r>
        <w:rPr>
          <w:rFonts w:ascii="Calibri" w:eastAsia="Times New Roman" w:hAnsi="Calibri" w:cs="Calibri"/>
          <w:bCs/>
          <w:color w:val="auto"/>
          <w:sz w:val="22"/>
          <w:szCs w:val="22"/>
        </w:rPr>
        <w:t>35.6</w:t>
      </w:r>
      <w:r w:rsidRPr="00B66B7C">
        <w:rPr>
          <w:rFonts w:ascii="Calibri" w:eastAsia="Times New Roman" w:hAnsi="Calibri" w:cs="Calibri"/>
          <w:bCs/>
          <w:color w:val="auto"/>
          <w:sz w:val="22"/>
          <w:szCs w:val="22"/>
        </w:rPr>
        <w:t xml:space="preserve"> million; US$4</w:t>
      </w:r>
      <w:r>
        <w:rPr>
          <w:rFonts w:ascii="Calibri" w:eastAsia="Times New Roman" w:hAnsi="Calibri" w:cs="Calibri"/>
          <w:bCs/>
          <w:color w:val="auto"/>
          <w:sz w:val="22"/>
          <w:szCs w:val="22"/>
        </w:rPr>
        <w:t>0</w:t>
      </w:r>
      <w:r w:rsidRPr="00B66B7C">
        <w:rPr>
          <w:rFonts w:ascii="Calibri" w:eastAsia="Times New Roman" w:hAnsi="Calibri" w:cs="Calibri"/>
          <w:bCs/>
          <w:color w:val="auto"/>
          <w:sz w:val="22"/>
          <w:szCs w:val="22"/>
        </w:rPr>
        <w:t xml:space="preserve"> million</w:t>
      </w:r>
      <w:r>
        <w:rPr>
          <w:rFonts w:ascii="Calibri" w:eastAsia="Times New Roman" w:hAnsi="Calibri" w:cs="Calibri"/>
          <w:bCs/>
          <w:color w:val="auto"/>
          <w:sz w:val="22"/>
          <w:szCs w:val="22"/>
        </w:rPr>
        <w:t xml:space="preserve"> </w:t>
      </w:r>
      <w:r w:rsidRPr="00B66B7C">
        <w:rPr>
          <w:rFonts w:ascii="Calibri" w:eastAsia="Times New Roman" w:hAnsi="Calibri" w:cs="Calibri"/>
          <w:bCs/>
          <w:color w:val="auto"/>
          <w:sz w:val="22"/>
          <w:szCs w:val="22"/>
        </w:rPr>
        <w:t>equivalent) and Benin (EUR 10 million; US$11.2 million</w:t>
      </w:r>
      <w:r>
        <w:rPr>
          <w:rFonts w:ascii="Calibri" w:eastAsia="Times New Roman" w:hAnsi="Calibri" w:cs="Calibri"/>
          <w:bCs/>
          <w:color w:val="auto"/>
          <w:sz w:val="22"/>
          <w:szCs w:val="22"/>
        </w:rPr>
        <w:t xml:space="preserve"> </w:t>
      </w:r>
      <w:r w:rsidRPr="00B66B7C">
        <w:rPr>
          <w:rFonts w:ascii="Calibri" w:eastAsia="Times New Roman" w:hAnsi="Calibri" w:cs="Calibri"/>
          <w:bCs/>
          <w:color w:val="auto"/>
          <w:sz w:val="22"/>
          <w:szCs w:val="22"/>
        </w:rPr>
        <w:t xml:space="preserve">equivalent) </w:t>
      </w:r>
      <w:r>
        <w:rPr>
          <w:rFonts w:ascii="Calibri" w:eastAsia="Times New Roman" w:hAnsi="Calibri" w:cs="Calibri"/>
          <w:bCs/>
          <w:color w:val="auto"/>
          <w:sz w:val="22"/>
          <w:szCs w:val="22"/>
        </w:rPr>
        <w:t>are expected to be approved by the AFD Board of Directors in December 2019 and January 2020, respectively</w:t>
      </w:r>
      <w:r w:rsidRPr="00B66B7C">
        <w:rPr>
          <w:rFonts w:ascii="Calibri" w:eastAsia="Times New Roman" w:hAnsi="Calibri" w:cs="Calibri"/>
          <w:bCs/>
          <w:color w:val="auto"/>
          <w:sz w:val="22"/>
          <w:szCs w:val="22"/>
        </w:rPr>
        <w:t xml:space="preserve">. In both countries, AFD and the World Bank will jointly contribute to the funding of the results in select centers, according to the proportion of their overall funding to each of those centers. The World Bank and AFD </w:t>
      </w:r>
      <w:r>
        <w:rPr>
          <w:rFonts w:ascii="Calibri" w:eastAsia="Times New Roman" w:hAnsi="Calibri" w:cs="Calibri"/>
          <w:bCs/>
          <w:color w:val="auto"/>
          <w:sz w:val="22"/>
          <w:szCs w:val="22"/>
        </w:rPr>
        <w:t>signed</w:t>
      </w:r>
      <w:r w:rsidRPr="00B66B7C">
        <w:rPr>
          <w:rFonts w:ascii="Calibri" w:eastAsia="Times New Roman" w:hAnsi="Calibri" w:cs="Calibri"/>
          <w:bCs/>
          <w:color w:val="auto"/>
          <w:sz w:val="22"/>
          <w:szCs w:val="22"/>
        </w:rPr>
        <w:t xml:space="preserve"> a co-financing framework agreement </w:t>
      </w:r>
      <w:r>
        <w:rPr>
          <w:rFonts w:ascii="Calibri" w:eastAsia="Times New Roman" w:hAnsi="Calibri" w:cs="Calibri"/>
          <w:bCs/>
          <w:color w:val="auto"/>
          <w:sz w:val="22"/>
          <w:szCs w:val="22"/>
        </w:rPr>
        <w:t>on</w:t>
      </w:r>
      <w:r w:rsidRPr="00B66B7C">
        <w:rPr>
          <w:rFonts w:ascii="Calibri" w:eastAsia="Times New Roman" w:hAnsi="Calibri" w:cs="Calibri"/>
          <w:bCs/>
          <w:color w:val="auto"/>
          <w:sz w:val="22"/>
          <w:szCs w:val="22"/>
        </w:rPr>
        <w:t xml:space="preserve"> June 13, 2018. Further, the World Bank and AFD will negotiate </w:t>
      </w:r>
      <w:r>
        <w:rPr>
          <w:rFonts w:ascii="Calibri" w:eastAsia="Times New Roman" w:hAnsi="Calibri" w:cs="Calibri"/>
          <w:bCs/>
          <w:color w:val="auto"/>
          <w:sz w:val="22"/>
          <w:szCs w:val="22"/>
        </w:rPr>
        <w:t xml:space="preserve">and sign </w:t>
      </w:r>
      <w:r w:rsidRPr="00B66B7C">
        <w:rPr>
          <w:rFonts w:ascii="Calibri" w:eastAsia="Times New Roman" w:hAnsi="Calibri" w:cs="Calibri"/>
          <w:bCs/>
          <w:color w:val="auto"/>
          <w:sz w:val="22"/>
          <w:szCs w:val="22"/>
        </w:rPr>
        <w:t xml:space="preserve">a co-financing agreement specific to the proposed Second ACE Impact </w:t>
      </w:r>
      <w:r>
        <w:rPr>
          <w:rFonts w:ascii="Calibri" w:eastAsia="Times New Roman" w:hAnsi="Calibri" w:cs="Calibri"/>
          <w:bCs/>
          <w:color w:val="auto"/>
          <w:sz w:val="22"/>
          <w:szCs w:val="22"/>
        </w:rPr>
        <w:t>P</w:t>
      </w:r>
      <w:r w:rsidRPr="00B66B7C">
        <w:rPr>
          <w:rFonts w:ascii="Calibri" w:eastAsia="Times New Roman" w:hAnsi="Calibri" w:cs="Calibri"/>
          <w:bCs/>
          <w:color w:val="auto"/>
          <w:sz w:val="22"/>
          <w:szCs w:val="22"/>
        </w:rPr>
        <w:t xml:space="preserve">roject, which </w:t>
      </w:r>
      <w:r>
        <w:rPr>
          <w:rFonts w:ascii="Calibri" w:eastAsia="Times New Roman" w:hAnsi="Calibri" w:cs="Calibri"/>
          <w:bCs/>
          <w:color w:val="auto"/>
          <w:sz w:val="22"/>
          <w:szCs w:val="22"/>
        </w:rPr>
        <w:t>will</w:t>
      </w:r>
      <w:r w:rsidRPr="00B66B7C">
        <w:rPr>
          <w:rFonts w:ascii="Calibri" w:eastAsia="Times New Roman" w:hAnsi="Calibri" w:cs="Calibri"/>
          <w:bCs/>
          <w:color w:val="auto"/>
          <w:sz w:val="22"/>
          <w:szCs w:val="22"/>
        </w:rPr>
        <w:t xml:space="preserve"> aim to define, among others, services related to</w:t>
      </w:r>
      <w:r>
        <w:rPr>
          <w:rFonts w:ascii="Calibri" w:eastAsia="Times New Roman" w:hAnsi="Calibri" w:cs="Calibri"/>
          <w:bCs/>
          <w:color w:val="auto"/>
          <w:sz w:val="22"/>
          <w:szCs w:val="22"/>
        </w:rPr>
        <w:t xml:space="preserve"> </w:t>
      </w:r>
      <w:r w:rsidRPr="00B66B7C">
        <w:rPr>
          <w:rFonts w:ascii="Calibri" w:eastAsia="Times New Roman" w:hAnsi="Calibri" w:cs="Calibri"/>
          <w:bCs/>
          <w:color w:val="auto"/>
          <w:sz w:val="22"/>
          <w:szCs w:val="22"/>
        </w:rPr>
        <w:t xml:space="preserve">project implementation that the World Bank </w:t>
      </w:r>
      <w:r>
        <w:rPr>
          <w:rFonts w:ascii="Calibri" w:eastAsia="Times New Roman" w:hAnsi="Calibri" w:cs="Calibri"/>
          <w:bCs/>
          <w:color w:val="auto"/>
          <w:sz w:val="22"/>
          <w:szCs w:val="22"/>
        </w:rPr>
        <w:t>will</w:t>
      </w:r>
      <w:r w:rsidRPr="00B66B7C">
        <w:rPr>
          <w:rFonts w:ascii="Calibri" w:eastAsia="Times New Roman" w:hAnsi="Calibri" w:cs="Calibri"/>
          <w:bCs/>
          <w:color w:val="auto"/>
          <w:sz w:val="22"/>
          <w:szCs w:val="22"/>
        </w:rPr>
        <w:t xml:space="preserve"> provide to AFD and the related fees to be paid by AFD</w:t>
      </w:r>
      <w:r>
        <w:rPr>
          <w:rFonts w:ascii="Calibri" w:eastAsia="Times New Roman" w:hAnsi="Calibri" w:cs="Calibri"/>
          <w:bCs/>
          <w:color w:val="auto"/>
          <w:sz w:val="22"/>
          <w:szCs w:val="22"/>
        </w:rPr>
        <w:t xml:space="preserve"> to the World Bank (see A</w:t>
      </w:r>
      <w:r w:rsidRPr="00C06819">
        <w:rPr>
          <w:rFonts w:ascii="Calibri" w:eastAsia="Times New Roman" w:hAnsi="Calibri" w:cs="Calibri"/>
          <w:bCs/>
          <w:color w:val="auto"/>
          <w:sz w:val="22"/>
          <w:szCs w:val="22"/>
        </w:rPr>
        <w:t xml:space="preserve">nnex </w:t>
      </w:r>
      <w:r>
        <w:rPr>
          <w:rFonts w:ascii="Calibri" w:eastAsia="Times New Roman" w:hAnsi="Calibri" w:cs="Calibri"/>
          <w:bCs/>
          <w:color w:val="auto"/>
          <w:sz w:val="22"/>
          <w:szCs w:val="22"/>
        </w:rPr>
        <w:t xml:space="preserve">8 for further details). </w:t>
      </w:r>
    </w:p>
    <w:p w14:paraId="3C278BE7" w14:textId="645D9D01" w:rsidR="0049099D" w:rsidRDefault="00B00100" w:rsidP="008E2709">
      <w:pPr>
        <w:widowControl/>
        <w:numPr>
          <w:ilvl w:val="0"/>
          <w:numId w:val="7"/>
        </w:numPr>
        <w:tabs>
          <w:tab w:val="left" w:pos="0"/>
          <w:tab w:val="left" w:pos="720"/>
        </w:tabs>
        <w:autoSpaceDE/>
        <w:autoSpaceDN/>
        <w:adjustRightInd/>
        <w:spacing w:before="120" w:after="160"/>
        <w:ind w:left="0" w:firstLine="0"/>
        <w:jc w:val="both"/>
        <w:rPr>
          <w:rFonts w:ascii="Calibri" w:eastAsia="Times New Roman" w:hAnsi="Calibri" w:cs="Calibri"/>
          <w:bCs/>
          <w:color w:val="auto"/>
          <w:sz w:val="22"/>
          <w:szCs w:val="22"/>
        </w:rPr>
      </w:pPr>
      <w:r w:rsidRPr="00537E29">
        <w:rPr>
          <w:rFonts w:ascii="Calibri" w:eastAsia="Times New Roman" w:hAnsi="Calibri" w:cs="Calibri"/>
          <w:b/>
          <w:bCs/>
          <w:color w:val="auto"/>
          <w:sz w:val="22"/>
          <w:szCs w:val="22"/>
        </w:rPr>
        <w:t>In Côte d’Ivoire, a complementary project which will support four ACEs (three of which have been supported by the World Bank under the ACE I Project) has been prepared by and will be solely funded by AFD in the amount of EUR 18 million (US$21 million equivalent)</w:t>
      </w:r>
      <w:r w:rsidRPr="00B66B7C">
        <w:rPr>
          <w:rFonts w:ascii="Calibri" w:eastAsia="Times New Roman" w:hAnsi="Calibri" w:cs="Calibri"/>
          <w:bCs/>
          <w:color w:val="auto"/>
          <w:sz w:val="22"/>
          <w:szCs w:val="22"/>
        </w:rPr>
        <w:t xml:space="preserve">. </w:t>
      </w:r>
      <w:r>
        <w:rPr>
          <w:rFonts w:ascii="Calibri" w:eastAsia="Times New Roman" w:hAnsi="Calibri" w:cs="Calibri"/>
          <w:bCs/>
          <w:color w:val="auto"/>
          <w:sz w:val="22"/>
          <w:szCs w:val="22"/>
        </w:rPr>
        <w:t xml:space="preserve">However, Côte d’Ivoire will be invited to participate in the regional activities and will be able to benefit from </w:t>
      </w:r>
      <w:r w:rsidRPr="00D07FFC">
        <w:rPr>
          <w:rFonts w:ascii="Calibri" w:eastAsia="Times New Roman" w:hAnsi="Calibri" w:cs="Calibri"/>
          <w:bCs/>
          <w:color w:val="auto"/>
          <w:sz w:val="22"/>
          <w:szCs w:val="22"/>
        </w:rPr>
        <w:t>select technical services</w:t>
      </w:r>
      <w:r>
        <w:rPr>
          <w:rFonts w:ascii="Calibri" w:eastAsia="Times New Roman" w:hAnsi="Calibri" w:cs="Calibri"/>
          <w:bCs/>
          <w:color w:val="auto"/>
          <w:sz w:val="22"/>
          <w:szCs w:val="22"/>
        </w:rPr>
        <w:t xml:space="preserve"> </w:t>
      </w:r>
      <w:r>
        <w:rPr>
          <w:rFonts w:ascii="Calibri" w:eastAsia="Times New Roman" w:hAnsi="Calibri" w:cs="Calibri"/>
          <w:bCs/>
          <w:color w:val="auto"/>
          <w:sz w:val="22"/>
          <w:szCs w:val="22"/>
        </w:rPr>
        <w:lastRenderedPageBreak/>
        <w:t>(all services except those related to fiduciary aspects – FM, procurement and safeguards) provided by the RFU under both ACE Impact projects</w:t>
      </w:r>
      <w:r w:rsidRPr="00D07FFC">
        <w:rPr>
          <w:rFonts w:ascii="Calibri" w:eastAsia="Times New Roman" w:hAnsi="Calibri" w:cs="Calibri"/>
          <w:bCs/>
          <w:color w:val="auto"/>
          <w:sz w:val="22"/>
          <w:szCs w:val="22"/>
        </w:rPr>
        <w:t>.</w:t>
      </w:r>
      <w:r>
        <w:rPr>
          <w:rFonts w:ascii="Calibri" w:eastAsia="Times New Roman" w:hAnsi="Calibri" w:cs="Calibri"/>
          <w:bCs/>
          <w:color w:val="auto"/>
          <w:sz w:val="22"/>
          <w:szCs w:val="22"/>
        </w:rPr>
        <w:t xml:space="preserve"> See Annex 8 for further details.</w:t>
      </w:r>
    </w:p>
    <w:p w14:paraId="765D2E10" w14:textId="77777777" w:rsidR="009B1626" w:rsidRPr="008E2709" w:rsidRDefault="009B1626" w:rsidP="009B1626">
      <w:pPr>
        <w:widowControl/>
        <w:tabs>
          <w:tab w:val="left" w:pos="0"/>
          <w:tab w:val="left" w:pos="720"/>
        </w:tabs>
        <w:autoSpaceDE/>
        <w:autoSpaceDN/>
        <w:adjustRightInd/>
        <w:spacing w:before="120" w:after="160"/>
        <w:jc w:val="both"/>
        <w:rPr>
          <w:rFonts w:ascii="Calibri" w:eastAsia="Times New Roman" w:hAnsi="Calibri" w:cs="Calibri"/>
          <w:bCs/>
          <w:color w:val="auto"/>
          <w:sz w:val="22"/>
          <w:szCs w:val="22"/>
        </w:rPr>
      </w:pPr>
    </w:p>
    <w:p w14:paraId="542EFBA0" w14:textId="77777777" w:rsidR="002E1A3F" w:rsidRPr="007028A5" w:rsidRDefault="00B00100" w:rsidP="001118F8">
      <w:pPr>
        <w:widowControl/>
        <w:autoSpaceDE/>
        <w:autoSpaceDN/>
        <w:adjustRightInd/>
        <w:spacing w:after="160"/>
        <w:jc w:val="both"/>
        <w:rPr>
          <w:rFonts w:ascii="Calibri" w:eastAsia="Times New Roman" w:hAnsi="Calibri" w:cs="Calibri"/>
          <w:spacing w:val="-1"/>
          <w:sz w:val="22"/>
          <w:szCs w:val="22"/>
        </w:rPr>
      </w:pPr>
      <w:r w:rsidRPr="007028A5">
        <w:rPr>
          <w:rFonts w:ascii="Calibri" w:eastAsia="Times New Roman" w:hAnsi="Calibri" w:cs="Calibri"/>
          <w:b/>
          <w:bCs/>
          <w:color w:val="2E74B5"/>
          <w:sz w:val="22"/>
          <w:szCs w:val="22"/>
        </w:rPr>
        <w:t xml:space="preserve">Component 1:  Establishing </w:t>
      </w:r>
      <w:r w:rsidR="000A5DA3">
        <w:rPr>
          <w:rFonts w:ascii="Calibri" w:eastAsia="Times New Roman" w:hAnsi="Calibri" w:cs="Calibri"/>
          <w:b/>
          <w:bCs/>
          <w:color w:val="2E74B5"/>
          <w:sz w:val="22"/>
          <w:szCs w:val="22"/>
        </w:rPr>
        <w:t>n</w:t>
      </w:r>
      <w:r w:rsidRPr="007028A5">
        <w:rPr>
          <w:rFonts w:ascii="Calibri" w:eastAsia="Times New Roman" w:hAnsi="Calibri" w:cs="Calibri"/>
          <w:b/>
          <w:bCs/>
          <w:color w:val="2E74B5"/>
          <w:sz w:val="22"/>
          <w:szCs w:val="22"/>
        </w:rPr>
        <w:t>ew and scaling up well-performing existing Africa Centers of Excellence for development impact (</w:t>
      </w:r>
      <w:r w:rsidRPr="006C70A5">
        <w:rPr>
          <w:rFonts w:ascii="Calibri" w:eastAsia="Times New Roman" w:hAnsi="Calibri" w:cs="Calibri"/>
          <w:b/>
          <w:bCs/>
          <w:i/>
          <w:color w:val="2E74B5"/>
          <w:sz w:val="22"/>
          <w:szCs w:val="22"/>
        </w:rPr>
        <w:t>Total: US$2</w:t>
      </w:r>
      <w:r w:rsidR="00F53F69" w:rsidRPr="006C70A5">
        <w:rPr>
          <w:rFonts w:ascii="Calibri" w:eastAsia="Times New Roman" w:hAnsi="Calibri" w:cs="Calibri"/>
          <w:b/>
          <w:bCs/>
          <w:i/>
          <w:color w:val="2E74B5"/>
          <w:sz w:val="22"/>
          <w:szCs w:val="22"/>
        </w:rPr>
        <w:t>60</w:t>
      </w:r>
      <w:r w:rsidRPr="006C70A5">
        <w:rPr>
          <w:rFonts w:ascii="Calibri" w:eastAsia="Times New Roman" w:hAnsi="Calibri" w:cs="Calibri"/>
          <w:b/>
          <w:i/>
          <w:color w:val="2E74B5"/>
          <w:sz w:val="22"/>
          <w:szCs w:val="22"/>
        </w:rPr>
        <w:t xml:space="preserve"> million </w:t>
      </w:r>
      <w:r w:rsidR="005F73CC" w:rsidRPr="006C70A5">
        <w:rPr>
          <w:rFonts w:ascii="Calibri" w:eastAsia="Times New Roman" w:hAnsi="Calibri" w:cs="Calibri"/>
          <w:b/>
          <w:i/>
          <w:color w:val="2E74B5"/>
          <w:sz w:val="22"/>
          <w:szCs w:val="22"/>
        </w:rPr>
        <w:t xml:space="preserve">equivalent </w:t>
      </w:r>
      <w:r w:rsidRPr="006C70A5">
        <w:rPr>
          <w:rFonts w:ascii="Calibri" w:eastAsia="Times New Roman" w:hAnsi="Calibri" w:cs="Calibri"/>
          <w:b/>
          <w:bCs/>
          <w:i/>
          <w:color w:val="2E74B5"/>
          <w:sz w:val="22"/>
          <w:szCs w:val="22"/>
        </w:rPr>
        <w:t xml:space="preserve">of which IDA </w:t>
      </w:r>
      <w:r w:rsidR="00CF7383" w:rsidRPr="006C70A5">
        <w:rPr>
          <w:rFonts w:ascii="Calibri" w:eastAsia="Times New Roman" w:hAnsi="Calibri" w:cs="Calibri"/>
          <w:b/>
          <w:bCs/>
          <w:i/>
          <w:color w:val="2E74B5"/>
          <w:sz w:val="22"/>
          <w:szCs w:val="22"/>
        </w:rPr>
        <w:t>US$</w:t>
      </w:r>
      <w:r w:rsidR="0046287C" w:rsidRPr="006C70A5">
        <w:rPr>
          <w:rFonts w:ascii="Calibri" w:eastAsia="Times New Roman" w:hAnsi="Calibri" w:cs="Calibri"/>
          <w:b/>
          <w:bCs/>
          <w:i/>
          <w:color w:val="2E74B5"/>
          <w:sz w:val="22"/>
          <w:szCs w:val="22"/>
        </w:rPr>
        <w:t>7</w:t>
      </w:r>
      <w:r w:rsidR="006F437E" w:rsidRPr="006C70A5">
        <w:rPr>
          <w:rFonts w:ascii="Calibri" w:eastAsia="Times New Roman" w:hAnsi="Calibri" w:cs="Calibri"/>
          <w:b/>
          <w:bCs/>
          <w:i/>
          <w:color w:val="2E74B5"/>
          <w:sz w:val="22"/>
          <w:szCs w:val="22"/>
        </w:rPr>
        <w:t>8</w:t>
      </w:r>
      <w:r w:rsidR="0090117D" w:rsidRPr="006C70A5">
        <w:rPr>
          <w:rFonts w:ascii="Calibri" w:eastAsia="Times New Roman" w:hAnsi="Calibri" w:cs="Calibri"/>
          <w:b/>
          <w:bCs/>
          <w:i/>
          <w:color w:val="2E74B5"/>
          <w:sz w:val="22"/>
          <w:szCs w:val="22"/>
        </w:rPr>
        <w:t>.8</w:t>
      </w:r>
      <w:r w:rsidR="00CF7383" w:rsidRPr="006C70A5">
        <w:rPr>
          <w:rFonts w:ascii="Calibri" w:eastAsia="Times New Roman" w:hAnsi="Calibri" w:cs="Calibri"/>
          <w:b/>
          <w:bCs/>
          <w:i/>
          <w:color w:val="2E74B5"/>
          <w:sz w:val="22"/>
          <w:szCs w:val="22"/>
        </w:rPr>
        <w:t xml:space="preserve"> million</w:t>
      </w:r>
      <w:r w:rsidR="00B96703" w:rsidRPr="006C70A5">
        <w:rPr>
          <w:rFonts w:ascii="Calibri" w:eastAsia="Times New Roman" w:hAnsi="Calibri" w:cs="Calibri"/>
          <w:b/>
          <w:bCs/>
          <w:i/>
          <w:color w:val="2E74B5"/>
          <w:sz w:val="22"/>
          <w:szCs w:val="22"/>
        </w:rPr>
        <w:t xml:space="preserve"> equivalent</w:t>
      </w:r>
      <w:r w:rsidR="00D834D1" w:rsidRPr="006C70A5">
        <w:rPr>
          <w:rFonts w:ascii="Calibri" w:eastAsia="Times New Roman" w:hAnsi="Calibri" w:cs="Calibri"/>
          <w:b/>
          <w:bCs/>
          <w:i/>
          <w:color w:val="2E74B5"/>
          <w:sz w:val="22"/>
          <w:szCs w:val="22"/>
        </w:rPr>
        <w:t>, AFD</w:t>
      </w:r>
      <w:r w:rsidR="003C3AF6" w:rsidRPr="006C70A5">
        <w:rPr>
          <w:rFonts w:ascii="Calibri" w:eastAsia="Times New Roman" w:hAnsi="Calibri" w:cs="Calibri"/>
          <w:b/>
          <w:bCs/>
          <w:i/>
          <w:color w:val="2E74B5"/>
          <w:sz w:val="22"/>
          <w:szCs w:val="22"/>
        </w:rPr>
        <w:t xml:space="preserve"> co-fina</w:t>
      </w:r>
      <w:r w:rsidR="004A32A6" w:rsidRPr="006C70A5">
        <w:rPr>
          <w:rFonts w:ascii="Calibri" w:eastAsia="Times New Roman" w:hAnsi="Calibri" w:cs="Calibri"/>
          <w:b/>
          <w:bCs/>
          <w:i/>
          <w:color w:val="2E74B5"/>
          <w:sz w:val="22"/>
          <w:szCs w:val="22"/>
        </w:rPr>
        <w:t>ncing</w:t>
      </w:r>
      <w:r w:rsidR="00D834D1" w:rsidRPr="006C70A5">
        <w:rPr>
          <w:rFonts w:ascii="Calibri" w:eastAsia="Times New Roman" w:hAnsi="Calibri" w:cs="Calibri"/>
          <w:b/>
          <w:bCs/>
          <w:i/>
          <w:color w:val="2E74B5"/>
          <w:sz w:val="22"/>
          <w:szCs w:val="22"/>
        </w:rPr>
        <w:t xml:space="preserve"> </w:t>
      </w:r>
      <w:r w:rsidR="00CF7383" w:rsidRPr="006C70A5">
        <w:rPr>
          <w:rFonts w:ascii="Calibri" w:eastAsia="Times New Roman" w:hAnsi="Calibri" w:cs="Calibri"/>
          <w:b/>
          <w:bCs/>
          <w:i/>
          <w:color w:val="2E74B5"/>
          <w:sz w:val="22"/>
          <w:szCs w:val="22"/>
        </w:rPr>
        <w:t>US$</w:t>
      </w:r>
      <w:r w:rsidR="0090117D" w:rsidRPr="006C70A5">
        <w:rPr>
          <w:rFonts w:ascii="Calibri" w:eastAsia="Times New Roman" w:hAnsi="Calibri" w:cs="Calibri"/>
          <w:b/>
          <w:bCs/>
          <w:i/>
          <w:color w:val="2E74B5"/>
          <w:sz w:val="22"/>
          <w:szCs w:val="22"/>
        </w:rPr>
        <w:t>51.2</w:t>
      </w:r>
      <w:r w:rsidR="00CF7383" w:rsidRPr="006C70A5">
        <w:rPr>
          <w:rFonts w:ascii="Calibri" w:eastAsia="Times New Roman" w:hAnsi="Calibri" w:cs="Calibri"/>
          <w:b/>
          <w:bCs/>
          <w:i/>
          <w:color w:val="2E74B5"/>
          <w:sz w:val="22"/>
          <w:szCs w:val="22"/>
        </w:rPr>
        <w:t xml:space="preserve"> million </w:t>
      </w:r>
      <w:r w:rsidR="00B96703" w:rsidRPr="006C70A5">
        <w:rPr>
          <w:rFonts w:ascii="Calibri" w:eastAsia="Times New Roman" w:hAnsi="Calibri" w:cs="Calibri"/>
          <w:b/>
          <w:bCs/>
          <w:i/>
          <w:color w:val="2E74B5"/>
          <w:sz w:val="22"/>
          <w:szCs w:val="22"/>
        </w:rPr>
        <w:t xml:space="preserve">equivalent </w:t>
      </w:r>
      <w:r w:rsidRPr="006C70A5">
        <w:rPr>
          <w:rFonts w:ascii="Calibri" w:eastAsia="Times New Roman" w:hAnsi="Calibri" w:cs="Calibri"/>
          <w:b/>
          <w:bCs/>
          <w:i/>
          <w:color w:val="2E74B5"/>
          <w:sz w:val="22"/>
          <w:szCs w:val="22"/>
        </w:rPr>
        <w:t>and government contribution</w:t>
      </w:r>
      <w:r w:rsidR="000202C2" w:rsidRPr="006C70A5">
        <w:rPr>
          <w:rFonts w:ascii="Calibri" w:eastAsia="Times New Roman" w:hAnsi="Calibri" w:cs="Calibri"/>
          <w:b/>
          <w:bCs/>
          <w:i/>
          <w:color w:val="2E74B5"/>
          <w:sz w:val="22"/>
          <w:szCs w:val="22"/>
        </w:rPr>
        <w:t xml:space="preserve"> </w:t>
      </w:r>
      <w:r w:rsidR="00CF7383" w:rsidRPr="006C70A5">
        <w:rPr>
          <w:rFonts w:ascii="Calibri" w:eastAsia="Times New Roman" w:hAnsi="Calibri" w:cs="Calibri"/>
          <w:b/>
          <w:bCs/>
          <w:i/>
          <w:color w:val="2E74B5"/>
          <w:sz w:val="22"/>
          <w:szCs w:val="22"/>
        </w:rPr>
        <w:t>US$</w:t>
      </w:r>
      <w:r w:rsidR="0090117D" w:rsidRPr="006C70A5">
        <w:rPr>
          <w:rFonts w:ascii="Calibri" w:eastAsia="Times New Roman" w:hAnsi="Calibri" w:cs="Calibri"/>
          <w:b/>
          <w:bCs/>
          <w:i/>
          <w:color w:val="2E74B5"/>
          <w:sz w:val="22"/>
          <w:szCs w:val="22"/>
        </w:rPr>
        <w:t>1</w:t>
      </w:r>
      <w:r w:rsidR="00510526" w:rsidRPr="006C70A5">
        <w:rPr>
          <w:rFonts w:ascii="Calibri" w:eastAsia="Times New Roman" w:hAnsi="Calibri" w:cs="Calibri"/>
          <w:b/>
          <w:bCs/>
          <w:i/>
          <w:color w:val="2E74B5"/>
          <w:sz w:val="22"/>
          <w:szCs w:val="22"/>
        </w:rPr>
        <w:t>30</w:t>
      </w:r>
      <w:r w:rsidR="00CF7383" w:rsidRPr="006C70A5">
        <w:rPr>
          <w:rFonts w:ascii="Calibri" w:eastAsia="Times New Roman" w:hAnsi="Calibri" w:cs="Calibri"/>
          <w:b/>
          <w:bCs/>
          <w:i/>
          <w:color w:val="2E74B5"/>
          <w:sz w:val="22"/>
          <w:szCs w:val="22"/>
        </w:rPr>
        <w:t xml:space="preserve"> million</w:t>
      </w:r>
      <w:r w:rsidR="00B96703" w:rsidRPr="006C70A5">
        <w:rPr>
          <w:rFonts w:ascii="Calibri" w:eastAsia="Times New Roman" w:hAnsi="Calibri" w:cs="Calibri"/>
          <w:b/>
          <w:bCs/>
          <w:i/>
          <w:color w:val="2E74B5"/>
          <w:sz w:val="22"/>
          <w:szCs w:val="22"/>
        </w:rPr>
        <w:t xml:space="preserve"> equivalent</w:t>
      </w:r>
      <w:r w:rsidRPr="007028A5">
        <w:rPr>
          <w:rFonts w:ascii="Calibri" w:eastAsia="Times New Roman" w:hAnsi="Calibri" w:cs="Calibri"/>
          <w:b/>
          <w:bCs/>
          <w:color w:val="2E74B5"/>
          <w:sz w:val="22"/>
          <w:szCs w:val="22"/>
        </w:rPr>
        <w:t>)</w:t>
      </w:r>
    </w:p>
    <w:p w14:paraId="297819BE"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spacing w:val="-1"/>
          <w:sz w:val="22"/>
          <w:szCs w:val="22"/>
        </w:rPr>
      </w:pPr>
      <w:r w:rsidRPr="002E1A3F">
        <w:rPr>
          <w:rFonts w:ascii="Calibri" w:eastAsia="Times New Roman" w:hAnsi="Calibri" w:cs="Calibri"/>
          <w:b/>
          <w:bCs/>
          <w:spacing w:val="-1"/>
          <w:sz w:val="22"/>
          <w:szCs w:val="22"/>
        </w:rPr>
        <w:t>Component 1 aims to build and strengthen the capacity of 2</w:t>
      </w:r>
      <w:r w:rsidR="00A320E5">
        <w:rPr>
          <w:rFonts w:ascii="Calibri" w:eastAsia="Times New Roman" w:hAnsi="Calibri" w:cs="Calibri"/>
          <w:b/>
          <w:bCs/>
          <w:spacing w:val="-1"/>
          <w:sz w:val="22"/>
          <w:szCs w:val="22"/>
        </w:rPr>
        <w:t>3</w:t>
      </w:r>
      <w:r>
        <w:rPr>
          <w:rStyle w:val="FootnoteReference"/>
          <w:rFonts w:ascii="Calibri" w:eastAsia="Times New Roman" w:hAnsi="Calibri" w:cs="Calibri"/>
          <w:b/>
          <w:bCs/>
          <w:spacing w:val="-1"/>
          <w:sz w:val="22"/>
          <w:szCs w:val="22"/>
        </w:rPr>
        <w:footnoteReference w:id="13"/>
      </w:r>
      <w:r w:rsidRPr="002E1A3F">
        <w:rPr>
          <w:rFonts w:ascii="Calibri" w:eastAsia="Times New Roman" w:hAnsi="Calibri" w:cs="Calibri"/>
          <w:b/>
          <w:bCs/>
          <w:spacing w:val="-1"/>
          <w:sz w:val="22"/>
          <w:szCs w:val="22"/>
        </w:rPr>
        <w:t xml:space="preserve"> competitively selected centers and </w:t>
      </w:r>
      <w:r w:rsidR="00152A8E">
        <w:rPr>
          <w:rFonts w:ascii="Calibri" w:eastAsia="Times New Roman" w:hAnsi="Calibri" w:cs="Calibri"/>
          <w:b/>
          <w:bCs/>
          <w:spacing w:val="-1"/>
          <w:sz w:val="22"/>
          <w:szCs w:val="22"/>
        </w:rPr>
        <w:t xml:space="preserve">one </w:t>
      </w:r>
      <w:r w:rsidRPr="002E1A3F">
        <w:rPr>
          <w:rFonts w:ascii="Calibri" w:eastAsia="Times New Roman" w:hAnsi="Calibri" w:cs="Calibri"/>
          <w:b/>
          <w:bCs/>
          <w:spacing w:val="-1"/>
          <w:sz w:val="22"/>
          <w:szCs w:val="22"/>
        </w:rPr>
        <w:t xml:space="preserve">School of Engineering located in higher education institutions across West and Central Africa. </w:t>
      </w:r>
      <w:r w:rsidRPr="002E1A3F">
        <w:rPr>
          <w:rFonts w:ascii="Calibri" w:eastAsia="Times New Roman" w:hAnsi="Calibri" w:cs="Calibri"/>
          <w:spacing w:val="-1"/>
          <w:sz w:val="22"/>
          <w:szCs w:val="22"/>
        </w:rPr>
        <w:t>Component 1 has two sub-components: Sub-component 1.1 will establish 1</w:t>
      </w:r>
      <w:r w:rsidR="002236B1">
        <w:rPr>
          <w:rFonts w:ascii="Calibri" w:eastAsia="Times New Roman" w:hAnsi="Calibri" w:cs="Calibri"/>
          <w:spacing w:val="-1"/>
          <w:sz w:val="22"/>
          <w:szCs w:val="22"/>
        </w:rPr>
        <w:t>4</w:t>
      </w:r>
      <w:r w:rsidRPr="002E1A3F">
        <w:rPr>
          <w:rFonts w:ascii="Calibri" w:eastAsia="Times New Roman" w:hAnsi="Calibri" w:cs="Calibri"/>
          <w:spacing w:val="-1"/>
          <w:sz w:val="22"/>
          <w:szCs w:val="22"/>
        </w:rPr>
        <w:t xml:space="preserve"> </w:t>
      </w:r>
      <w:r w:rsidR="00FA3789">
        <w:rPr>
          <w:rFonts w:ascii="Calibri" w:eastAsia="Times New Roman" w:hAnsi="Calibri" w:cs="Calibri"/>
          <w:spacing w:val="-1"/>
          <w:sz w:val="22"/>
          <w:szCs w:val="22"/>
        </w:rPr>
        <w:t>N</w:t>
      </w:r>
      <w:r w:rsidRPr="002E1A3F">
        <w:rPr>
          <w:rFonts w:ascii="Calibri" w:eastAsia="Times New Roman" w:hAnsi="Calibri" w:cs="Calibri"/>
          <w:spacing w:val="-1"/>
          <w:sz w:val="22"/>
          <w:szCs w:val="22"/>
        </w:rPr>
        <w:t xml:space="preserve">ew ACE Impact centers for skills development and knowledge generation (through applied research) to address development challenges that are not addressed under the ACE I </w:t>
      </w:r>
      <w:r w:rsidR="00BB4A89">
        <w:rPr>
          <w:rFonts w:ascii="Calibri" w:eastAsia="Times New Roman" w:hAnsi="Calibri" w:cs="Calibri"/>
          <w:spacing w:val="-1"/>
          <w:sz w:val="22"/>
          <w:szCs w:val="22"/>
        </w:rPr>
        <w:t>P</w:t>
      </w:r>
      <w:r w:rsidRPr="002E1A3F">
        <w:rPr>
          <w:rFonts w:ascii="Calibri" w:eastAsia="Times New Roman" w:hAnsi="Calibri" w:cs="Calibri"/>
          <w:spacing w:val="-1"/>
          <w:sz w:val="22"/>
          <w:szCs w:val="22"/>
        </w:rPr>
        <w:t xml:space="preserve">roject. Sub-component 1.2 will provide additional support to </w:t>
      </w:r>
      <w:r w:rsidR="00A80F45">
        <w:rPr>
          <w:rFonts w:ascii="Calibri" w:eastAsia="Times New Roman" w:hAnsi="Calibri" w:cs="Calibri"/>
          <w:spacing w:val="-1"/>
          <w:sz w:val="22"/>
          <w:szCs w:val="22"/>
        </w:rPr>
        <w:t>nine</w:t>
      </w:r>
      <w:r w:rsidR="00A80F45" w:rsidRPr="002E1A3F">
        <w:rPr>
          <w:rFonts w:ascii="Calibri" w:eastAsia="Times New Roman" w:hAnsi="Calibri" w:cs="Calibri"/>
          <w:spacing w:val="-1"/>
          <w:sz w:val="22"/>
          <w:szCs w:val="22"/>
        </w:rPr>
        <w:t xml:space="preserve"> </w:t>
      </w:r>
      <w:r w:rsidRPr="002E1A3F">
        <w:rPr>
          <w:rFonts w:ascii="Calibri" w:eastAsia="Times New Roman" w:hAnsi="Calibri" w:cs="Calibri"/>
          <w:spacing w:val="-1"/>
          <w:sz w:val="22"/>
          <w:szCs w:val="22"/>
        </w:rPr>
        <w:t xml:space="preserve">well-performing ACE centers participating in the ongoing ACE I </w:t>
      </w:r>
      <w:r w:rsidR="00BB4A89">
        <w:rPr>
          <w:rFonts w:ascii="Calibri" w:eastAsia="Times New Roman" w:hAnsi="Calibri" w:cs="Calibri"/>
          <w:spacing w:val="-1"/>
          <w:sz w:val="22"/>
          <w:szCs w:val="22"/>
        </w:rPr>
        <w:t>P</w:t>
      </w:r>
      <w:r w:rsidRPr="002E1A3F">
        <w:rPr>
          <w:rFonts w:ascii="Calibri" w:eastAsia="Times New Roman" w:hAnsi="Calibri" w:cs="Calibri"/>
          <w:spacing w:val="-1"/>
          <w:sz w:val="22"/>
          <w:szCs w:val="22"/>
        </w:rPr>
        <w:t xml:space="preserve">roject (these ACE Impact centers will be referred to as </w:t>
      </w:r>
      <w:r w:rsidR="003227C6">
        <w:rPr>
          <w:rFonts w:ascii="Calibri" w:eastAsia="Times New Roman" w:hAnsi="Calibri" w:cs="Calibri"/>
          <w:i/>
          <w:spacing w:val="-1"/>
          <w:sz w:val="22"/>
          <w:szCs w:val="22"/>
        </w:rPr>
        <w:t>R</w:t>
      </w:r>
      <w:r w:rsidRPr="002E1A3F">
        <w:rPr>
          <w:rFonts w:ascii="Calibri" w:eastAsia="Times New Roman" w:hAnsi="Calibri" w:cs="Calibri"/>
          <w:i/>
          <w:spacing w:val="-1"/>
          <w:sz w:val="22"/>
          <w:szCs w:val="22"/>
        </w:rPr>
        <w:t>enewal centers</w:t>
      </w:r>
      <w:r w:rsidRPr="002E1A3F">
        <w:rPr>
          <w:rFonts w:ascii="Calibri" w:eastAsia="Times New Roman" w:hAnsi="Calibri" w:cs="Calibri"/>
          <w:spacing w:val="-1"/>
          <w:sz w:val="22"/>
          <w:szCs w:val="22"/>
        </w:rPr>
        <w:t xml:space="preserve">) to scale-up impact on development challenges, to strengthen regional collaboration, and </w:t>
      </w:r>
      <w:r w:rsidR="00856746">
        <w:rPr>
          <w:rFonts w:ascii="Calibri" w:eastAsia="Times New Roman" w:hAnsi="Calibri" w:cs="Calibri"/>
          <w:spacing w:val="-1"/>
          <w:sz w:val="22"/>
          <w:szCs w:val="22"/>
        </w:rPr>
        <w:t xml:space="preserve">to </w:t>
      </w:r>
      <w:r w:rsidRPr="002E1A3F">
        <w:rPr>
          <w:rFonts w:ascii="Calibri" w:eastAsia="Times New Roman" w:hAnsi="Calibri" w:cs="Calibri"/>
          <w:spacing w:val="-1"/>
          <w:sz w:val="22"/>
          <w:szCs w:val="22"/>
        </w:rPr>
        <w:t xml:space="preserve">ensure that these centers are fully fiscally sustainable. </w:t>
      </w:r>
      <w:r w:rsidRPr="002E1A3F">
        <w:rPr>
          <w:rFonts w:ascii="Calibri" w:eastAsia="Calibri" w:hAnsi="Calibri" w:cs="Calibri"/>
          <w:bCs/>
          <w:spacing w:val="-1"/>
          <w:sz w:val="22"/>
          <w:szCs w:val="22"/>
        </w:rPr>
        <w:t xml:space="preserve">Additional funding will support </w:t>
      </w:r>
      <w:r w:rsidR="000820B3">
        <w:rPr>
          <w:rFonts w:ascii="Calibri" w:eastAsia="Calibri" w:hAnsi="Calibri" w:cs="Calibri"/>
          <w:bCs/>
          <w:spacing w:val="-1"/>
          <w:sz w:val="22"/>
          <w:szCs w:val="22"/>
        </w:rPr>
        <w:t>one</w:t>
      </w:r>
      <w:r w:rsidRPr="002E1A3F">
        <w:rPr>
          <w:rFonts w:ascii="Calibri" w:eastAsia="Calibri" w:hAnsi="Calibri" w:cs="Calibri"/>
          <w:bCs/>
          <w:spacing w:val="-1"/>
          <w:sz w:val="22"/>
          <w:szCs w:val="22"/>
        </w:rPr>
        <w:t xml:space="preserve"> engineering and technology institution</w:t>
      </w:r>
      <w:r w:rsidR="00AE3924">
        <w:rPr>
          <w:rFonts w:ascii="Calibri" w:eastAsia="Calibri" w:hAnsi="Calibri" w:cs="Calibri"/>
          <w:bCs/>
          <w:spacing w:val="-1"/>
          <w:sz w:val="22"/>
          <w:szCs w:val="22"/>
        </w:rPr>
        <w:t>/college</w:t>
      </w:r>
      <w:r w:rsidRPr="002E1A3F">
        <w:rPr>
          <w:rFonts w:ascii="Calibri" w:eastAsia="Calibri" w:hAnsi="Calibri" w:cs="Calibri"/>
          <w:bCs/>
          <w:spacing w:val="-1"/>
          <w:sz w:val="22"/>
          <w:szCs w:val="22"/>
        </w:rPr>
        <w:t xml:space="preserve"> </w:t>
      </w:r>
      <w:r w:rsidR="00470F7E">
        <w:rPr>
          <w:rFonts w:ascii="Calibri" w:eastAsia="Calibri" w:hAnsi="Calibri" w:cs="Calibri"/>
          <w:bCs/>
          <w:spacing w:val="-1"/>
          <w:sz w:val="22"/>
          <w:szCs w:val="22"/>
        </w:rPr>
        <w:t>(CoE</w:t>
      </w:r>
      <w:r w:rsidR="0069241C">
        <w:rPr>
          <w:rFonts w:ascii="Calibri" w:eastAsia="Calibri" w:hAnsi="Calibri" w:cs="Calibri"/>
          <w:bCs/>
          <w:spacing w:val="-1"/>
          <w:sz w:val="22"/>
          <w:szCs w:val="22"/>
        </w:rPr>
        <w:t>ngg</w:t>
      </w:r>
      <w:r w:rsidR="00470F7E">
        <w:rPr>
          <w:rFonts w:ascii="Calibri" w:eastAsia="Calibri" w:hAnsi="Calibri" w:cs="Calibri"/>
          <w:bCs/>
          <w:spacing w:val="-1"/>
          <w:sz w:val="22"/>
          <w:szCs w:val="22"/>
        </w:rPr>
        <w:t xml:space="preserve">) </w:t>
      </w:r>
      <w:r w:rsidR="0000763B">
        <w:rPr>
          <w:rFonts w:ascii="Calibri" w:eastAsia="Calibri" w:hAnsi="Calibri" w:cs="Calibri"/>
          <w:bCs/>
          <w:spacing w:val="-1"/>
          <w:sz w:val="22"/>
          <w:szCs w:val="22"/>
        </w:rPr>
        <w:t xml:space="preserve">in Benin, </w:t>
      </w:r>
      <w:r w:rsidRPr="002E1A3F">
        <w:rPr>
          <w:rFonts w:ascii="Calibri" w:eastAsia="Calibri" w:hAnsi="Calibri" w:cs="Calibri"/>
          <w:bCs/>
          <w:spacing w:val="-1"/>
          <w:sz w:val="22"/>
          <w:szCs w:val="22"/>
        </w:rPr>
        <w:t xml:space="preserve">hosting </w:t>
      </w:r>
      <w:r w:rsidR="0000763B">
        <w:rPr>
          <w:rFonts w:ascii="Calibri" w:eastAsia="Calibri" w:hAnsi="Calibri" w:cs="Calibri"/>
          <w:bCs/>
          <w:spacing w:val="-1"/>
          <w:sz w:val="22"/>
          <w:szCs w:val="22"/>
        </w:rPr>
        <w:t xml:space="preserve">an </w:t>
      </w:r>
      <w:r w:rsidRPr="002E1A3F">
        <w:rPr>
          <w:rFonts w:ascii="Calibri" w:eastAsia="Calibri" w:hAnsi="Calibri" w:cs="Calibri"/>
          <w:bCs/>
          <w:spacing w:val="-1"/>
          <w:sz w:val="22"/>
          <w:szCs w:val="22"/>
        </w:rPr>
        <w:t xml:space="preserve">ACE center </w:t>
      </w:r>
      <w:r w:rsidR="006A4A47">
        <w:rPr>
          <w:rFonts w:ascii="Calibri" w:eastAsia="Calibri" w:hAnsi="Calibri" w:cs="Calibri"/>
          <w:bCs/>
          <w:spacing w:val="-1"/>
          <w:sz w:val="22"/>
          <w:szCs w:val="22"/>
        </w:rPr>
        <w:t>under</w:t>
      </w:r>
      <w:r w:rsidRPr="002E1A3F">
        <w:rPr>
          <w:rFonts w:ascii="Calibri" w:eastAsia="Calibri" w:hAnsi="Calibri" w:cs="Calibri"/>
          <w:bCs/>
          <w:spacing w:val="-1"/>
          <w:sz w:val="22"/>
          <w:szCs w:val="22"/>
        </w:rPr>
        <w:t xml:space="preserve"> Sub-components 1.1 and 1.2, to </w:t>
      </w:r>
      <w:r w:rsidR="00AF1D4C">
        <w:rPr>
          <w:rFonts w:ascii="Calibri" w:eastAsia="Calibri" w:hAnsi="Calibri" w:cs="Calibri"/>
          <w:bCs/>
          <w:spacing w:val="-1"/>
          <w:sz w:val="22"/>
          <w:szCs w:val="22"/>
        </w:rPr>
        <w:t>broaden capacity</w:t>
      </w:r>
      <w:r w:rsidR="00195D6D">
        <w:rPr>
          <w:rFonts w:ascii="Calibri" w:eastAsia="Calibri" w:hAnsi="Calibri" w:cs="Calibri"/>
          <w:bCs/>
          <w:spacing w:val="-1"/>
          <w:sz w:val="22"/>
          <w:szCs w:val="22"/>
        </w:rPr>
        <w:t>, and to enhance the potential for long-term sustainability and</w:t>
      </w:r>
      <w:r w:rsidRPr="002E1A3F">
        <w:rPr>
          <w:rFonts w:ascii="Calibri" w:eastAsia="Calibri" w:hAnsi="Calibri" w:cs="Calibri"/>
          <w:bCs/>
          <w:spacing w:val="-1"/>
          <w:sz w:val="22"/>
          <w:szCs w:val="22"/>
        </w:rPr>
        <w:t xml:space="preserve"> institutional impact.</w:t>
      </w:r>
      <w:r w:rsidRPr="002E1A3F">
        <w:rPr>
          <w:rFonts w:ascii="Calibri,Times New Roman" w:eastAsia="Calibri,Times New Roman" w:hAnsi="Calibri,Times New Roman" w:cs="Calibri,Times New Roman"/>
          <w:spacing w:val="-1"/>
          <w:sz w:val="22"/>
          <w:szCs w:val="22"/>
        </w:rPr>
        <w:t xml:space="preserve"> </w:t>
      </w:r>
    </w:p>
    <w:p w14:paraId="7F806815"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spacing w:val="-1"/>
          <w:sz w:val="22"/>
          <w:szCs w:val="22"/>
        </w:rPr>
      </w:pPr>
      <w:r w:rsidRPr="002E1A3F">
        <w:rPr>
          <w:rFonts w:ascii="Calibri" w:eastAsia="Times New Roman" w:hAnsi="Calibri" w:cs="Calibri"/>
          <w:b/>
          <w:bCs/>
          <w:spacing w:val="-1"/>
          <w:sz w:val="22"/>
          <w:szCs w:val="22"/>
        </w:rPr>
        <w:t>Each ACE Impact center (</w:t>
      </w:r>
      <w:r w:rsidR="003227C6">
        <w:rPr>
          <w:rFonts w:ascii="Calibri" w:eastAsia="Times New Roman" w:hAnsi="Calibri" w:cs="Calibri"/>
          <w:b/>
          <w:bCs/>
          <w:i/>
          <w:spacing w:val="-1"/>
          <w:sz w:val="22"/>
          <w:szCs w:val="22"/>
        </w:rPr>
        <w:t>N</w:t>
      </w:r>
      <w:r w:rsidRPr="002E1A3F">
        <w:rPr>
          <w:rFonts w:ascii="Calibri" w:eastAsia="Times New Roman" w:hAnsi="Calibri" w:cs="Calibri"/>
          <w:b/>
          <w:bCs/>
          <w:i/>
          <w:spacing w:val="-1"/>
          <w:sz w:val="22"/>
          <w:szCs w:val="22"/>
        </w:rPr>
        <w:t xml:space="preserve">ew and </w:t>
      </w:r>
      <w:r w:rsidR="003227C6">
        <w:rPr>
          <w:rFonts w:ascii="Calibri" w:eastAsia="Times New Roman" w:hAnsi="Calibri" w:cs="Calibri"/>
          <w:b/>
          <w:bCs/>
          <w:i/>
          <w:spacing w:val="-1"/>
          <w:sz w:val="22"/>
          <w:szCs w:val="22"/>
        </w:rPr>
        <w:t>R</w:t>
      </w:r>
      <w:r w:rsidRPr="002E1A3F">
        <w:rPr>
          <w:rFonts w:ascii="Calibri" w:eastAsia="Times New Roman" w:hAnsi="Calibri" w:cs="Calibri"/>
          <w:b/>
          <w:bCs/>
          <w:i/>
          <w:spacing w:val="-1"/>
          <w:sz w:val="22"/>
          <w:szCs w:val="22"/>
        </w:rPr>
        <w:t>enewal</w:t>
      </w:r>
      <w:r w:rsidR="00642D7B">
        <w:rPr>
          <w:rFonts w:ascii="Calibri" w:eastAsia="Times New Roman" w:hAnsi="Calibri" w:cs="Calibri"/>
          <w:b/>
          <w:bCs/>
          <w:i/>
          <w:spacing w:val="-1"/>
          <w:sz w:val="22"/>
          <w:szCs w:val="22"/>
        </w:rPr>
        <w:t xml:space="preserve"> </w:t>
      </w:r>
      <w:r w:rsidR="000820B3">
        <w:rPr>
          <w:rFonts w:ascii="Calibri" w:eastAsia="Times New Roman" w:hAnsi="Calibri" w:cs="Calibri"/>
          <w:b/>
          <w:bCs/>
          <w:i/>
          <w:spacing w:val="-1"/>
          <w:sz w:val="22"/>
          <w:szCs w:val="22"/>
        </w:rPr>
        <w:t>centers</w:t>
      </w:r>
      <w:r w:rsidRPr="002E1A3F">
        <w:rPr>
          <w:rFonts w:ascii="Calibri" w:eastAsia="Times New Roman" w:hAnsi="Calibri" w:cs="Calibri"/>
          <w:b/>
          <w:bCs/>
          <w:spacing w:val="-1"/>
          <w:sz w:val="22"/>
          <w:szCs w:val="22"/>
        </w:rPr>
        <w:t>) supported will focus on a specific regional development challenge.</w:t>
      </w:r>
      <w:r w:rsidRPr="002E1A3F">
        <w:rPr>
          <w:rFonts w:ascii="Calibri" w:eastAsia="Times New Roman" w:hAnsi="Calibri" w:cs="Calibri"/>
          <w:bCs/>
          <w:spacing w:val="-1"/>
          <w:sz w:val="22"/>
          <w:szCs w:val="22"/>
        </w:rPr>
        <w:t xml:space="preserve"> See below pre-identified regional development challenges, while Annex 6 lists all funded </w:t>
      </w:r>
      <w:r w:rsidR="00341C31">
        <w:rPr>
          <w:rFonts w:ascii="Calibri" w:eastAsia="Times New Roman" w:hAnsi="Calibri" w:cs="Calibri"/>
          <w:bCs/>
          <w:spacing w:val="-1"/>
          <w:sz w:val="22"/>
          <w:szCs w:val="22"/>
        </w:rPr>
        <w:t>t</w:t>
      </w:r>
      <w:r w:rsidRPr="002E1A3F">
        <w:rPr>
          <w:rFonts w:ascii="Calibri" w:eastAsia="Times New Roman" w:hAnsi="Calibri" w:cs="Calibri"/>
          <w:bCs/>
          <w:spacing w:val="-1"/>
          <w:sz w:val="22"/>
          <w:szCs w:val="22"/>
        </w:rPr>
        <w:t xml:space="preserve">hematic </w:t>
      </w:r>
      <w:r w:rsidR="00341C31">
        <w:rPr>
          <w:rFonts w:ascii="Calibri" w:eastAsia="Times New Roman" w:hAnsi="Calibri" w:cs="Calibri"/>
          <w:bCs/>
          <w:spacing w:val="-1"/>
          <w:sz w:val="22"/>
          <w:szCs w:val="22"/>
        </w:rPr>
        <w:t>a</w:t>
      </w:r>
      <w:r w:rsidRPr="002E1A3F">
        <w:rPr>
          <w:rFonts w:ascii="Calibri" w:eastAsia="Times New Roman" w:hAnsi="Calibri" w:cs="Calibri"/>
          <w:bCs/>
          <w:spacing w:val="-1"/>
          <w:sz w:val="22"/>
          <w:szCs w:val="22"/>
        </w:rPr>
        <w:t xml:space="preserve">reas.  </w:t>
      </w:r>
      <w:r w:rsidRPr="002E1A3F">
        <w:rPr>
          <w:rFonts w:ascii="Calibri" w:eastAsia="Times New Roman" w:hAnsi="Calibri" w:cs="Calibri"/>
          <w:spacing w:val="-1"/>
          <w:sz w:val="22"/>
          <w:szCs w:val="22"/>
        </w:rPr>
        <w:t>Each of these centers is targeted in scope and will deliver postgraduate education and applied research programs developed in coordination with relevant stakeholders. While the center</w:t>
      </w:r>
      <w:r w:rsidR="000820B3">
        <w:rPr>
          <w:rFonts w:ascii="Calibri" w:eastAsia="Times New Roman" w:hAnsi="Calibri" w:cs="Calibri"/>
          <w:spacing w:val="-1"/>
          <w:sz w:val="22"/>
          <w:szCs w:val="22"/>
        </w:rPr>
        <w:t>s’</w:t>
      </w:r>
      <w:r w:rsidRPr="002E1A3F">
        <w:rPr>
          <w:rFonts w:ascii="Calibri" w:eastAsia="Times New Roman" w:hAnsi="Calibri" w:cs="Calibri"/>
          <w:spacing w:val="-1"/>
          <w:sz w:val="22"/>
          <w:szCs w:val="22"/>
        </w:rPr>
        <w:t xml:space="preserve"> work</w:t>
      </w:r>
      <w:r w:rsidR="00D64F3A">
        <w:rPr>
          <w:rFonts w:ascii="Calibri" w:eastAsia="Times New Roman" w:hAnsi="Calibri" w:cs="Calibri"/>
          <w:spacing w:val="-1"/>
          <w:sz w:val="22"/>
          <w:szCs w:val="22"/>
        </w:rPr>
        <w:t xml:space="preserve"> </w:t>
      </w:r>
      <w:r w:rsidRPr="002E1A3F">
        <w:rPr>
          <w:rFonts w:ascii="Calibri" w:eastAsia="Times New Roman" w:hAnsi="Calibri" w:cs="Calibri"/>
          <w:spacing w:val="-1"/>
          <w:sz w:val="22"/>
          <w:szCs w:val="22"/>
        </w:rPr>
        <w:t>plans are focused, a multidisciplinary approach will be essential to achieving the goals of each center.</w:t>
      </w:r>
    </w:p>
    <w:p w14:paraId="7C25FA91"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2E1A3F">
        <w:rPr>
          <w:rFonts w:ascii="Calibri" w:eastAsia="Times New Roman" w:hAnsi="Calibri" w:cs="Calibri"/>
          <w:spacing w:val="-1"/>
          <w:sz w:val="22"/>
          <w:szCs w:val="22"/>
        </w:rPr>
        <w:t xml:space="preserve">Provided below are details on key aspects of establishing the </w:t>
      </w:r>
      <w:r w:rsidR="000820B3">
        <w:rPr>
          <w:rFonts w:ascii="Calibri" w:eastAsia="Times New Roman" w:hAnsi="Calibri" w:cs="Calibri"/>
          <w:spacing w:val="-1"/>
          <w:sz w:val="22"/>
          <w:szCs w:val="22"/>
        </w:rPr>
        <w:t>N</w:t>
      </w:r>
      <w:r w:rsidRPr="002E1A3F">
        <w:rPr>
          <w:rFonts w:ascii="Calibri" w:eastAsia="Times New Roman" w:hAnsi="Calibri" w:cs="Calibri"/>
          <w:spacing w:val="-1"/>
          <w:sz w:val="22"/>
          <w:szCs w:val="22"/>
        </w:rPr>
        <w:t xml:space="preserve">ew ACEs and scaling up the </w:t>
      </w:r>
      <w:r w:rsidR="000820B3">
        <w:rPr>
          <w:rFonts w:ascii="Calibri" w:eastAsia="Times New Roman" w:hAnsi="Calibri" w:cs="Calibri"/>
          <w:spacing w:val="-1"/>
          <w:sz w:val="22"/>
          <w:szCs w:val="22"/>
        </w:rPr>
        <w:t>R</w:t>
      </w:r>
      <w:r w:rsidRPr="002E1A3F">
        <w:rPr>
          <w:rFonts w:ascii="Calibri" w:eastAsia="Times New Roman" w:hAnsi="Calibri" w:cs="Calibri"/>
          <w:spacing w:val="-1"/>
          <w:sz w:val="22"/>
          <w:szCs w:val="22"/>
        </w:rPr>
        <w:t>enewal centers</w:t>
      </w:r>
      <w:r w:rsidR="000820B3">
        <w:rPr>
          <w:rFonts w:ascii="Calibri" w:eastAsia="Times New Roman" w:hAnsi="Calibri" w:cs="Calibri"/>
          <w:spacing w:val="-1"/>
          <w:sz w:val="22"/>
          <w:szCs w:val="22"/>
        </w:rPr>
        <w:t>, under the proposed project</w:t>
      </w:r>
      <w:r w:rsidRPr="002E1A3F">
        <w:rPr>
          <w:rFonts w:ascii="Calibri" w:eastAsia="Times New Roman" w:hAnsi="Calibri" w:cs="Calibri"/>
          <w:spacing w:val="-1"/>
          <w:sz w:val="22"/>
          <w:szCs w:val="22"/>
        </w:rPr>
        <w:t>:</w:t>
      </w:r>
      <w:r w:rsidRPr="002E1A3F">
        <w:rPr>
          <w:rFonts w:ascii="Calibri" w:eastAsia="Times New Roman" w:hAnsi="Calibri" w:cs="Calibri"/>
          <w:b/>
          <w:spacing w:val="-1"/>
          <w:sz w:val="22"/>
          <w:szCs w:val="22"/>
        </w:rPr>
        <w:t xml:space="preserve"> </w:t>
      </w:r>
    </w:p>
    <w:p w14:paraId="580A8024" w14:textId="77777777" w:rsidR="002E1A3F" w:rsidRPr="002E1A3F" w:rsidRDefault="00B00100" w:rsidP="006D62D4">
      <w:pPr>
        <w:widowControl/>
        <w:numPr>
          <w:ilvl w:val="0"/>
          <w:numId w:val="43"/>
        </w:numPr>
        <w:autoSpaceDE/>
        <w:autoSpaceDN/>
        <w:adjustRightInd/>
        <w:spacing w:after="120"/>
        <w:ind w:left="1080"/>
        <w:jc w:val="both"/>
        <w:rPr>
          <w:rFonts w:ascii="Calibri" w:eastAsia="Calibri" w:hAnsi="Calibri" w:cs="Calibri"/>
          <w:bCs/>
          <w:spacing w:val="-1"/>
          <w:sz w:val="22"/>
          <w:szCs w:val="22"/>
        </w:rPr>
      </w:pPr>
      <w:bookmarkStart w:id="99" w:name="_Hlk516027872"/>
      <w:r w:rsidRPr="002E1A3F">
        <w:rPr>
          <w:rFonts w:ascii="Calibri" w:eastAsia="Calibri" w:hAnsi="Calibri" w:cs="Calibri"/>
          <w:b/>
          <w:bCs/>
          <w:spacing w:val="-1"/>
          <w:sz w:val="22"/>
          <w:szCs w:val="22"/>
        </w:rPr>
        <w:t xml:space="preserve">ACE’s strategic objectives and activities: </w:t>
      </w:r>
      <w:r w:rsidRPr="002E1A3F">
        <w:rPr>
          <w:rFonts w:ascii="Calibri" w:eastAsia="Calibri" w:hAnsi="Calibri" w:cs="Calibri"/>
          <w:bCs/>
          <w:spacing w:val="-1"/>
          <w:sz w:val="22"/>
          <w:szCs w:val="22"/>
        </w:rPr>
        <w:t xml:space="preserve">Each center will scale-up postgraduate education, applied collaborative research and outreach to address regional development challenges. This will be achieved through: higher quality postgraduate education addressing the skills gap and tackling priority applied research questions; leading regional education networks; and delivering short-term courses, for example, a two-week course for mid-career professionals. In consultation with stakeholders, the centers will update and/or launch new postgraduate (master’s and Ph.D.) degree programs that are accredited to meet international quality standards. The centers will offer curricula that ensure that students have the in-demand competencies upon graduating from their degree programs, including analytical, digital skills, and entrepreneurial competencies.  Partnerships with national, regional, and global sectoral actors will ensure that the ACEs focus their activities on education and research to solve specific problems associated with development challenges. Centers will disseminate their research findings to policymakers and companies and also through international peer reviewed journals. Further, each center will be required to have policies backed by specific interventions </w:t>
      </w:r>
      <w:r w:rsidRPr="002E1A3F">
        <w:rPr>
          <w:rFonts w:ascii="Calibri" w:eastAsia="Calibri" w:hAnsi="Calibri" w:cs="Calibri"/>
          <w:bCs/>
          <w:spacing w:val="-1"/>
          <w:sz w:val="22"/>
          <w:szCs w:val="22"/>
        </w:rPr>
        <w:lastRenderedPageBreak/>
        <w:t>in place to: (a) increase the number of females within their student body, faculty and academic leadership. The activities include additional training, mentoring, and funding of female students and faculty as well as regional peer learning among centers, as described in a guidance note to centers on</w:t>
      </w:r>
      <w:r w:rsidR="000820B3">
        <w:rPr>
          <w:rFonts w:ascii="Calibri" w:eastAsia="Calibri" w:hAnsi="Calibri" w:cs="Calibri"/>
          <w:bCs/>
          <w:spacing w:val="-1"/>
          <w:sz w:val="22"/>
          <w:szCs w:val="22"/>
        </w:rPr>
        <w:t xml:space="preserve"> the</w:t>
      </w:r>
      <w:r w:rsidRPr="002E1A3F">
        <w:rPr>
          <w:rFonts w:ascii="Calibri" w:eastAsia="Calibri" w:hAnsi="Calibri" w:cs="Calibri"/>
          <w:bCs/>
          <w:spacing w:val="-1"/>
          <w:sz w:val="22"/>
          <w:szCs w:val="22"/>
        </w:rPr>
        <w:t xml:space="preserve"> promotion of women in STEM; and (b) ensure </w:t>
      </w:r>
      <w:r w:rsidR="000820B3">
        <w:rPr>
          <w:rFonts w:ascii="Calibri" w:eastAsia="Calibri" w:hAnsi="Calibri" w:cs="Calibri"/>
          <w:bCs/>
          <w:spacing w:val="-1"/>
          <w:sz w:val="22"/>
          <w:szCs w:val="22"/>
        </w:rPr>
        <w:t xml:space="preserve">the </w:t>
      </w:r>
      <w:r w:rsidRPr="002E1A3F">
        <w:rPr>
          <w:rFonts w:ascii="Calibri" w:eastAsia="Calibri" w:hAnsi="Calibri" w:cs="Calibri"/>
          <w:bCs/>
          <w:spacing w:val="-1"/>
          <w:sz w:val="22"/>
          <w:szCs w:val="22"/>
        </w:rPr>
        <w:t xml:space="preserve">overall </w:t>
      </w:r>
      <w:r w:rsidR="00626F38">
        <w:rPr>
          <w:rFonts w:ascii="Calibri" w:eastAsia="Calibri" w:hAnsi="Calibri" w:cs="Calibri"/>
          <w:bCs/>
          <w:spacing w:val="-1"/>
          <w:sz w:val="22"/>
          <w:szCs w:val="22"/>
        </w:rPr>
        <w:t xml:space="preserve">positive </w:t>
      </w:r>
      <w:r w:rsidRPr="002E1A3F">
        <w:rPr>
          <w:rFonts w:ascii="Calibri" w:eastAsia="Calibri" w:hAnsi="Calibri" w:cs="Calibri"/>
          <w:bCs/>
          <w:spacing w:val="-1"/>
          <w:sz w:val="22"/>
          <w:szCs w:val="22"/>
        </w:rPr>
        <w:t>well-being of their student</w:t>
      </w:r>
      <w:r w:rsidR="000E16C4">
        <w:rPr>
          <w:rFonts w:ascii="Calibri" w:eastAsia="Calibri" w:hAnsi="Calibri" w:cs="Calibri"/>
          <w:bCs/>
          <w:spacing w:val="-1"/>
          <w:sz w:val="22"/>
          <w:szCs w:val="22"/>
        </w:rPr>
        <w:t>s</w:t>
      </w:r>
      <w:r w:rsidRPr="002E1A3F">
        <w:rPr>
          <w:rFonts w:ascii="Calibri" w:eastAsia="Calibri" w:hAnsi="Calibri" w:cs="Calibri"/>
          <w:bCs/>
          <w:spacing w:val="-1"/>
          <w:sz w:val="22"/>
          <w:szCs w:val="22"/>
        </w:rPr>
        <w:t xml:space="preserve">. </w:t>
      </w:r>
      <w:r w:rsidR="00CC1418">
        <w:rPr>
          <w:rFonts w:ascii="Calibri" w:eastAsia="Calibri" w:hAnsi="Calibri" w:cs="Calibri"/>
          <w:bCs/>
          <w:spacing w:val="-1"/>
          <w:sz w:val="22"/>
          <w:szCs w:val="22"/>
        </w:rPr>
        <w:t>G</w:t>
      </w:r>
      <w:r w:rsidRPr="002E1A3F">
        <w:rPr>
          <w:rFonts w:ascii="Calibri" w:eastAsia="Calibri" w:hAnsi="Calibri" w:cs="Calibri"/>
          <w:bCs/>
          <w:spacing w:val="-1"/>
          <w:sz w:val="22"/>
          <w:szCs w:val="22"/>
        </w:rPr>
        <w:t xml:space="preserve">reater emphasis will be placed on ensuring ACE host institutions are incentivized to undertake several activities, including those that promote: good governance; data collection and management; and regionalization of their institutions towards making their institutions regionally (and globally) competitive.  </w:t>
      </w:r>
    </w:p>
    <w:bookmarkEnd w:id="99"/>
    <w:p w14:paraId="25E2BB79" w14:textId="77777777" w:rsidR="002E1A3F" w:rsidRPr="002E1A3F" w:rsidRDefault="00B00100" w:rsidP="006D62D4">
      <w:pPr>
        <w:widowControl/>
        <w:numPr>
          <w:ilvl w:val="0"/>
          <w:numId w:val="43"/>
        </w:numPr>
        <w:autoSpaceDE/>
        <w:autoSpaceDN/>
        <w:adjustRightInd/>
        <w:spacing w:after="120"/>
        <w:ind w:left="108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Strategic and competitive selection of ACEs: </w:t>
      </w:r>
      <w:r w:rsidRPr="002E1A3F">
        <w:rPr>
          <w:rFonts w:ascii="Calibri" w:eastAsia="Calibri" w:hAnsi="Calibri" w:cs="Calibri"/>
          <w:bCs/>
          <w:spacing w:val="-1"/>
          <w:sz w:val="22"/>
          <w:szCs w:val="22"/>
        </w:rPr>
        <w:t xml:space="preserve">The evaluation and selection process which covered proposals from all countries </w:t>
      </w:r>
      <w:r w:rsidR="00BC5452">
        <w:rPr>
          <w:rFonts w:ascii="Calibri" w:eastAsia="Calibri" w:hAnsi="Calibri" w:cs="Calibri"/>
          <w:bCs/>
          <w:spacing w:val="-1"/>
          <w:sz w:val="22"/>
          <w:szCs w:val="22"/>
        </w:rPr>
        <w:t xml:space="preserve">aiming to </w:t>
      </w:r>
      <w:r w:rsidRPr="002E1A3F">
        <w:rPr>
          <w:rFonts w:ascii="Calibri" w:eastAsia="Calibri" w:hAnsi="Calibri" w:cs="Calibri"/>
          <w:bCs/>
          <w:spacing w:val="-1"/>
          <w:sz w:val="22"/>
          <w:szCs w:val="22"/>
        </w:rPr>
        <w:t>participat</w:t>
      </w:r>
      <w:r w:rsidR="00BC5452">
        <w:rPr>
          <w:rFonts w:ascii="Calibri" w:eastAsia="Calibri" w:hAnsi="Calibri" w:cs="Calibri"/>
          <w:bCs/>
          <w:spacing w:val="-1"/>
          <w:sz w:val="22"/>
          <w:szCs w:val="22"/>
        </w:rPr>
        <w:t>e</w:t>
      </w:r>
      <w:r w:rsidR="00AF7BD9">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 xml:space="preserve">in both the First and </w:t>
      </w:r>
      <w:r w:rsidR="000820B3">
        <w:rPr>
          <w:rFonts w:ascii="Calibri" w:eastAsia="Calibri" w:hAnsi="Calibri" w:cs="Calibri"/>
          <w:bCs/>
          <w:spacing w:val="-1"/>
          <w:sz w:val="22"/>
          <w:szCs w:val="22"/>
        </w:rPr>
        <w:t xml:space="preserve">proposed </w:t>
      </w:r>
      <w:r w:rsidRPr="002E1A3F">
        <w:rPr>
          <w:rFonts w:ascii="Calibri" w:eastAsia="Calibri" w:hAnsi="Calibri" w:cs="Calibri"/>
          <w:bCs/>
          <w:spacing w:val="-1"/>
          <w:sz w:val="22"/>
          <w:szCs w:val="22"/>
        </w:rPr>
        <w:t xml:space="preserve">Second ACE Impact projects was rigorous, transparent, merit-based and consistent with international standards for higher education and research funding organizations. The evaluation process consisted of a two-stage desk evaluation (individual expert evaluations and a panel evaluation) and site visits that were performed by several independent evaluation experts from SSA, the diaspora and across the globe. The selection process was designed to ensure that selected ACE Impact centers will collectively address many of the region’s specific development challenges and promote a balanced portfolio of ACEs in terms of </w:t>
      </w:r>
      <w:r w:rsidR="003227C6">
        <w:rPr>
          <w:rFonts w:ascii="Calibri" w:eastAsia="Calibri" w:hAnsi="Calibri" w:cs="Calibri"/>
          <w:bCs/>
          <w:spacing w:val="-1"/>
          <w:sz w:val="22"/>
          <w:szCs w:val="22"/>
        </w:rPr>
        <w:t>N</w:t>
      </w:r>
      <w:r w:rsidRPr="002E1A3F">
        <w:rPr>
          <w:rFonts w:ascii="Calibri" w:eastAsia="Calibri" w:hAnsi="Calibri" w:cs="Calibri"/>
          <w:bCs/>
          <w:spacing w:val="-1"/>
          <w:sz w:val="22"/>
          <w:szCs w:val="22"/>
        </w:rPr>
        <w:t xml:space="preserve">ew and </w:t>
      </w:r>
      <w:r w:rsidR="003227C6">
        <w:rPr>
          <w:rFonts w:ascii="Calibri" w:eastAsia="Calibri" w:hAnsi="Calibri" w:cs="Calibri"/>
          <w:bCs/>
          <w:spacing w:val="-1"/>
          <w:sz w:val="22"/>
          <w:szCs w:val="22"/>
        </w:rPr>
        <w:t>R</w:t>
      </w:r>
      <w:r w:rsidRPr="002E1A3F">
        <w:rPr>
          <w:rFonts w:ascii="Calibri" w:eastAsia="Calibri" w:hAnsi="Calibri" w:cs="Calibri"/>
          <w:bCs/>
          <w:spacing w:val="-1"/>
          <w:sz w:val="22"/>
          <w:szCs w:val="22"/>
        </w:rPr>
        <w:t xml:space="preserve">enewal centers and their focus areas, countries and language groups participating in the project. Of the 105 eligible proposals submitted, the Ministerial level </w:t>
      </w:r>
      <w:r w:rsidR="00DA6FCE" w:rsidRPr="002E1A3F">
        <w:rPr>
          <w:rFonts w:ascii="Calibri" w:eastAsia="Calibri" w:hAnsi="Calibri" w:cs="Calibri"/>
          <w:bCs/>
          <w:spacing w:val="-1"/>
          <w:sz w:val="22"/>
          <w:szCs w:val="22"/>
        </w:rPr>
        <w:t>(see Section III</w:t>
      </w:r>
      <w:r w:rsidR="002D753C">
        <w:rPr>
          <w:rFonts w:ascii="Calibri" w:eastAsia="Calibri" w:hAnsi="Calibri" w:cs="Calibri"/>
          <w:bCs/>
          <w:spacing w:val="-1"/>
          <w:sz w:val="22"/>
          <w:szCs w:val="22"/>
        </w:rPr>
        <w:t>.</w:t>
      </w:r>
      <w:r w:rsidR="00DA6FCE" w:rsidRPr="002E1A3F">
        <w:rPr>
          <w:rFonts w:ascii="Calibri" w:eastAsia="Calibri" w:hAnsi="Calibri" w:cs="Calibri"/>
          <w:bCs/>
          <w:spacing w:val="-1"/>
          <w:sz w:val="22"/>
          <w:szCs w:val="22"/>
        </w:rPr>
        <w:t>A for the description of the two-level PSC)</w:t>
      </w:r>
      <w:r w:rsidR="00C5438C">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 xml:space="preserve">of the </w:t>
      </w:r>
      <w:r w:rsidR="00D36D19">
        <w:rPr>
          <w:rFonts w:ascii="Calibri" w:eastAsia="Calibri" w:hAnsi="Calibri" w:cs="Calibri"/>
          <w:bCs/>
          <w:spacing w:val="-1"/>
          <w:sz w:val="22"/>
          <w:szCs w:val="22"/>
        </w:rPr>
        <w:t>PSC</w:t>
      </w:r>
      <w:r w:rsidRPr="002E1A3F">
        <w:rPr>
          <w:rFonts w:ascii="Calibri" w:eastAsia="Calibri" w:hAnsi="Calibri" w:cs="Calibri"/>
          <w:bCs/>
          <w:spacing w:val="-1"/>
          <w:sz w:val="22"/>
          <w:szCs w:val="22"/>
        </w:rPr>
        <w:t xml:space="preserve"> selected 44 ACEs </w:t>
      </w:r>
      <w:r w:rsidR="00A7064E">
        <w:rPr>
          <w:rFonts w:ascii="Calibri" w:eastAsia="Calibri" w:hAnsi="Calibri" w:cs="Calibri"/>
          <w:bCs/>
          <w:spacing w:val="-1"/>
          <w:sz w:val="22"/>
          <w:szCs w:val="22"/>
        </w:rPr>
        <w:t xml:space="preserve">(later reduced to 43 ACEs) </w:t>
      </w:r>
      <w:r w:rsidR="001639B1">
        <w:rPr>
          <w:rFonts w:ascii="Calibri" w:eastAsia="Calibri" w:hAnsi="Calibri" w:cs="Calibri"/>
          <w:bCs/>
          <w:spacing w:val="-1"/>
          <w:sz w:val="22"/>
          <w:szCs w:val="22"/>
        </w:rPr>
        <w:t xml:space="preserve">of which </w:t>
      </w:r>
      <w:r w:rsidR="00C0521A">
        <w:rPr>
          <w:rFonts w:ascii="Calibri" w:eastAsia="Calibri" w:hAnsi="Calibri" w:cs="Calibri"/>
          <w:bCs/>
          <w:spacing w:val="-1"/>
          <w:sz w:val="22"/>
          <w:szCs w:val="22"/>
        </w:rPr>
        <w:t xml:space="preserve">23 centers are supported under the </w:t>
      </w:r>
      <w:r w:rsidR="00203D91">
        <w:rPr>
          <w:rFonts w:ascii="Calibri" w:eastAsia="Calibri" w:hAnsi="Calibri" w:cs="Calibri"/>
          <w:bCs/>
          <w:spacing w:val="-1"/>
          <w:sz w:val="22"/>
          <w:szCs w:val="22"/>
        </w:rPr>
        <w:t xml:space="preserve">proposed </w:t>
      </w:r>
      <w:r w:rsidRPr="002E1A3F">
        <w:rPr>
          <w:rFonts w:ascii="Calibri" w:eastAsia="Calibri" w:hAnsi="Calibri" w:cs="Calibri"/>
          <w:bCs/>
          <w:spacing w:val="-1"/>
          <w:sz w:val="22"/>
          <w:szCs w:val="22"/>
        </w:rPr>
        <w:t xml:space="preserve">Second ACE Impact project based on the recommendations of evaluation experts, </w:t>
      </w:r>
      <w:r w:rsidR="00F96678">
        <w:rPr>
          <w:rFonts w:ascii="Calibri" w:eastAsia="Calibri" w:hAnsi="Calibri" w:cs="Calibri"/>
          <w:bCs/>
          <w:spacing w:val="-1"/>
          <w:sz w:val="22"/>
          <w:szCs w:val="22"/>
        </w:rPr>
        <w:t>applying</w:t>
      </w:r>
      <w:r w:rsidR="00156FF4">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 xml:space="preserve">objective </w:t>
      </w:r>
      <w:r w:rsidR="00156FF4">
        <w:rPr>
          <w:rFonts w:ascii="Calibri" w:eastAsia="Calibri" w:hAnsi="Calibri" w:cs="Calibri"/>
          <w:bCs/>
          <w:spacing w:val="-1"/>
          <w:sz w:val="22"/>
          <w:szCs w:val="22"/>
        </w:rPr>
        <w:t>criteria</w:t>
      </w:r>
      <w:r w:rsidRPr="002E1A3F">
        <w:rPr>
          <w:rFonts w:ascii="Calibri" w:eastAsia="Calibri" w:hAnsi="Calibri" w:cs="Calibri"/>
          <w:bCs/>
          <w:spacing w:val="-1"/>
          <w:sz w:val="22"/>
          <w:szCs w:val="22"/>
        </w:rPr>
        <w:t xml:space="preserve">. </w:t>
      </w:r>
    </w:p>
    <w:p w14:paraId="063ED4FF" w14:textId="77777777" w:rsidR="002E1A3F" w:rsidRPr="002E1A3F" w:rsidRDefault="00B00100" w:rsidP="006C70A5">
      <w:pPr>
        <w:widowControl/>
        <w:numPr>
          <w:ilvl w:val="0"/>
          <w:numId w:val="43"/>
        </w:numPr>
        <w:autoSpaceDE/>
        <w:autoSpaceDN/>
        <w:adjustRightInd/>
        <w:spacing w:after="120"/>
        <w:ind w:left="1080" w:hanging="45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t xml:space="preserve">The pre-identified (targeted) regional development challenges: </w:t>
      </w:r>
      <w:r w:rsidRPr="002E1A3F">
        <w:rPr>
          <w:rFonts w:ascii="Calibri" w:eastAsia="Calibri" w:hAnsi="Calibri" w:cs="Calibri"/>
          <w:bCs/>
          <w:spacing w:val="-1"/>
          <w:sz w:val="22"/>
          <w:szCs w:val="22"/>
        </w:rPr>
        <w:t>Although all centers will address a regional development challenge, 15 of the 4</w:t>
      </w:r>
      <w:r w:rsidR="00A7064E">
        <w:rPr>
          <w:rFonts w:ascii="Calibri" w:eastAsia="Calibri" w:hAnsi="Calibri" w:cs="Calibri"/>
          <w:bCs/>
          <w:spacing w:val="-1"/>
          <w:sz w:val="22"/>
          <w:szCs w:val="22"/>
        </w:rPr>
        <w:t>3</w:t>
      </w:r>
      <w:r w:rsidRPr="002E1A3F">
        <w:rPr>
          <w:rFonts w:ascii="Calibri" w:eastAsia="Calibri" w:hAnsi="Calibri" w:cs="Calibri"/>
          <w:bCs/>
          <w:spacing w:val="-1"/>
          <w:sz w:val="22"/>
          <w:szCs w:val="22"/>
        </w:rPr>
        <w:t xml:space="preserve"> First and </w:t>
      </w:r>
      <w:r w:rsidR="00974ACF">
        <w:rPr>
          <w:rFonts w:ascii="Calibri" w:eastAsia="Calibri" w:hAnsi="Calibri" w:cs="Calibri"/>
          <w:bCs/>
          <w:spacing w:val="-1"/>
          <w:sz w:val="22"/>
          <w:szCs w:val="22"/>
        </w:rPr>
        <w:t xml:space="preserve">proposed </w:t>
      </w:r>
      <w:r w:rsidRPr="002E1A3F">
        <w:rPr>
          <w:rFonts w:ascii="Calibri" w:eastAsia="Calibri" w:hAnsi="Calibri" w:cs="Calibri"/>
          <w:bCs/>
          <w:spacing w:val="-1"/>
          <w:sz w:val="22"/>
          <w:szCs w:val="22"/>
        </w:rPr>
        <w:t xml:space="preserve">Second ACE Impact centers were selected to address critical pre-identified regional shortages of skills and knowledge. In consultation with regional governments, the private sector, and other regional stakeholders, a set of Terms of Reference (ToRs) with expected educational and applied research outcomes were prepared for each of the following 11 pre-identified thematic areas: water, digital development (ICT), power and renewable energy (energy), urban design, coastal degradation, social risk management (includes environmental science and applied </w:t>
      </w:r>
      <w:r w:rsidR="00974ACF">
        <w:rPr>
          <w:rFonts w:ascii="Calibri" w:eastAsia="Calibri" w:hAnsi="Calibri" w:cs="Calibri"/>
          <w:bCs/>
          <w:spacing w:val="-1"/>
          <w:sz w:val="22"/>
          <w:szCs w:val="22"/>
        </w:rPr>
        <w:t>i</w:t>
      </w:r>
      <w:r w:rsidRPr="002E1A3F">
        <w:rPr>
          <w:rFonts w:ascii="Calibri" w:eastAsia="Calibri" w:hAnsi="Calibri" w:cs="Calibri"/>
          <w:bCs/>
          <w:spacing w:val="-1"/>
          <w:sz w:val="22"/>
          <w:szCs w:val="22"/>
        </w:rPr>
        <w:t>mpact assessment), education, transport-logistics, quantitative economics, procurement and nursing/health professionals. At least one proposal was selected within each area with the exception of procurement (</w:t>
      </w:r>
      <w:r w:rsidR="00FC0F07">
        <w:rPr>
          <w:rFonts w:ascii="Calibri" w:eastAsia="Calibri" w:hAnsi="Calibri" w:cs="Calibri"/>
          <w:bCs/>
          <w:spacing w:val="-1"/>
          <w:sz w:val="22"/>
          <w:szCs w:val="22"/>
        </w:rPr>
        <w:t xml:space="preserve">the </w:t>
      </w:r>
      <w:r w:rsidRPr="002E1A3F">
        <w:rPr>
          <w:rFonts w:ascii="Calibri" w:eastAsia="Calibri" w:hAnsi="Calibri" w:cs="Calibri"/>
          <w:bCs/>
          <w:spacing w:val="-1"/>
          <w:sz w:val="22"/>
          <w:szCs w:val="22"/>
        </w:rPr>
        <w:t xml:space="preserve">one proposal was of low quality) and social risk management (no proposals </w:t>
      </w:r>
      <w:r w:rsidR="00974ACF">
        <w:rPr>
          <w:rFonts w:ascii="Calibri" w:eastAsia="Calibri" w:hAnsi="Calibri" w:cs="Calibri"/>
          <w:bCs/>
          <w:spacing w:val="-1"/>
          <w:sz w:val="22"/>
          <w:szCs w:val="22"/>
        </w:rPr>
        <w:t xml:space="preserve">were </w:t>
      </w:r>
      <w:r w:rsidRPr="002E1A3F">
        <w:rPr>
          <w:rFonts w:ascii="Calibri" w:eastAsia="Calibri" w:hAnsi="Calibri" w:cs="Calibri"/>
          <w:bCs/>
          <w:spacing w:val="-1"/>
          <w:sz w:val="22"/>
          <w:szCs w:val="22"/>
        </w:rPr>
        <w:t xml:space="preserve">submitted). However, </w:t>
      </w:r>
      <w:r w:rsidR="00836D6A">
        <w:rPr>
          <w:rFonts w:ascii="Calibri" w:eastAsia="Calibri" w:hAnsi="Calibri" w:cs="Calibri"/>
          <w:bCs/>
          <w:spacing w:val="-1"/>
          <w:sz w:val="22"/>
          <w:szCs w:val="22"/>
        </w:rPr>
        <w:t>one</w:t>
      </w:r>
      <w:r w:rsidR="00836D6A" w:rsidRPr="002E1A3F">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of the selected centers will receive add-on funding to offer programs in social risk management.</w:t>
      </w:r>
      <w:r w:rsidRPr="002E1A3F">
        <w:rPr>
          <w:rFonts w:ascii="Calibri" w:eastAsia="Calibri" w:hAnsi="Calibri" w:cs="Calibri"/>
          <w:b/>
          <w:bCs/>
          <w:spacing w:val="-1"/>
          <w:sz w:val="22"/>
          <w:szCs w:val="22"/>
        </w:rPr>
        <w:t xml:space="preserve"> </w:t>
      </w:r>
    </w:p>
    <w:p w14:paraId="337DEB6B" w14:textId="179D9924" w:rsidR="002E1A3F" w:rsidRDefault="00B00100" w:rsidP="006D62D4">
      <w:pPr>
        <w:widowControl/>
        <w:numPr>
          <w:ilvl w:val="0"/>
          <w:numId w:val="43"/>
        </w:numPr>
        <w:autoSpaceDE/>
        <w:autoSpaceDN/>
        <w:adjustRightInd/>
        <w:spacing w:after="120"/>
        <w:ind w:left="1080" w:hanging="45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Center funding: </w:t>
      </w:r>
      <w:r w:rsidRPr="002E1A3F">
        <w:rPr>
          <w:rFonts w:ascii="Calibri" w:eastAsia="Calibri" w:hAnsi="Calibri" w:cs="Calibri"/>
          <w:bCs/>
          <w:spacing w:val="-1"/>
          <w:sz w:val="22"/>
          <w:szCs w:val="22"/>
        </w:rPr>
        <w:t>The governments, selected universities</w:t>
      </w:r>
      <w:r w:rsidR="0011238E">
        <w:rPr>
          <w:rFonts w:ascii="Calibri" w:eastAsia="Calibri" w:hAnsi="Calibri" w:cs="Calibri"/>
          <w:bCs/>
          <w:spacing w:val="-1"/>
          <w:sz w:val="22"/>
          <w:szCs w:val="22"/>
        </w:rPr>
        <w:t>, AFD</w:t>
      </w:r>
      <w:r w:rsidRPr="002E1A3F">
        <w:rPr>
          <w:rFonts w:ascii="Calibri" w:eastAsia="Calibri" w:hAnsi="Calibri" w:cs="Calibri"/>
          <w:bCs/>
          <w:spacing w:val="-1"/>
          <w:sz w:val="22"/>
          <w:szCs w:val="22"/>
        </w:rPr>
        <w:t xml:space="preserve"> and the World Bank have defined the allocation of funds to the centers based on the funding needs of each center (taking into consideration the thematic area) and the host country’s priorities. Each center’s funds have been distributed across a set of disbursement-linked indicators/results (DLIs/DLRs). These DLIs are pre-identified indicators that once achieved by the center and independently verified, will qualify for disbursement of a pre-determined amount. The disbursements will be made against the center’s eligible expenditure program (EEP) which is part of the annual budget of its host institution. The EEPs consist of salaries, scholarships and operating costs. A detailed description of the disbursement approach is provided in Section IV.B. Each university will sign a</w:t>
      </w:r>
      <w:r w:rsidR="00883186">
        <w:rPr>
          <w:rFonts w:ascii="Calibri" w:eastAsia="Calibri" w:hAnsi="Calibri" w:cs="Calibri"/>
          <w:bCs/>
          <w:spacing w:val="-1"/>
          <w:sz w:val="22"/>
          <w:szCs w:val="22"/>
        </w:rPr>
        <w:t xml:space="preserve"> </w:t>
      </w:r>
      <w:r w:rsidR="00883186">
        <w:rPr>
          <w:rFonts w:ascii="Calibri" w:eastAsia="Calibri" w:hAnsi="Calibri" w:cs="Calibri"/>
          <w:bCs/>
          <w:spacing w:val="-1"/>
          <w:sz w:val="22"/>
          <w:szCs w:val="22"/>
        </w:rPr>
        <w:lastRenderedPageBreak/>
        <w:t>Performance and F</w:t>
      </w:r>
      <w:r w:rsidR="00794ABE">
        <w:rPr>
          <w:rFonts w:ascii="Calibri" w:eastAsia="Calibri" w:hAnsi="Calibri" w:cs="Calibri"/>
          <w:bCs/>
          <w:spacing w:val="-1"/>
          <w:sz w:val="22"/>
          <w:szCs w:val="22"/>
        </w:rPr>
        <w:t>u</w:t>
      </w:r>
      <w:r w:rsidR="00883186">
        <w:rPr>
          <w:rFonts w:ascii="Calibri" w:eastAsia="Calibri" w:hAnsi="Calibri" w:cs="Calibri"/>
          <w:bCs/>
          <w:spacing w:val="-1"/>
          <w:sz w:val="22"/>
          <w:szCs w:val="22"/>
        </w:rPr>
        <w:t>nding Agreement</w:t>
      </w:r>
      <w:r w:rsidRPr="002E1A3F">
        <w:rPr>
          <w:rFonts w:ascii="Calibri" w:eastAsia="Calibri" w:hAnsi="Calibri" w:cs="Calibri"/>
          <w:bCs/>
          <w:spacing w:val="-1"/>
          <w:sz w:val="22"/>
          <w:szCs w:val="22"/>
        </w:rPr>
        <w:t xml:space="preserve"> </w:t>
      </w:r>
      <w:r w:rsidR="00883186">
        <w:rPr>
          <w:rFonts w:ascii="Calibri" w:eastAsia="Calibri" w:hAnsi="Calibri" w:cs="Calibri"/>
          <w:bCs/>
          <w:spacing w:val="-1"/>
          <w:sz w:val="22"/>
          <w:szCs w:val="22"/>
        </w:rPr>
        <w:t>(</w:t>
      </w:r>
      <w:r w:rsidRPr="002E1A3F">
        <w:rPr>
          <w:rFonts w:ascii="Calibri" w:eastAsia="Calibri" w:hAnsi="Calibri" w:cs="Calibri"/>
          <w:bCs/>
          <w:spacing w:val="-1"/>
          <w:sz w:val="22"/>
          <w:szCs w:val="22"/>
        </w:rPr>
        <w:t>PFA</w:t>
      </w:r>
      <w:r w:rsidR="00883186">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with its government</w:t>
      </w:r>
      <w:r w:rsidR="003123EA">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These agreements will include the following stipulations: </w:t>
      </w:r>
    </w:p>
    <w:p w14:paraId="1408CAB4" w14:textId="77777777" w:rsidR="0084590D" w:rsidRPr="002E1A3F" w:rsidRDefault="0084590D" w:rsidP="006C70A5">
      <w:pPr>
        <w:widowControl/>
        <w:autoSpaceDE/>
        <w:autoSpaceDN/>
        <w:adjustRightInd/>
        <w:spacing w:after="120"/>
        <w:ind w:left="1080"/>
        <w:jc w:val="both"/>
        <w:rPr>
          <w:rFonts w:ascii="Calibri" w:eastAsia="Calibri" w:hAnsi="Calibri" w:cs="Calibri"/>
          <w:bCs/>
          <w:spacing w:val="-1"/>
          <w:sz w:val="22"/>
          <w:szCs w:val="22"/>
        </w:rPr>
      </w:pPr>
    </w:p>
    <w:p w14:paraId="00BD24DE" w14:textId="77777777" w:rsidR="002E1A3F" w:rsidRPr="002E1A3F" w:rsidRDefault="00B00100" w:rsidP="006C70A5">
      <w:pPr>
        <w:widowControl/>
        <w:numPr>
          <w:ilvl w:val="0"/>
          <w:numId w:val="8"/>
        </w:numPr>
        <w:tabs>
          <w:tab w:val="left" w:pos="0"/>
          <w:tab w:val="left" w:pos="1080"/>
        </w:tabs>
        <w:autoSpaceDE/>
        <w:autoSpaceDN/>
        <w:adjustRightInd/>
        <w:spacing w:afterLines="60" w:after="144"/>
        <w:ind w:hanging="270"/>
        <w:contextualSpacing/>
        <w:jc w:val="both"/>
        <w:rPr>
          <w:rFonts w:ascii="Calibri,Times New Roman" w:eastAsia="Calibri,Times New Roman" w:hAnsi="Calibri,Times New Roman" w:cs="Calibri,Times New Roman"/>
          <w:spacing w:val="-1"/>
          <w:sz w:val="22"/>
          <w:szCs w:val="22"/>
        </w:rPr>
      </w:pPr>
      <w:r w:rsidRPr="002E1A3F">
        <w:rPr>
          <w:rFonts w:ascii="Calibri" w:eastAsia="Calibri" w:hAnsi="Calibri" w:cs="Calibri"/>
          <w:spacing w:val="-1"/>
          <w:sz w:val="22"/>
          <w:szCs w:val="22"/>
        </w:rPr>
        <w:t>New centers may allocate up to 25 percent of funding for civil works</w:t>
      </w:r>
      <w:r w:rsidRPr="002E1A3F">
        <w:rPr>
          <w:rFonts w:ascii="Calibri,Times New Roman" w:eastAsia="Calibri,Times New Roman" w:hAnsi="Calibri,Times New Roman" w:cs="Calibri,Times New Roman"/>
          <w:spacing w:val="-1"/>
          <w:sz w:val="22"/>
          <w:szCs w:val="22"/>
        </w:rPr>
        <w:t xml:space="preserve">; </w:t>
      </w:r>
    </w:p>
    <w:p w14:paraId="733C0694" w14:textId="77777777" w:rsidR="002E1A3F" w:rsidRPr="002E1A3F" w:rsidRDefault="00B00100" w:rsidP="006C70A5">
      <w:pPr>
        <w:widowControl/>
        <w:numPr>
          <w:ilvl w:val="0"/>
          <w:numId w:val="8"/>
        </w:numPr>
        <w:tabs>
          <w:tab w:val="left" w:pos="0"/>
          <w:tab w:val="left" w:pos="1080"/>
        </w:tabs>
        <w:autoSpaceDE/>
        <w:autoSpaceDN/>
        <w:adjustRightInd/>
        <w:spacing w:before="120" w:afterLines="60" w:after="144"/>
        <w:ind w:hanging="270"/>
        <w:contextualSpacing/>
        <w:jc w:val="both"/>
        <w:rPr>
          <w:rFonts w:ascii="Calibri,Times New Roman" w:eastAsia="Calibri,Times New Roman" w:hAnsi="Calibri,Times New Roman" w:cs="Calibri,Times New Roman"/>
          <w:spacing w:val="-1"/>
          <w:sz w:val="22"/>
          <w:szCs w:val="22"/>
        </w:rPr>
      </w:pPr>
      <w:r w:rsidRPr="002E1A3F">
        <w:rPr>
          <w:rFonts w:ascii="Calibri" w:eastAsia="Calibri" w:hAnsi="Calibri" w:cs="Calibri"/>
          <w:spacing w:val="-1"/>
          <w:sz w:val="22"/>
          <w:szCs w:val="22"/>
        </w:rPr>
        <w:t>At least 15 percent of the funds will be invested in partnership activities. Partnership agreements between ACEs and their partners will include</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 detailed work</w:t>
      </w:r>
      <w:r w:rsidR="00D64F3A">
        <w:rPr>
          <w:rFonts w:ascii="Calibri" w:eastAsia="Calibri" w:hAnsi="Calibri" w:cs="Calibri"/>
          <w:spacing w:val="-1"/>
          <w:sz w:val="22"/>
          <w:szCs w:val="22"/>
        </w:rPr>
        <w:t xml:space="preserve"> </w:t>
      </w:r>
      <w:r w:rsidRPr="002E1A3F">
        <w:rPr>
          <w:rFonts w:ascii="Calibri" w:eastAsia="Calibri" w:hAnsi="Calibri" w:cs="Calibri"/>
          <w:spacing w:val="-1"/>
          <w:sz w:val="22"/>
          <w:szCs w:val="22"/>
        </w:rPr>
        <w:t>plan, budget and agreed results</w:t>
      </w:r>
      <w:r w:rsidRPr="002E1A3F">
        <w:rPr>
          <w:rFonts w:ascii="Calibri,Times New Roman" w:eastAsia="Calibri,Times New Roman" w:hAnsi="Calibri,Times New Roman" w:cs="Calibri,Times New Roman"/>
          <w:spacing w:val="-1"/>
          <w:sz w:val="22"/>
          <w:szCs w:val="22"/>
        </w:rPr>
        <w:t>;</w:t>
      </w:r>
    </w:p>
    <w:p w14:paraId="60D542DE" w14:textId="67B78AAF" w:rsidR="002E1A3F" w:rsidRPr="002E1A3F" w:rsidRDefault="00B00100" w:rsidP="006C70A5">
      <w:pPr>
        <w:widowControl/>
        <w:numPr>
          <w:ilvl w:val="0"/>
          <w:numId w:val="8"/>
        </w:numPr>
        <w:tabs>
          <w:tab w:val="left" w:pos="0"/>
          <w:tab w:val="left" w:pos="1080"/>
        </w:tabs>
        <w:autoSpaceDE/>
        <w:autoSpaceDN/>
        <w:adjustRightInd/>
        <w:spacing w:before="120" w:afterLines="60" w:after="144"/>
        <w:ind w:hanging="270"/>
        <w:contextualSpacing/>
        <w:jc w:val="both"/>
        <w:rPr>
          <w:rFonts w:ascii="Calibri,Times New Roman" w:eastAsia="Calibri,Times New Roman" w:hAnsi="Calibri,Times New Roman" w:cs="Calibri,Times New Roman"/>
          <w:spacing w:val="-1"/>
          <w:sz w:val="22"/>
          <w:szCs w:val="22"/>
        </w:rPr>
      </w:pPr>
      <w:r>
        <w:rPr>
          <w:rFonts w:ascii="Calibri" w:eastAsia="Calibri" w:hAnsi="Calibri" w:cs="Calibri"/>
          <w:spacing w:val="-1"/>
          <w:sz w:val="22"/>
          <w:szCs w:val="22"/>
        </w:rPr>
        <w:t xml:space="preserve">Between </w:t>
      </w:r>
      <w:r w:rsidR="007662A0" w:rsidRPr="002E1A3F">
        <w:rPr>
          <w:rFonts w:ascii="Calibri" w:eastAsia="Calibri" w:hAnsi="Calibri" w:cs="Calibri"/>
          <w:spacing w:val="-1"/>
          <w:sz w:val="22"/>
          <w:szCs w:val="22"/>
        </w:rPr>
        <w:t>10</w:t>
      </w:r>
      <w:r>
        <w:rPr>
          <w:rFonts w:ascii="Calibri" w:eastAsia="Calibri" w:hAnsi="Calibri" w:cs="Calibri"/>
          <w:spacing w:val="-1"/>
          <w:sz w:val="22"/>
          <w:szCs w:val="22"/>
        </w:rPr>
        <w:t xml:space="preserve"> </w:t>
      </w:r>
      <w:r w:rsidR="00F2216A">
        <w:rPr>
          <w:rFonts w:ascii="Calibri" w:eastAsia="Calibri" w:hAnsi="Calibri" w:cs="Calibri"/>
          <w:spacing w:val="-1"/>
          <w:sz w:val="22"/>
          <w:szCs w:val="22"/>
        </w:rPr>
        <w:t>and</w:t>
      </w:r>
      <w:r>
        <w:rPr>
          <w:rFonts w:ascii="Calibri" w:eastAsia="Calibri" w:hAnsi="Calibri" w:cs="Calibri"/>
          <w:spacing w:val="-1"/>
          <w:sz w:val="22"/>
          <w:szCs w:val="22"/>
        </w:rPr>
        <w:t xml:space="preserve"> 20</w:t>
      </w:r>
      <w:r w:rsidR="007662A0" w:rsidRPr="002E1A3F">
        <w:rPr>
          <w:rFonts w:ascii="Calibri" w:eastAsia="Calibri" w:hAnsi="Calibri" w:cs="Calibri"/>
          <w:spacing w:val="-1"/>
          <w:sz w:val="22"/>
          <w:szCs w:val="22"/>
        </w:rPr>
        <w:t xml:space="preserve"> percent of the amount of funding will go towards the ACE host institution’s activities </w:t>
      </w:r>
      <w:r w:rsidR="00E047B0">
        <w:rPr>
          <w:rFonts w:ascii="Calibri" w:eastAsia="Calibri" w:hAnsi="Calibri" w:cs="Calibri"/>
          <w:spacing w:val="-1"/>
          <w:sz w:val="22"/>
          <w:szCs w:val="22"/>
        </w:rPr>
        <w:t xml:space="preserve">- focused on institutional impact - </w:t>
      </w:r>
      <w:r w:rsidR="007662A0" w:rsidRPr="002E1A3F">
        <w:rPr>
          <w:rFonts w:ascii="Calibri" w:eastAsia="Calibri" w:hAnsi="Calibri" w:cs="Calibri"/>
          <w:spacing w:val="-1"/>
          <w:sz w:val="22"/>
          <w:szCs w:val="22"/>
        </w:rPr>
        <w:t>which will be included in the implementation plan and annual work</w:t>
      </w:r>
      <w:r w:rsidR="00D64F3A">
        <w:rPr>
          <w:rFonts w:ascii="Calibri" w:eastAsia="Calibri" w:hAnsi="Calibri" w:cs="Calibri"/>
          <w:spacing w:val="-1"/>
          <w:sz w:val="22"/>
          <w:szCs w:val="22"/>
        </w:rPr>
        <w:t xml:space="preserve"> </w:t>
      </w:r>
      <w:r w:rsidR="007662A0" w:rsidRPr="002E1A3F">
        <w:rPr>
          <w:rFonts w:ascii="Calibri" w:eastAsia="Calibri" w:hAnsi="Calibri" w:cs="Calibri"/>
          <w:spacing w:val="-1"/>
          <w:sz w:val="22"/>
          <w:szCs w:val="22"/>
        </w:rPr>
        <w:t>plans of the ACE</w:t>
      </w:r>
      <w:r w:rsidR="00C605A4">
        <w:rPr>
          <w:rFonts w:ascii="Calibri" w:eastAsia="Calibri" w:hAnsi="Calibri" w:cs="Calibri"/>
          <w:spacing w:val="-1"/>
          <w:sz w:val="22"/>
          <w:szCs w:val="22"/>
        </w:rPr>
        <w:t xml:space="preserve">. </w:t>
      </w:r>
      <w:r w:rsidR="00A7064E">
        <w:rPr>
          <w:rFonts w:ascii="Calibri" w:eastAsia="Calibri" w:hAnsi="Calibri" w:cs="Calibri"/>
          <w:spacing w:val="-1"/>
          <w:sz w:val="22"/>
          <w:szCs w:val="22"/>
        </w:rPr>
        <w:t xml:space="preserve">The exact allocation will be indicated in DLI tables developed for each center. </w:t>
      </w:r>
      <w:r w:rsidR="00F4546E">
        <w:rPr>
          <w:rFonts w:ascii="Calibri" w:eastAsia="Calibri" w:hAnsi="Calibri" w:cs="Calibri"/>
          <w:spacing w:val="-1"/>
          <w:sz w:val="22"/>
          <w:szCs w:val="22"/>
        </w:rPr>
        <w:t>Heads of the host institutions will be encouraged to undertake activities that link to the sustainability of the centers they host</w:t>
      </w:r>
      <w:r w:rsidR="000F5857">
        <w:rPr>
          <w:rFonts w:ascii="Calibri" w:eastAsia="Calibri" w:hAnsi="Calibri" w:cs="Calibri"/>
          <w:spacing w:val="-1"/>
          <w:sz w:val="22"/>
          <w:szCs w:val="22"/>
        </w:rPr>
        <w:t xml:space="preserve"> during project implementation</w:t>
      </w:r>
      <w:r w:rsidR="007662A0" w:rsidRPr="002E1A3F">
        <w:rPr>
          <w:rFonts w:ascii="Calibri" w:eastAsia="Calibri" w:hAnsi="Calibri" w:cs="Calibri"/>
          <w:spacing w:val="-1"/>
          <w:sz w:val="22"/>
          <w:szCs w:val="22"/>
        </w:rPr>
        <w:t>;</w:t>
      </w:r>
    </w:p>
    <w:p w14:paraId="707321A0" w14:textId="77777777" w:rsidR="002E1A3F" w:rsidRPr="002E1A3F" w:rsidRDefault="00B00100" w:rsidP="006C70A5">
      <w:pPr>
        <w:widowControl/>
        <w:numPr>
          <w:ilvl w:val="0"/>
          <w:numId w:val="8"/>
        </w:numPr>
        <w:tabs>
          <w:tab w:val="left" w:pos="0"/>
          <w:tab w:val="left" w:pos="1080"/>
        </w:tabs>
        <w:autoSpaceDE/>
        <w:autoSpaceDN/>
        <w:adjustRightInd/>
        <w:spacing w:before="120" w:afterLines="60" w:after="144"/>
        <w:ind w:hanging="270"/>
        <w:contextualSpacing/>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Government and institutional contributions (in-kind, staffing </w:t>
      </w:r>
      <w:r w:rsidRPr="002E1A3F">
        <w:rPr>
          <w:rFonts w:ascii="Calibri" w:eastAsia="Calibri" w:hAnsi="Calibri" w:cs="Calibri"/>
          <w:color w:val="auto"/>
          <w:sz w:val="22"/>
          <w:szCs w:val="22"/>
        </w:rPr>
        <w:t xml:space="preserve">and financing) for the center’s establishment and </w:t>
      </w:r>
      <w:r w:rsidR="003B1D21">
        <w:rPr>
          <w:rFonts w:ascii="Calibri" w:eastAsia="Calibri" w:hAnsi="Calibri" w:cs="Calibri"/>
          <w:color w:val="auto"/>
          <w:sz w:val="22"/>
          <w:szCs w:val="22"/>
        </w:rPr>
        <w:t xml:space="preserve">long-term </w:t>
      </w:r>
      <w:r w:rsidRPr="002E1A3F">
        <w:rPr>
          <w:rFonts w:ascii="Calibri" w:eastAsia="Calibri" w:hAnsi="Calibri" w:cs="Calibri"/>
          <w:spacing w:val="-1"/>
          <w:sz w:val="22"/>
          <w:szCs w:val="22"/>
        </w:rPr>
        <w:t>sustainability</w:t>
      </w:r>
      <w:r w:rsidRPr="002E1A3F">
        <w:rPr>
          <w:rFonts w:ascii="Calibri" w:eastAsia="Calibri" w:hAnsi="Calibri" w:cs="Calibri"/>
          <w:color w:val="auto"/>
          <w:sz w:val="22"/>
          <w:szCs w:val="22"/>
        </w:rPr>
        <w:t xml:space="preserve"> </w:t>
      </w:r>
      <w:r w:rsidR="003B1D21">
        <w:rPr>
          <w:rFonts w:ascii="Calibri" w:eastAsia="Calibri" w:hAnsi="Calibri" w:cs="Calibri"/>
          <w:color w:val="auto"/>
          <w:sz w:val="22"/>
          <w:szCs w:val="22"/>
        </w:rPr>
        <w:t xml:space="preserve">beyond </w:t>
      </w:r>
      <w:r w:rsidR="00BB4A89">
        <w:rPr>
          <w:rFonts w:ascii="Calibri" w:eastAsia="Calibri" w:hAnsi="Calibri" w:cs="Calibri"/>
          <w:color w:val="auto"/>
          <w:sz w:val="22"/>
          <w:szCs w:val="22"/>
        </w:rPr>
        <w:t>the Second ACE Impact Project</w:t>
      </w:r>
      <w:r w:rsidR="003B1D21">
        <w:rPr>
          <w:rFonts w:ascii="Calibri" w:eastAsia="Calibri" w:hAnsi="Calibri" w:cs="Calibri"/>
          <w:color w:val="auto"/>
          <w:sz w:val="22"/>
          <w:szCs w:val="22"/>
        </w:rPr>
        <w:t xml:space="preserve"> funding</w:t>
      </w:r>
      <w:r w:rsidR="0029593C">
        <w:rPr>
          <w:rFonts w:ascii="Calibri" w:eastAsia="Calibri" w:hAnsi="Calibri" w:cs="Calibri"/>
          <w:color w:val="auto"/>
          <w:sz w:val="22"/>
          <w:szCs w:val="22"/>
        </w:rPr>
        <w:t xml:space="preserve"> </w:t>
      </w:r>
      <w:r w:rsidRPr="002E1A3F">
        <w:rPr>
          <w:rFonts w:ascii="Calibri" w:eastAsia="Calibri" w:hAnsi="Calibri" w:cs="Calibri"/>
          <w:color w:val="auto"/>
          <w:sz w:val="22"/>
          <w:szCs w:val="22"/>
        </w:rPr>
        <w:t>are expected</w:t>
      </w:r>
      <w:r w:rsidRPr="002E1A3F">
        <w:rPr>
          <w:rFonts w:ascii="Calibri" w:eastAsia="Calibri,Times New Roman" w:hAnsi="Calibri" w:cs="Calibri"/>
          <w:color w:val="auto"/>
          <w:sz w:val="22"/>
          <w:szCs w:val="22"/>
        </w:rPr>
        <w:t>; and</w:t>
      </w:r>
    </w:p>
    <w:p w14:paraId="0BDDF54F" w14:textId="77777777" w:rsidR="00E73C35" w:rsidRPr="008E2709" w:rsidRDefault="00B00100" w:rsidP="006C70A5">
      <w:pPr>
        <w:widowControl/>
        <w:numPr>
          <w:ilvl w:val="0"/>
          <w:numId w:val="8"/>
        </w:numPr>
        <w:tabs>
          <w:tab w:val="left" w:pos="0"/>
          <w:tab w:val="left" w:pos="1080"/>
        </w:tabs>
        <w:autoSpaceDE/>
        <w:autoSpaceDN/>
        <w:adjustRightInd/>
        <w:spacing w:afterLines="60" w:after="144"/>
        <w:ind w:hanging="270"/>
        <w:contextualSpacing/>
        <w:jc w:val="both"/>
        <w:rPr>
          <w:rFonts w:ascii="Calibri" w:eastAsia="Times New Roman" w:hAnsi="Calibri" w:cs="Calibri"/>
          <w:b/>
          <w:bCs/>
          <w:i/>
          <w:color w:val="2E74B5"/>
          <w:sz w:val="22"/>
          <w:szCs w:val="22"/>
        </w:rPr>
      </w:pPr>
      <w:r w:rsidRPr="00350253">
        <w:rPr>
          <w:rFonts w:ascii="Calibri" w:eastAsia="Calibri" w:hAnsi="Calibri" w:cs="Calibri"/>
          <w:spacing w:val="-1"/>
          <w:sz w:val="22"/>
          <w:szCs w:val="22"/>
        </w:rPr>
        <w:t>Based upon performance, the amount of funding provided to each center and usage of the funding can be adjusted by the World Bank in consultation with the respective ACE host government</w:t>
      </w:r>
      <w:r w:rsidRPr="00350253">
        <w:rPr>
          <w:rFonts w:ascii="Calibri" w:eastAsia="Calibri,Times New Roman" w:hAnsi="Calibri" w:cs="Calibri"/>
          <w:spacing w:val="-1"/>
          <w:sz w:val="22"/>
          <w:szCs w:val="22"/>
        </w:rPr>
        <w:t xml:space="preserve">. At mid-term, expected to be two years after signing the </w:t>
      </w:r>
      <w:r w:rsidR="00974ACF">
        <w:rPr>
          <w:rFonts w:ascii="Calibri" w:eastAsia="Calibri,Times New Roman" w:hAnsi="Calibri" w:cs="Calibri"/>
          <w:spacing w:val="-1"/>
          <w:sz w:val="22"/>
          <w:szCs w:val="22"/>
        </w:rPr>
        <w:t>PFA</w:t>
      </w:r>
      <w:r w:rsidRPr="00350253">
        <w:rPr>
          <w:rFonts w:ascii="Calibri" w:eastAsia="Calibri,Times New Roman" w:hAnsi="Calibri" w:cs="Calibri"/>
          <w:spacing w:val="-1"/>
          <w:sz w:val="22"/>
          <w:szCs w:val="22"/>
        </w:rPr>
        <w:t xml:space="preserve">, there will be a thorough evaluation of performance and the grant supporting each center will be reviewed.  </w:t>
      </w:r>
      <w:r w:rsidRPr="00350253">
        <w:rPr>
          <w:rFonts w:ascii="Calibri" w:eastAsia="Calibri" w:hAnsi="Calibri" w:cs="Calibri"/>
          <w:color w:val="auto"/>
          <w:sz w:val="22"/>
          <w:szCs w:val="22"/>
        </w:rPr>
        <w:t xml:space="preserve">In particular, it is expected that poor performing centers will have their grant reduced </w:t>
      </w:r>
      <w:r w:rsidRPr="00350253">
        <w:rPr>
          <w:rFonts w:ascii="Calibri" w:eastAsia="Calibri" w:hAnsi="Calibri" w:cs="Calibri"/>
          <w:bCs/>
          <w:color w:val="auto"/>
          <w:sz w:val="22"/>
          <w:szCs w:val="22"/>
        </w:rPr>
        <w:t xml:space="preserve">by 50 percent </w:t>
      </w:r>
      <w:r w:rsidRPr="00350253">
        <w:rPr>
          <w:rFonts w:ascii="Calibri" w:eastAsia="Calibri" w:hAnsi="Calibri" w:cs="Calibri"/>
          <w:color w:val="auto"/>
          <w:sz w:val="22"/>
          <w:szCs w:val="22"/>
        </w:rPr>
        <w:t xml:space="preserve">of the uncommitted amount that is above half of their grant. This additional funding will be made available to </w:t>
      </w:r>
      <w:r w:rsidR="00974ACF">
        <w:rPr>
          <w:rFonts w:ascii="Calibri" w:eastAsia="Calibri" w:hAnsi="Calibri" w:cs="Calibri"/>
          <w:color w:val="auto"/>
          <w:sz w:val="22"/>
          <w:szCs w:val="22"/>
        </w:rPr>
        <w:t xml:space="preserve">well-performing </w:t>
      </w:r>
      <w:r w:rsidRPr="00350253">
        <w:rPr>
          <w:rFonts w:ascii="Calibri" w:eastAsia="Calibri" w:hAnsi="Calibri" w:cs="Calibri"/>
          <w:color w:val="auto"/>
          <w:sz w:val="22"/>
          <w:szCs w:val="22"/>
        </w:rPr>
        <w:t xml:space="preserve">institutions that are </w:t>
      </w:r>
      <w:r w:rsidR="00974ACF">
        <w:rPr>
          <w:rFonts w:ascii="Calibri" w:eastAsia="Calibri" w:hAnsi="Calibri" w:cs="Calibri"/>
          <w:color w:val="auto"/>
          <w:sz w:val="22"/>
          <w:szCs w:val="22"/>
        </w:rPr>
        <w:t xml:space="preserve">well </w:t>
      </w:r>
      <w:r w:rsidRPr="00350253">
        <w:rPr>
          <w:rFonts w:ascii="Calibri" w:eastAsia="Calibri" w:hAnsi="Calibri" w:cs="Calibri"/>
          <w:color w:val="auto"/>
          <w:sz w:val="22"/>
          <w:szCs w:val="22"/>
        </w:rPr>
        <w:t>performing. These gradual and</w:t>
      </w:r>
      <w:r w:rsidRPr="00350253">
        <w:rPr>
          <w:rFonts w:ascii="Calibri" w:eastAsia="Calibri,Times New Roman" w:hAnsi="Calibri" w:cs="Calibri"/>
          <w:spacing w:val="-1"/>
          <w:sz w:val="22"/>
          <w:szCs w:val="22"/>
        </w:rPr>
        <w:t xml:space="preserve"> automatic reductions in grant amounts seek to reduce the risk of having large funds committed to institutions that are slower in achieving results and implementation.</w:t>
      </w:r>
    </w:p>
    <w:p w14:paraId="5D1886AE" w14:textId="77777777" w:rsidR="00401981" w:rsidRPr="00350253" w:rsidRDefault="00401981" w:rsidP="008E2709">
      <w:pPr>
        <w:widowControl/>
        <w:tabs>
          <w:tab w:val="left" w:pos="0"/>
          <w:tab w:val="left" w:pos="720"/>
        </w:tabs>
        <w:autoSpaceDE/>
        <w:autoSpaceDN/>
        <w:adjustRightInd/>
        <w:spacing w:afterLines="60" w:after="144"/>
        <w:ind w:left="720"/>
        <w:contextualSpacing/>
        <w:jc w:val="both"/>
        <w:rPr>
          <w:rFonts w:ascii="Calibri" w:eastAsia="Times New Roman" w:hAnsi="Calibri" w:cs="Calibri"/>
          <w:b/>
          <w:bCs/>
          <w:i/>
          <w:color w:val="2E74B5"/>
          <w:sz w:val="22"/>
          <w:szCs w:val="22"/>
        </w:rPr>
      </w:pPr>
    </w:p>
    <w:p w14:paraId="10F396C8" w14:textId="77777777" w:rsidR="002E1A3F" w:rsidRPr="007028A5" w:rsidRDefault="00B00100" w:rsidP="001118F8">
      <w:pPr>
        <w:tabs>
          <w:tab w:val="left" w:pos="0"/>
          <w:tab w:val="left" w:pos="720"/>
        </w:tabs>
        <w:spacing w:after="240"/>
        <w:jc w:val="both"/>
        <w:rPr>
          <w:rFonts w:ascii="Calibri" w:eastAsia="Times New Roman" w:hAnsi="Calibri" w:cs="Calibri"/>
          <w:b/>
          <w:i/>
          <w:color w:val="2E74B5"/>
          <w:sz w:val="22"/>
          <w:szCs w:val="22"/>
        </w:rPr>
      </w:pPr>
      <w:r w:rsidRPr="007028A5">
        <w:rPr>
          <w:rFonts w:ascii="Calibri" w:eastAsia="Times New Roman" w:hAnsi="Calibri" w:cs="Calibri"/>
          <w:b/>
          <w:bCs/>
          <w:i/>
          <w:color w:val="2E74B5"/>
          <w:sz w:val="22"/>
          <w:szCs w:val="22"/>
        </w:rPr>
        <w:t xml:space="preserve">Sub-component 1.1: Support to establish </w:t>
      </w:r>
      <w:r w:rsidR="00A80F45">
        <w:rPr>
          <w:rFonts w:ascii="Calibri" w:eastAsia="Times New Roman" w:hAnsi="Calibri" w:cs="Calibri"/>
          <w:b/>
          <w:bCs/>
          <w:i/>
          <w:color w:val="2E74B5"/>
          <w:sz w:val="22"/>
          <w:szCs w:val="22"/>
        </w:rPr>
        <w:t>n</w:t>
      </w:r>
      <w:r w:rsidRPr="007028A5">
        <w:rPr>
          <w:rFonts w:ascii="Calibri" w:eastAsia="Times New Roman" w:hAnsi="Calibri" w:cs="Calibri"/>
          <w:b/>
          <w:bCs/>
          <w:i/>
          <w:color w:val="2E74B5"/>
          <w:sz w:val="22"/>
          <w:szCs w:val="22"/>
        </w:rPr>
        <w:t>ew centers of excellence (Total: US$</w:t>
      </w:r>
      <w:r w:rsidR="00D712A3" w:rsidRPr="00F751BF">
        <w:rPr>
          <w:rFonts w:ascii="Calibri" w:eastAsia="Times New Roman" w:hAnsi="Calibri" w:cs="Calibri"/>
          <w:b/>
          <w:bCs/>
          <w:i/>
          <w:color w:val="2E74B5"/>
          <w:sz w:val="22"/>
          <w:szCs w:val="22"/>
        </w:rPr>
        <w:t>1</w:t>
      </w:r>
      <w:r w:rsidR="00D545EF" w:rsidRPr="00F751BF">
        <w:rPr>
          <w:rFonts w:ascii="Calibri" w:eastAsia="Times New Roman" w:hAnsi="Calibri" w:cs="Calibri"/>
          <w:b/>
          <w:bCs/>
          <w:i/>
          <w:color w:val="2E74B5"/>
          <w:sz w:val="22"/>
          <w:szCs w:val="22"/>
        </w:rPr>
        <w:t>6</w:t>
      </w:r>
      <w:r w:rsidR="005D636B">
        <w:rPr>
          <w:rFonts w:ascii="Calibri" w:eastAsia="Times New Roman" w:hAnsi="Calibri" w:cs="Calibri"/>
          <w:b/>
          <w:bCs/>
          <w:i/>
          <w:color w:val="2E74B5"/>
          <w:sz w:val="22"/>
          <w:szCs w:val="22"/>
        </w:rPr>
        <w:t>6</w:t>
      </w:r>
      <w:r w:rsidRPr="00F751BF">
        <w:rPr>
          <w:rFonts w:ascii="Calibri" w:eastAsia="Times New Roman" w:hAnsi="Calibri" w:cs="Calibri"/>
          <w:b/>
          <w:bCs/>
          <w:i/>
          <w:color w:val="2E74B5"/>
          <w:sz w:val="22"/>
          <w:szCs w:val="22"/>
        </w:rPr>
        <w:t xml:space="preserve"> million </w:t>
      </w:r>
      <w:r w:rsidR="003D6192" w:rsidRPr="00F751BF">
        <w:rPr>
          <w:rFonts w:ascii="Calibri" w:eastAsia="Times New Roman" w:hAnsi="Calibri" w:cs="Calibri"/>
          <w:b/>
          <w:bCs/>
          <w:i/>
          <w:color w:val="2E74B5"/>
          <w:sz w:val="22"/>
          <w:szCs w:val="22"/>
        </w:rPr>
        <w:t xml:space="preserve">equivalent </w:t>
      </w:r>
      <w:r w:rsidRPr="00F751BF">
        <w:rPr>
          <w:rFonts w:ascii="Calibri" w:eastAsia="Times New Roman" w:hAnsi="Calibri" w:cs="Calibri"/>
          <w:b/>
          <w:bCs/>
          <w:i/>
          <w:color w:val="2E74B5"/>
          <w:sz w:val="22"/>
          <w:szCs w:val="22"/>
        </w:rPr>
        <w:t>of which IDA US$</w:t>
      </w:r>
      <w:r w:rsidR="00A45157">
        <w:rPr>
          <w:rFonts w:ascii="Calibri" w:eastAsia="Times New Roman" w:hAnsi="Calibri" w:cs="Calibri"/>
          <w:b/>
          <w:i/>
          <w:color w:val="2E74B5"/>
          <w:sz w:val="22"/>
          <w:szCs w:val="22"/>
        </w:rPr>
        <w:t>51</w:t>
      </w:r>
      <w:r w:rsidR="00D712A3" w:rsidRPr="007028A5">
        <w:rPr>
          <w:rFonts w:ascii="Calibri" w:eastAsia="Times New Roman" w:hAnsi="Calibri" w:cs="Calibri"/>
          <w:b/>
          <w:i/>
          <w:color w:val="2E74B5"/>
          <w:sz w:val="22"/>
          <w:szCs w:val="22"/>
        </w:rPr>
        <w:t>.5</w:t>
      </w:r>
      <w:r w:rsidRPr="007028A5">
        <w:rPr>
          <w:rFonts w:ascii="Calibri" w:eastAsia="Times New Roman" w:hAnsi="Calibri" w:cs="Calibri"/>
          <w:b/>
          <w:i/>
          <w:color w:val="2E74B5"/>
          <w:sz w:val="22"/>
          <w:szCs w:val="22"/>
        </w:rPr>
        <w:t xml:space="preserve"> million</w:t>
      </w:r>
      <w:r w:rsidR="003D6192" w:rsidRPr="007028A5">
        <w:rPr>
          <w:rFonts w:ascii="Calibri" w:eastAsia="Times New Roman" w:hAnsi="Calibri" w:cs="Calibri"/>
          <w:b/>
          <w:i/>
          <w:color w:val="2E74B5"/>
          <w:sz w:val="22"/>
          <w:szCs w:val="22"/>
        </w:rPr>
        <w:t xml:space="preserve"> equivalent</w:t>
      </w:r>
      <w:r w:rsidRPr="007028A5">
        <w:rPr>
          <w:rFonts w:ascii="Calibri" w:eastAsia="Times New Roman" w:hAnsi="Calibri" w:cs="Calibri"/>
          <w:b/>
          <w:i/>
          <w:color w:val="2E74B5"/>
          <w:sz w:val="22"/>
          <w:szCs w:val="22"/>
        </w:rPr>
        <w:t xml:space="preserve">, AFD </w:t>
      </w:r>
      <w:r w:rsidR="003C3AF6" w:rsidRPr="007028A5">
        <w:rPr>
          <w:rFonts w:ascii="Calibri" w:eastAsia="Times New Roman" w:hAnsi="Calibri" w:cs="Calibri"/>
          <w:b/>
          <w:i/>
          <w:color w:val="2E74B5"/>
          <w:sz w:val="22"/>
          <w:szCs w:val="22"/>
        </w:rPr>
        <w:t xml:space="preserve">co-financing </w:t>
      </w:r>
      <w:r w:rsidRPr="007028A5">
        <w:rPr>
          <w:rFonts w:ascii="Calibri" w:eastAsia="Times New Roman" w:hAnsi="Calibri" w:cs="Calibri"/>
          <w:b/>
          <w:i/>
          <w:color w:val="2E74B5"/>
          <w:sz w:val="22"/>
          <w:szCs w:val="22"/>
        </w:rPr>
        <w:t>US$</w:t>
      </w:r>
      <w:r w:rsidR="00500143">
        <w:rPr>
          <w:rFonts w:ascii="Calibri" w:eastAsia="Times New Roman" w:hAnsi="Calibri" w:cs="Calibri"/>
          <w:b/>
          <w:i/>
          <w:color w:val="2E74B5"/>
          <w:sz w:val="22"/>
          <w:szCs w:val="22"/>
        </w:rPr>
        <w:t>31</w:t>
      </w:r>
      <w:r w:rsidR="00B84B1F" w:rsidRPr="007028A5">
        <w:rPr>
          <w:rFonts w:ascii="Calibri" w:eastAsia="Times New Roman" w:hAnsi="Calibri" w:cs="Calibri"/>
          <w:b/>
          <w:i/>
          <w:color w:val="2E74B5"/>
          <w:sz w:val="22"/>
          <w:szCs w:val="22"/>
        </w:rPr>
        <w:t>.5</w:t>
      </w:r>
      <w:r w:rsidRPr="007028A5">
        <w:rPr>
          <w:rFonts w:ascii="Calibri" w:eastAsia="Times New Roman" w:hAnsi="Calibri" w:cs="Calibri"/>
          <w:b/>
          <w:i/>
          <w:color w:val="2E74B5"/>
          <w:sz w:val="22"/>
          <w:szCs w:val="22"/>
        </w:rPr>
        <w:t xml:space="preserve"> million </w:t>
      </w:r>
      <w:r w:rsidR="003D6192" w:rsidRPr="007028A5">
        <w:rPr>
          <w:rFonts w:ascii="Calibri" w:eastAsia="Times New Roman" w:hAnsi="Calibri" w:cs="Calibri"/>
          <w:b/>
          <w:i/>
          <w:color w:val="2E74B5"/>
          <w:sz w:val="22"/>
          <w:szCs w:val="22"/>
        </w:rPr>
        <w:t xml:space="preserve">equivalent </w:t>
      </w:r>
      <w:r w:rsidRPr="007028A5">
        <w:rPr>
          <w:rFonts w:ascii="Calibri" w:eastAsia="Times New Roman" w:hAnsi="Calibri" w:cs="Calibri"/>
          <w:b/>
          <w:i/>
          <w:color w:val="2E74B5"/>
          <w:sz w:val="22"/>
          <w:szCs w:val="22"/>
        </w:rPr>
        <w:t>and government contribution is US$</w:t>
      </w:r>
      <w:r w:rsidR="007D02DD" w:rsidRPr="007028A5">
        <w:rPr>
          <w:rFonts w:ascii="Calibri" w:eastAsia="Times New Roman" w:hAnsi="Calibri" w:cs="Calibri"/>
          <w:b/>
          <w:i/>
          <w:color w:val="2E74B5"/>
          <w:sz w:val="22"/>
          <w:szCs w:val="22"/>
        </w:rPr>
        <w:t>8</w:t>
      </w:r>
      <w:r w:rsidR="005D636B">
        <w:rPr>
          <w:rFonts w:ascii="Calibri" w:eastAsia="Times New Roman" w:hAnsi="Calibri" w:cs="Calibri"/>
          <w:b/>
          <w:i/>
          <w:color w:val="2E74B5"/>
          <w:sz w:val="22"/>
          <w:szCs w:val="22"/>
        </w:rPr>
        <w:t>3</w:t>
      </w:r>
      <w:r w:rsidRPr="007028A5">
        <w:rPr>
          <w:rFonts w:ascii="Calibri" w:eastAsia="Times New Roman" w:hAnsi="Calibri" w:cs="Calibri"/>
          <w:b/>
          <w:i/>
          <w:color w:val="2E74B5"/>
          <w:sz w:val="22"/>
          <w:szCs w:val="22"/>
        </w:rPr>
        <w:t xml:space="preserve"> million</w:t>
      </w:r>
      <w:r w:rsidR="003D6192" w:rsidRPr="007028A5">
        <w:rPr>
          <w:rFonts w:ascii="Calibri" w:eastAsia="Times New Roman" w:hAnsi="Calibri" w:cs="Calibri"/>
          <w:b/>
          <w:i/>
          <w:color w:val="2E74B5"/>
          <w:sz w:val="22"/>
          <w:szCs w:val="22"/>
        </w:rPr>
        <w:t xml:space="preserve"> equivalent</w:t>
      </w:r>
      <w:r w:rsidRPr="007028A5">
        <w:rPr>
          <w:rFonts w:ascii="Calibri" w:eastAsia="Times New Roman" w:hAnsi="Calibri" w:cs="Calibri"/>
          <w:b/>
          <w:i/>
          <w:color w:val="2E74B5"/>
          <w:sz w:val="22"/>
          <w:szCs w:val="22"/>
        </w:rPr>
        <w:t>)</w:t>
      </w:r>
    </w:p>
    <w:p w14:paraId="6BEC3AC4" w14:textId="31BAED32" w:rsidR="002E1A3F" w:rsidRPr="009B1626"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2E1A3F">
        <w:rPr>
          <w:rFonts w:ascii="Calibri" w:eastAsia="Calibri" w:hAnsi="Calibri" w:cs="Calibri"/>
          <w:b/>
          <w:bCs/>
          <w:spacing w:val="-1"/>
          <w:sz w:val="22"/>
          <w:szCs w:val="22"/>
        </w:rPr>
        <w:t>Sub-component 1.1</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b/>
          <w:bCs/>
          <w:spacing w:val="-1"/>
          <w:sz w:val="22"/>
          <w:szCs w:val="22"/>
        </w:rPr>
        <w:t>aims to support the establishment of 1</w:t>
      </w:r>
      <w:r w:rsidR="00371946">
        <w:rPr>
          <w:rFonts w:ascii="Calibri" w:eastAsia="Calibri" w:hAnsi="Calibri" w:cs="Calibri"/>
          <w:b/>
          <w:bCs/>
          <w:spacing w:val="-1"/>
          <w:sz w:val="22"/>
          <w:szCs w:val="22"/>
        </w:rPr>
        <w:t>4</w:t>
      </w:r>
      <w:r w:rsidRPr="002E1A3F">
        <w:rPr>
          <w:rFonts w:ascii="Calibri" w:eastAsia="Calibri" w:hAnsi="Calibri" w:cs="Calibri"/>
          <w:b/>
          <w:bCs/>
          <w:spacing w:val="-1"/>
          <w:sz w:val="22"/>
          <w:szCs w:val="22"/>
        </w:rPr>
        <w:t xml:space="preserve"> </w:t>
      </w:r>
      <w:r w:rsidR="00A572B0">
        <w:rPr>
          <w:rFonts w:ascii="Calibri" w:eastAsia="Calibri" w:hAnsi="Calibri" w:cs="Calibri"/>
          <w:b/>
          <w:bCs/>
          <w:spacing w:val="-1"/>
          <w:sz w:val="22"/>
          <w:szCs w:val="22"/>
        </w:rPr>
        <w:t>N</w:t>
      </w:r>
      <w:r w:rsidRPr="002E1A3F">
        <w:rPr>
          <w:rFonts w:ascii="Calibri" w:eastAsia="Calibri" w:hAnsi="Calibri" w:cs="Calibri"/>
          <w:b/>
          <w:bCs/>
          <w:spacing w:val="-1"/>
          <w:sz w:val="22"/>
          <w:szCs w:val="22"/>
        </w:rPr>
        <w:t>ew ACE Impact centers and</w:t>
      </w:r>
      <w:r w:rsidRPr="002E1A3F">
        <w:rPr>
          <w:rFonts w:ascii="Calibri,Times New Roman" w:eastAsia="Calibri,Times New Roman" w:hAnsi="Calibri,Times New Roman" w:cs="Calibri,Times New Roman"/>
          <w:b/>
          <w:bCs/>
          <w:spacing w:val="-1"/>
          <w:sz w:val="22"/>
          <w:szCs w:val="22"/>
        </w:rPr>
        <w:t xml:space="preserve"> </w:t>
      </w:r>
      <w:r w:rsidRPr="002E1A3F">
        <w:rPr>
          <w:rFonts w:ascii="Calibri" w:eastAsia="Calibri" w:hAnsi="Calibri" w:cs="Calibri"/>
          <w:b/>
          <w:bCs/>
          <w:spacing w:val="-1"/>
          <w:sz w:val="22"/>
          <w:szCs w:val="22"/>
        </w:rPr>
        <w:t xml:space="preserve">increase the number of quality centers and relevant programs offered in the region and to introduce </w:t>
      </w:r>
      <w:r w:rsidR="00A572B0">
        <w:rPr>
          <w:rFonts w:ascii="Calibri" w:eastAsia="Calibri" w:hAnsi="Calibri" w:cs="Calibri"/>
          <w:b/>
          <w:bCs/>
          <w:spacing w:val="-1"/>
          <w:sz w:val="22"/>
          <w:szCs w:val="22"/>
        </w:rPr>
        <w:t>N</w:t>
      </w:r>
      <w:r w:rsidRPr="002E1A3F">
        <w:rPr>
          <w:rFonts w:ascii="Calibri" w:eastAsia="Calibri" w:hAnsi="Calibri" w:cs="Calibri"/>
          <w:b/>
          <w:bCs/>
          <w:spacing w:val="-1"/>
          <w:sz w:val="22"/>
          <w:szCs w:val="22"/>
        </w:rPr>
        <w:t xml:space="preserve">ew thematic areas that do not exist in </w:t>
      </w:r>
      <w:r w:rsidR="00BB4A89">
        <w:rPr>
          <w:rFonts w:ascii="Calibri" w:eastAsia="Calibri" w:hAnsi="Calibri" w:cs="Calibri"/>
          <w:b/>
          <w:bCs/>
          <w:spacing w:val="-1"/>
          <w:sz w:val="22"/>
          <w:szCs w:val="22"/>
        </w:rPr>
        <w:t xml:space="preserve">the </w:t>
      </w:r>
      <w:r w:rsidRPr="002E1A3F">
        <w:rPr>
          <w:rFonts w:ascii="Calibri" w:eastAsia="Calibri" w:hAnsi="Calibri" w:cs="Calibri"/>
          <w:b/>
          <w:bCs/>
          <w:spacing w:val="-1"/>
          <w:sz w:val="22"/>
          <w:szCs w:val="22"/>
        </w:rPr>
        <w:t>ACE I</w:t>
      </w:r>
      <w:r w:rsidR="00BB4A89">
        <w:rPr>
          <w:rFonts w:ascii="Calibri" w:eastAsia="Calibri" w:hAnsi="Calibri" w:cs="Calibri"/>
          <w:b/>
          <w:bCs/>
          <w:spacing w:val="-1"/>
          <w:sz w:val="22"/>
          <w:szCs w:val="22"/>
        </w:rPr>
        <w:t xml:space="preserve"> Project</w:t>
      </w:r>
      <w:r w:rsidRPr="002E1A3F">
        <w:rPr>
          <w:rFonts w:ascii="Calibri" w:eastAsia="Calibri" w:hAnsi="Calibri" w:cs="Calibri"/>
          <w:b/>
          <w:bCs/>
          <w:spacing w:val="-1"/>
          <w:sz w:val="22"/>
          <w:szCs w:val="22"/>
        </w:rPr>
        <w:t xml:space="preserve">. </w:t>
      </w:r>
      <w:r w:rsidRPr="002E1A3F">
        <w:rPr>
          <w:rFonts w:ascii="Calibri" w:eastAsia="Calibri" w:hAnsi="Calibri" w:cs="Calibri"/>
          <w:bCs/>
          <w:spacing w:val="-1"/>
          <w:sz w:val="22"/>
          <w:szCs w:val="22"/>
        </w:rPr>
        <w:t xml:space="preserve">All Second ACE Impact countries, except The Gambia, will have at least one </w:t>
      </w:r>
      <w:r w:rsidR="00A572B0">
        <w:rPr>
          <w:rFonts w:ascii="Calibri" w:eastAsia="Calibri" w:hAnsi="Calibri" w:cs="Calibri"/>
          <w:bCs/>
          <w:spacing w:val="-1"/>
          <w:sz w:val="22"/>
          <w:szCs w:val="22"/>
        </w:rPr>
        <w:t>N</w:t>
      </w:r>
      <w:r w:rsidRPr="002E1A3F">
        <w:rPr>
          <w:rFonts w:ascii="Calibri" w:eastAsia="Calibri" w:hAnsi="Calibri" w:cs="Calibri"/>
          <w:bCs/>
          <w:spacing w:val="-1"/>
          <w:sz w:val="22"/>
          <w:szCs w:val="22"/>
        </w:rPr>
        <w:t xml:space="preserve">ew ACE. </w:t>
      </w:r>
      <w:r w:rsidRPr="002E1A3F">
        <w:rPr>
          <w:rFonts w:ascii="Calibri" w:eastAsia="Calibri" w:hAnsi="Calibri" w:cs="Calibri"/>
          <w:spacing w:val="-1"/>
          <w:sz w:val="22"/>
          <w:szCs w:val="22"/>
        </w:rPr>
        <w:t xml:space="preserve">This sub-component will </w:t>
      </w:r>
      <w:r w:rsidR="00E42AB0">
        <w:rPr>
          <w:rFonts w:ascii="Calibri" w:eastAsia="Calibri" w:hAnsi="Calibri" w:cs="Calibri"/>
          <w:spacing w:val="-1"/>
          <w:sz w:val="22"/>
          <w:szCs w:val="22"/>
        </w:rPr>
        <w:t>provide</w:t>
      </w:r>
      <w:r w:rsidRPr="002E1A3F">
        <w:rPr>
          <w:rFonts w:ascii="Calibri" w:eastAsia="Calibri" w:hAnsi="Calibri" w:cs="Calibri"/>
          <w:spacing w:val="-1"/>
          <w:sz w:val="22"/>
          <w:szCs w:val="22"/>
        </w:rPr>
        <w:t xml:space="preserve"> </w:t>
      </w:r>
      <w:r w:rsidRPr="00CC2A11">
        <w:rPr>
          <w:rFonts w:ascii="Calibri" w:eastAsia="Calibri" w:hAnsi="Calibri" w:cs="Calibri"/>
          <w:spacing w:val="-1"/>
          <w:sz w:val="22"/>
          <w:szCs w:val="22"/>
        </w:rPr>
        <w:t>US$</w:t>
      </w:r>
      <w:r w:rsidR="000E348A" w:rsidRPr="00CC2A11">
        <w:rPr>
          <w:rFonts w:ascii="Calibri" w:eastAsia="Calibri" w:hAnsi="Calibri" w:cs="Calibri"/>
          <w:spacing w:val="-1"/>
          <w:sz w:val="22"/>
          <w:szCs w:val="22"/>
        </w:rPr>
        <w:t xml:space="preserve">5 </w:t>
      </w:r>
      <w:r w:rsidR="00CC2A11">
        <w:rPr>
          <w:rFonts w:ascii="Calibri" w:eastAsia="Calibri" w:hAnsi="Calibri" w:cs="Calibri"/>
          <w:spacing w:val="-1"/>
          <w:sz w:val="22"/>
          <w:szCs w:val="22"/>
        </w:rPr>
        <w:t>million</w:t>
      </w:r>
      <w:r w:rsidR="000E348A" w:rsidRPr="00CC2A11">
        <w:rPr>
          <w:rFonts w:ascii="Calibri" w:eastAsia="Calibri" w:hAnsi="Calibri" w:cs="Calibri"/>
          <w:spacing w:val="-1"/>
          <w:sz w:val="22"/>
          <w:szCs w:val="22"/>
        </w:rPr>
        <w:t>-</w:t>
      </w:r>
      <w:r w:rsidR="00CC2A11">
        <w:rPr>
          <w:rFonts w:ascii="Calibri" w:eastAsia="Calibri" w:hAnsi="Calibri" w:cs="Calibri"/>
          <w:spacing w:val="-1"/>
          <w:sz w:val="22"/>
          <w:szCs w:val="22"/>
        </w:rPr>
        <w:t xml:space="preserve"> US$</w:t>
      </w:r>
      <w:r w:rsidR="00CC2A11" w:rsidRPr="00CC2A11">
        <w:rPr>
          <w:rFonts w:ascii="Calibri" w:eastAsia="Calibri" w:hAnsi="Calibri" w:cs="Calibri"/>
          <w:spacing w:val="-1"/>
          <w:sz w:val="22"/>
          <w:szCs w:val="22"/>
        </w:rPr>
        <w:t>6</w:t>
      </w:r>
      <w:r w:rsidRPr="00CC2A11">
        <w:rPr>
          <w:rFonts w:ascii="Calibri" w:eastAsia="Calibri" w:hAnsi="Calibri" w:cs="Calibri"/>
          <w:spacing w:val="-1"/>
          <w:sz w:val="22"/>
          <w:szCs w:val="22"/>
        </w:rPr>
        <w:t xml:space="preserve"> million</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to each center to fund its activities. The funding allocation to each center depends on the thematic area, the overall funding needs indicated in the center’s proposal, the funding envelope of the center’s government and the</w:t>
      </w:r>
      <w:r w:rsidR="0063252B">
        <w:rPr>
          <w:rFonts w:ascii="Calibri" w:eastAsia="Calibri" w:hAnsi="Calibri" w:cs="Calibri"/>
          <w:spacing w:val="-1"/>
          <w:sz w:val="22"/>
          <w:szCs w:val="22"/>
        </w:rPr>
        <w:t>ir</w:t>
      </w:r>
      <w:r w:rsidRPr="002E1A3F">
        <w:rPr>
          <w:rFonts w:ascii="Calibri" w:eastAsia="Calibri" w:hAnsi="Calibri" w:cs="Calibri"/>
          <w:spacing w:val="-1"/>
          <w:sz w:val="22"/>
          <w:szCs w:val="22"/>
        </w:rPr>
        <w:t xml:space="preserve"> government’s priorities. </w:t>
      </w:r>
      <w:r w:rsidR="00EF66A7">
        <w:rPr>
          <w:rFonts w:ascii="Calibri" w:eastAsia="Calibri" w:hAnsi="Calibri" w:cs="Calibri"/>
          <w:spacing w:val="-1"/>
          <w:sz w:val="22"/>
          <w:szCs w:val="22"/>
        </w:rPr>
        <w:t xml:space="preserve"> </w:t>
      </w:r>
      <w:r w:rsidRPr="002E1A3F">
        <w:rPr>
          <w:rFonts w:ascii="Calibri" w:eastAsia="Calibri" w:hAnsi="Calibri" w:cs="Calibri"/>
          <w:color w:val="auto"/>
          <w:spacing w:val="-1"/>
          <w:sz w:val="22"/>
          <w:szCs w:val="22"/>
        </w:rPr>
        <w:t>The release of IDA funds will be linked to the achievement of seven DLIs: (</w:t>
      </w:r>
      <w:r w:rsidR="00F96678">
        <w:rPr>
          <w:rFonts w:ascii="Calibri" w:eastAsia="Calibri" w:hAnsi="Calibri" w:cs="Calibri"/>
          <w:color w:val="auto"/>
          <w:spacing w:val="-1"/>
          <w:sz w:val="22"/>
          <w:szCs w:val="22"/>
        </w:rPr>
        <w:t>i</w:t>
      </w:r>
      <w:r w:rsidRPr="002E1A3F">
        <w:rPr>
          <w:rFonts w:ascii="Calibri" w:eastAsia="Calibri" w:hAnsi="Calibri" w:cs="Calibri"/>
          <w:color w:val="auto"/>
          <w:spacing w:val="-1"/>
          <w:sz w:val="22"/>
          <w:szCs w:val="22"/>
        </w:rPr>
        <w:t>) Institutional readiness results (DLI1); (</w:t>
      </w:r>
      <w:r w:rsidR="00F96678">
        <w:rPr>
          <w:rFonts w:ascii="Calibri" w:eastAsia="Calibri" w:hAnsi="Calibri" w:cs="Calibri"/>
          <w:color w:val="auto"/>
          <w:spacing w:val="-1"/>
          <w:sz w:val="22"/>
          <w:szCs w:val="22"/>
        </w:rPr>
        <w:t>ii</w:t>
      </w:r>
      <w:r w:rsidRPr="002E1A3F">
        <w:rPr>
          <w:rFonts w:ascii="Calibri" w:eastAsia="Calibri" w:hAnsi="Calibri" w:cs="Calibri"/>
          <w:color w:val="auto"/>
          <w:spacing w:val="-1"/>
          <w:sz w:val="22"/>
          <w:szCs w:val="22"/>
        </w:rPr>
        <w:t>) development impact of the ACE Impact Center (DLI2); (</w:t>
      </w:r>
      <w:r w:rsidR="00F96678">
        <w:rPr>
          <w:rFonts w:ascii="Calibri" w:eastAsia="Calibri" w:hAnsi="Calibri" w:cs="Calibri"/>
          <w:color w:val="auto"/>
          <w:spacing w:val="-1"/>
          <w:sz w:val="22"/>
          <w:szCs w:val="22"/>
        </w:rPr>
        <w:t>iii</w:t>
      </w:r>
      <w:r w:rsidRPr="002E1A3F">
        <w:rPr>
          <w:rFonts w:ascii="Calibri" w:eastAsia="Calibri" w:hAnsi="Calibri" w:cs="Calibri"/>
          <w:color w:val="auto"/>
          <w:spacing w:val="-1"/>
          <w:sz w:val="22"/>
          <w:szCs w:val="22"/>
        </w:rPr>
        <w:t>) quantity of students with focus on gender and regionalization (DLI3); (</w:t>
      </w:r>
      <w:r w:rsidR="00F96678">
        <w:rPr>
          <w:rFonts w:ascii="Calibri" w:eastAsia="Calibri" w:hAnsi="Calibri" w:cs="Calibri"/>
          <w:color w:val="auto"/>
          <w:spacing w:val="-1"/>
          <w:sz w:val="22"/>
          <w:szCs w:val="22"/>
        </w:rPr>
        <w:t>iv</w:t>
      </w:r>
      <w:r w:rsidRPr="002E1A3F">
        <w:rPr>
          <w:rFonts w:ascii="Calibri" w:eastAsia="Calibri" w:hAnsi="Calibri" w:cs="Calibri"/>
          <w:color w:val="auto"/>
          <w:spacing w:val="-1"/>
          <w:sz w:val="22"/>
          <w:szCs w:val="22"/>
        </w:rPr>
        <w:t>) quality of education and research through international accreditation, research publication and improved teaching and research infrastructure (DLI4); (</w:t>
      </w:r>
      <w:r w:rsidR="00F96678">
        <w:rPr>
          <w:rFonts w:ascii="Calibri" w:eastAsia="Calibri" w:hAnsi="Calibri" w:cs="Calibri"/>
          <w:color w:val="auto"/>
          <w:spacing w:val="-1"/>
          <w:sz w:val="22"/>
          <w:szCs w:val="22"/>
        </w:rPr>
        <w:t>v</w:t>
      </w:r>
      <w:r w:rsidRPr="002E1A3F">
        <w:rPr>
          <w:rFonts w:ascii="Calibri" w:eastAsia="Calibri" w:hAnsi="Calibri" w:cs="Calibri"/>
          <w:color w:val="auto"/>
          <w:spacing w:val="-1"/>
          <w:sz w:val="22"/>
          <w:szCs w:val="22"/>
        </w:rPr>
        <w:t>) relevance of education and research through externally generated revenue internships and entrepreneurship (DLI5); (</w:t>
      </w:r>
      <w:r w:rsidR="00F96678">
        <w:rPr>
          <w:rFonts w:ascii="Calibri" w:eastAsia="Calibri" w:hAnsi="Calibri" w:cs="Calibri"/>
          <w:color w:val="auto"/>
          <w:spacing w:val="-1"/>
          <w:sz w:val="22"/>
          <w:szCs w:val="22"/>
        </w:rPr>
        <w:t>vi</w:t>
      </w:r>
      <w:r w:rsidRPr="002E1A3F">
        <w:rPr>
          <w:rFonts w:ascii="Calibri" w:eastAsia="Calibri" w:hAnsi="Calibri" w:cs="Calibri"/>
          <w:color w:val="auto"/>
          <w:spacing w:val="-1"/>
          <w:sz w:val="22"/>
          <w:szCs w:val="22"/>
        </w:rPr>
        <w:t>) timeliness and quality of fiduciary management (DLI6); and (</w:t>
      </w:r>
      <w:r w:rsidR="00F96678">
        <w:rPr>
          <w:rFonts w:ascii="Calibri" w:eastAsia="Calibri" w:hAnsi="Calibri" w:cs="Calibri"/>
          <w:color w:val="auto"/>
          <w:spacing w:val="-1"/>
          <w:sz w:val="22"/>
          <w:szCs w:val="22"/>
        </w:rPr>
        <w:t>vii</w:t>
      </w:r>
      <w:r w:rsidRPr="002E1A3F">
        <w:rPr>
          <w:rFonts w:ascii="Calibri" w:eastAsia="Calibri" w:hAnsi="Calibri" w:cs="Calibri"/>
          <w:color w:val="auto"/>
          <w:spacing w:val="-1"/>
          <w:sz w:val="22"/>
          <w:szCs w:val="22"/>
        </w:rPr>
        <w:t xml:space="preserve">) Institutional impact- to be accomplished by the ACE host institution (DLI 7). The disbursement amount </w:t>
      </w:r>
      <w:r w:rsidRPr="002E1A3F">
        <w:rPr>
          <w:rFonts w:ascii="Calibri" w:eastAsia="Calibri" w:hAnsi="Calibri" w:cs="Calibri"/>
          <w:color w:val="auto"/>
          <w:spacing w:val="-1"/>
          <w:sz w:val="22"/>
          <w:szCs w:val="22"/>
        </w:rPr>
        <w:lastRenderedPageBreak/>
        <w:t>by result is uniform across centers and countries for DLI3, DLI4, DLI5, and DLI 7, because a unit cost can reasonably be established for these results, for instance</w:t>
      </w:r>
      <w:r w:rsidR="00903000">
        <w:rPr>
          <w:rFonts w:ascii="Calibri" w:eastAsia="Calibri" w:hAnsi="Calibri" w:cs="Calibri"/>
          <w:color w:val="auto"/>
          <w:spacing w:val="-1"/>
          <w:sz w:val="22"/>
          <w:szCs w:val="22"/>
        </w:rPr>
        <w:t>,</w:t>
      </w:r>
      <w:r w:rsidRPr="002E1A3F">
        <w:rPr>
          <w:rFonts w:ascii="Calibri" w:eastAsia="Calibri" w:hAnsi="Calibri" w:cs="Calibri"/>
          <w:color w:val="auto"/>
          <w:spacing w:val="-1"/>
          <w:sz w:val="22"/>
          <w:szCs w:val="22"/>
        </w:rPr>
        <w:t xml:space="preserve"> </w:t>
      </w:r>
      <w:r w:rsidR="00235063">
        <w:rPr>
          <w:rFonts w:ascii="Calibri" w:eastAsia="Calibri" w:hAnsi="Calibri" w:cs="Calibri"/>
          <w:color w:val="auto"/>
          <w:spacing w:val="-1"/>
          <w:sz w:val="22"/>
          <w:szCs w:val="22"/>
        </w:rPr>
        <w:t xml:space="preserve">a </w:t>
      </w:r>
      <w:r w:rsidRPr="002E1A3F">
        <w:rPr>
          <w:rFonts w:ascii="Calibri" w:eastAsia="Calibri" w:hAnsi="Calibri" w:cs="Calibri"/>
          <w:color w:val="auto"/>
          <w:spacing w:val="-1"/>
          <w:sz w:val="22"/>
          <w:szCs w:val="22"/>
        </w:rPr>
        <w:t xml:space="preserve">unit cost for a student or a research publication. Disbursement amounts for DLI1, DLI2, and DLI6 differ by center because they are relative to the center’s funding envelope, because the results are related to the overall performance of the center, notably implementation readiness, impact of center </w:t>
      </w:r>
      <w:r w:rsidR="00EC609F">
        <w:rPr>
          <w:rFonts w:ascii="Calibri" w:eastAsia="Calibri" w:hAnsi="Calibri" w:cs="Calibri"/>
          <w:color w:val="auto"/>
          <w:spacing w:val="-1"/>
          <w:sz w:val="22"/>
          <w:szCs w:val="22"/>
        </w:rPr>
        <w:t xml:space="preserve">as it </w:t>
      </w:r>
      <w:r w:rsidR="00587569">
        <w:rPr>
          <w:rFonts w:ascii="Calibri" w:eastAsia="Calibri" w:hAnsi="Calibri" w:cs="Calibri"/>
          <w:color w:val="auto"/>
          <w:spacing w:val="-1"/>
          <w:sz w:val="22"/>
          <w:szCs w:val="22"/>
        </w:rPr>
        <w:t>addresses</w:t>
      </w:r>
      <w:r w:rsidR="003D7B04">
        <w:rPr>
          <w:rFonts w:ascii="Calibri" w:eastAsia="Calibri" w:hAnsi="Calibri" w:cs="Calibri"/>
          <w:color w:val="auto"/>
          <w:spacing w:val="-1"/>
          <w:sz w:val="22"/>
          <w:szCs w:val="22"/>
        </w:rPr>
        <w:t xml:space="preserve"> development challenges </w:t>
      </w:r>
      <w:r w:rsidRPr="002E1A3F">
        <w:rPr>
          <w:rFonts w:ascii="Calibri" w:eastAsia="Calibri" w:hAnsi="Calibri" w:cs="Calibri"/>
          <w:color w:val="auto"/>
          <w:spacing w:val="-1"/>
          <w:sz w:val="22"/>
          <w:szCs w:val="22"/>
        </w:rPr>
        <w:t>and fiduciary management</w:t>
      </w:r>
      <w:r w:rsidR="00903000">
        <w:rPr>
          <w:rFonts w:ascii="Calibri" w:eastAsia="Calibri" w:hAnsi="Calibri" w:cs="Calibri"/>
          <w:color w:val="auto"/>
          <w:spacing w:val="-1"/>
          <w:sz w:val="22"/>
          <w:szCs w:val="22"/>
        </w:rPr>
        <w:t xml:space="preserve">. </w:t>
      </w:r>
      <w:r w:rsidR="008D49F6">
        <w:rPr>
          <w:rFonts w:ascii="Calibri" w:eastAsia="Calibri" w:hAnsi="Calibri" w:cs="Calibri"/>
          <w:color w:val="auto"/>
          <w:spacing w:val="-1"/>
          <w:sz w:val="22"/>
          <w:szCs w:val="22"/>
        </w:rPr>
        <w:t xml:space="preserve">Under DLI 7, Nigeria requested that its selected universities participate in enhanced </w:t>
      </w:r>
      <w:r w:rsidR="003324E6">
        <w:rPr>
          <w:rFonts w:ascii="Calibri" w:eastAsia="Calibri" w:hAnsi="Calibri" w:cs="Calibri"/>
          <w:color w:val="auto"/>
          <w:spacing w:val="-1"/>
          <w:sz w:val="22"/>
          <w:szCs w:val="22"/>
        </w:rPr>
        <w:t xml:space="preserve">ICT </w:t>
      </w:r>
      <w:r w:rsidR="008D49F6">
        <w:rPr>
          <w:rFonts w:ascii="Calibri" w:eastAsia="Calibri" w:hAnsi="Calibri" w:cs="Calibri"/>
          <w:color w:val="auto"/>
          <w:spacing w:val="-1"/>
          <w:sz w:val="22"/>
          <w:szCs w:val="22"/>
        </w:rPr>
        <w:t>services offered by the</w:t>
      </w:r>
      <w:r w:rsidR="00626086">
        <w:rPr>
          <w:rFonts w:ascii="Calibri" w:eastAsia="Calibri" w:hAnsi="Calibri" w:cs="Calibri"/>
          <w:color w:val="auto"/>
          <w:spacing w:val="-1"/>
          <w:sz w:val="22"/>
          <w:szCs w:val="22"/>
        </w:rPr>
        <w:t>ir</w:t>
      </w:r>
      <w:r w:rsidR="008D49F6">
        <w:rPr>
          <w:rFonts w:ascii="Calibri" w:eastAsia="Calibri" w:hAnsi="Calibri" w:cs="Calibri"/>
          <w:color w:val="auto"/>
          <w:spacing w:val="-1"/>
          <w:sz w:val="22"/>
          <w:szCs w:val="22"/>
        </w:rPr>
        <w:t xml:space="preserve"> National Research </w:t>
      </w:r>
      <w:r w:rsidR="008D49F6" w:rsidRPr="008D49F6">
        <w:rPr>
          <w:rFonts w:ascii="Calibri" w:eastAsia="Calibri" w:hAnsi="Calibri" w:cs="Calibri"/>
          <w:color w:val="auto"/>
          <w:spacing w:val="-1"/>
          <w:sz w:val="22"/>
          <w:szCs w:val="22"/>
        </w:rPr>
        <w:t>and Education Network</w:t>
      </w:r>
      <w:r w:rsidR="00E22ED8">
        <w:rPr>
          <w:rFonts w:ascii="Calibri" w:eastAsia="Calibri" w:hAnsi="Calibri" w:cs="Calibri"/>
          <w:color w:val="auto"/>
          <w:spacing w:val="-1"/>
          <w:sz w:val="22"/>
          <w:szCs w:val="22"/>
        </w:rPr>
        <w:t xml:space="preserve"> (NREN)</w:t>
      </w:r>
      <w:r w:rsidR="0002299D">
        <w:rPr>
          <w:rFonts w:ascii="Calibri" w:eastAsia="Calibri" w:hAnsi="Calibri" w:cs="Calibri"/>
          <w:color w:val="auto"/>
          <w:spacing w:val="-1"/>
          <w:sz w:val="22"/>
          <w:szCs w:val="22"/>
        </w:rPr>
        <w:t xml:space="preserve"> (</w:t>
      </w:r>
      <w:r w:rsidR="00903000">
        <w:rPr>
          <w:rFonts w:ascii="Calibri" w:eastAsia="Calibri" w:hAnsi="Calibri" w:cs="Calibri"/>
          <w:color w:val="auto"/>
          <w:spacing w:val="-1"/>
          <w:sz w:val="22"/>
          <w:szCs w:val="22"/>
        </w:rPr>
        <w:t>S</w:t>
      </w:r>
      <w:r w:rsidRPr="002E1A3F">
        <w:rPr>
          <w:rFonts w:ascii="Calibri" w:eastAsia="Calibri" w:hAnsi="Calibri" w:cs="Calibri"/>
          <w:color w:val="auto"/>
          <w:spacing w:val="-1"/>
          <w:sz w:val="22"/>
          <w:szCs w:val="22"/>
        </w:rPr>
        <w:t>ee Section VI Results Framework and Monitoring</w:t>
      </w:r>
      <w:r w:rsidR="00F96678">
        <w:rPr>
          <w:rFonts w:ascii="Calibri" w:eastAsia="Calibri" w:hAnsi="Calibri" w:cs="Calibri"/>
          <w:color w:val="auto"/>
          <w:spacing w:val="-1"/>
          <w:sz w:val="22"/>
          <w:szCs w:val="22"/>
        </w:rPr>
        <w:t xml:space="preserve"> for full description of DL</w:t>
      </w:r>
      <w:r w:rsidR="00AE6645">
        <w:rPr>
          <w:rFonts w:ascii="Calibri" w:eastAsia="Calibri" w:hAnsi="Calibri" w:cs="Calibri"/>
          <w:color w:val="auto"/>
          <w:spacing w:val="-1"/>
          <w:sz w:val="22"/>
          <w:szCs w:val="22"/>
        </w:rPr>
        <w:t>I 7 in relation to the NREN</w:t>
      </w:r>
      <w:r w:rsidR="005C3A8B">
        <w:rPr>
          <w:rFonts w:ascii="Calibri" w:eastAsia="Calibri" w:hAnsi="Calibri" w:cs="Calibri"/>
          <w:color w:val="auto"/>
          <w:spacing w:val="-1"/>
          <w:sz w:val="22"/>
          <w:szCs w:val="22"/>
        </w:rPr>
        <w:t>)</w:t>
      </w:r>
      <w:r w:rsidR="00D44860">
        <w:rPr>
          <w:rFonts w:ascii="Calibri" w:eastAsia="Calibri" w:hAnsi="Calibri" w:cs="Calibri"/>
          <w:color w:val="auto"/>
          <w:spacing w:val="-1"/>
          <w:sz w:val="22"/>
          <w:szCs w:val="22"/>
        </w:rPr>
        <w:t>.</w:t>
      </w:r>
    </w:p>
    <w:p w14:paraId="60974F50" w14:textId="77777777" w:rsidR="002E1A3F" w:rsidRPr="007028A5" w:rsidRDefault="00B00100" w:rsidP="001118F8">
      <w:pPr>
        <w:tabs>
          <w:tab w:val="left" w:pos="0"/>
          <w:tab w:val="left" w:pos="720"/>
        </w:tabs>
        <w:spacing w:after="240"/>
        <w:jc w:val="both"/>
        <w:rPr>
          <w:rFonts w:ascii="Calibri" w:eastAsia="Times New Roman" w:hAnsi="Calibri" w:cs="Calibri"/>
          <w:b/>
          <w:i/>
          <w:color w:val="2E74B5"/>
          <w:sz w:val="22"/>
          <w:szCs w:val="22"/>
        </w:rPr>
      </w:pPr>
      <w:r w:rsidRPr="007028A5">
        <w:rPr>
          <w:rFonts w:ascii="Calibri" w:eastAsia="Times New Roman" w:hAnsi="Calibri" w:cs="Calibri"/>
          <w:b/>
          <w:bCs/>
          <w:i/>
          <w:color w:val="2E74B5"/>
          <w:sz w:val="22"/>
          <w:szCs w:val="22"/>
        </w:rPr>
        <w:t>Sub-component 1.2: Support to scale-up well performing ACE I centers (Total: US$</w:t>
      </w:r>
      <w:r w:rsidR="002E19D0" w:rsidRPr="007028A5">
        <w:rPr>
          <w:rFonts w:ascii="Calibri" w:eastAsia="Times New Roman" w:hAnsi="Calibri" w:cs="Calibri"/>
          <w:b/>
          <w:bCs/>
          <w:i/>
          <w:color w:val="2E74B5"/>
          <w:sz w:val="22"/>
          <w:szCs w:val="22"/>
        </w:rPr>
        <w:t>9</w:t>
      </w:r>
      <w:r w:rsidR="00B84B1F" w:rsidRPr="007028A5">
        <w:rPr>
          <w:rFonts w:ascii="Calibri" w:eastAsia="Times New Roman" w:hAnsi="Calibri" w:cs="Calibri"/>
          <w:b/>
          <w:bCs/>
          <w:i/>
          <w:color w:val="2E74B5"/>
          <w:sz w:val="22"/>
          <w:szCs w:val="22"/>
        </w:rPr>
        <w:t>4</w:t>
      </w:r>
      <w:r w:rsidRPr="007028A5">
        <w:rPr>
          <w:rFonts w:ascii="Calibri" w:eastAsia="Times New Roman" w:hAnsi="Calibri" w:cs="Calibri"/>
          <w:b/>
          <w:bCs/>
          <w:i/>
          <w:color w:val="2E74B5"/>
          <w:sz w:val="22"/>
          <w:szCs w:val="22"/>
        </w:rPr>
        <w:t xml:space="preserve"> million</w:t>
      </w:r>
      <w:r w:rsidR="000449E7" w:rsidRPr="007028A5">
        <w:rPr>
          <w:rFonts w:ascii="Calibri" w:eastAsia="Times New Roman" w:hAnsi="Calibri" w:cs="Calibri"/>
          <w:b/>
          <w:bCs/>
          <w:i/>
          <w:color w:val="2E74B5"/>
          <w:sz w:val="22"/>
          <w:szCs w:val="22"/>
        </w:rPr>
        <w:t xml:space="preserve"> equivalent </w:t>
      </w:r>
      <w:r w:rsidRPr="007028A5">
        <w:rPr>
          <w:rFonts w:ascii="Calibri" w:eastAsia="Times New Roman" w:hAnsi="Calibri" w:cs="Calibri"/>
          <w:b/>
          <w:bCs/>
          <w:i/>
          <w:color w:val="2E74B5"/>
          <w:sz w:val="22"/>
          <w:szCs w:val="22"/>
        </w:rPr>
        <w:t>of which IDA US$</w:t>
      </w:r>
      <w:r w:rsidR="00695859">
        <w:rPr>
          <w:rFonts w:ascii="Calibri" w:eastAsia="Times New Roman" w:hAnsi="Calibri" w:cs="Calibri"/>
          <w:b/>
          <w:i/>
          <w:color w:val="2E74B5"/>
          <w:sz w:val="22"/>
          <w:szCs w:val="22"/>
        </w:rPr>
        <w:t>27</w:t>
      </w:r>
      <w:r w:rsidR="008E3829">
        <w:rPr>
          <w:rFonts w:ascii="Calibri" w:eastAsia="Times New Roman" w:hAnsi="Calibri" w:cs="Calibri"/>
          <w:b/>
          <w:i/>
          <w:color w:val="2E74B5"/>
          <w:sz w:val="22"/>
          <w:szCs w:val="22"/>
        </w:rPr>
        <w:t>.3</w:t>
      </w:r>
      <w:r w:rsidR="000449E7" w:rsidRPr="007028A5">
        <w:rPr>
          <w:rFonts w:ascii="Calibri" w:eastAsia="Times New Roman" w:hAnsi="Calibri" w:cs="Calibri"/>
          <w:b/>
          <w:i/>
          <w:color w:val="2E74B5"/>
          <w:sz w:val="22"/>
          <w:szCs w:val="22"/>
        </w:rPr>
        <w:t xml:space="preserve"> </w:t>
      </w:r>
      <w:r w:rsidRPr="007028A5">
        <w:rPr>
          <w:rFonts w:ascii="Calibri" w:eastAsia="Times New Roman" w:hAnsi="Calibri" w:cs="Calibri"/>
          <w:b/>
          <w:i/>
          <w:color w:val="2E74B5"/>
          <w:sz w:val="22"/>
          <w:szCs w:val="22"/>
        </w:rPr>
        <w:t>million</w:t>
      </w:r>
      <w:r w:rsidR="000449E7" w:rsidRPr="007028A5">
        <w:rPr>
          <w:rFonts w:ascii="Calibri" w:eastAsia="Times New Roman" w:hAnsi="Calibri" w:cs="Calibri"/>
          <w:b/>
          <w:i/>
          <w:color w:val="2E74B5"/>
          <w:sz w:val="22"/>
          <w:szCs w:val="22"/>
        </w:rPr>
        <w:t xml:space="preserve"> equivalent</w:t>
      </w:r>
      <w:r w:rsidRPr="007028A5">
        <w:rPr>
          <w:rFonts w:ascii="Calibri" w:eastAsia="Times New Roman" w:hAnsi="Calibri" w:cs="Calibri"/>
          <w:b/>
          <w:i/>
          <w:color w:val="2E74B5"/>
          <w:sz w:val="22"/>
          <w:szCs w:val="22"/>
        </w:rPr>
        <w:t xml:space="preserve">, AFD </w:t>
      </w:r>
      <w:r w:rsidR="004A32A6" w:rsidRPr="007028A5">
        <w:rPr>
          <w:rFonts w:ascii="Calibri" w:eastAsia="Times New Roman" w:hAnsi="Calibri" w:cs="Calibri"/>
          <w:b/>
          <w:i/>
          <w:color w:val="2E74B5"/>
          <w:sz w:val="22"/>
          <w:szCs w:val="22"/>
        </w:rPr>
        <w:t xml:space="preserve">co-financing </w:t>
      </w:r>
      <w:r w:rsidRPr="007028A5">
        <w:rPr>
          <w:rFonts w:ascii="Calibri" w:eastAsia="Times New Roman" w:hAnsi="Calibri" w:cs="Calibri"/>
          <w:b/>
          <w:i/>
          <w:color w:val="2E74B5"/>
          <w:sz w:val="22"/>
          <w:szCs w:val="22"/>
        </w:rPr>
        <w:t>US$</w:t>
      </w:r>
      <w:r w:rsidR="00695859">
        <w:rPr>
          <w:rFonts w:ascii="Calibri" w:eastAsia="Times New Roman" w:hAnsi="Calibri" w:cs="Calibri"/>
          <w:b/>
          <w:i/>
          <w:color w:val="2E74B5"/>
          <w:sz w:val="22"/>
          <w:szCs w:val="22"/>
        </w:rPr>
        <w:t>19</w:t>
      </w:r>
      <w:r w:rsidR="00781ECD" w:rsidRPr="007028A5">
        <w:rPr>
          <w:rFonts w:ascii="Calibri" w:eastAsia="Times New Roman" w:hAnsi="Calibri" w:cs="Calibri"/>
          <w:b/>
          <w:i/>
          <w:color w:val="2E74B5"/>
          <w:sz w:val="22"/>
          <w:szCs w:val="22"/>
        </w:rPr>
        <w:t>.</w:t>
      </w:r>
      <w:r w:rsidR="00695859">
        <w:rPr>
          <w:rFonts w:ascii="Calibri" w:eastAsia="Times New Roman" w:hAnsi="Calibri" w:cs="Calibri"/>
          <w:b/>
          <w:i/>
          <w:color w:val="2E74B5"/>
          <w:sz w:val="22"/>
          <w:szCs w:val="22"/>
        </w:rPr>
        <w:t>7</w:t>
      </w:r>
      <w:r w:rsidRPr="007028A5">
        <w:rPr>
          <w:rFonts w:ascii="Calibri" w:eastAsia="Times New Roman" w:hAnsi="Calibri" w:cs="Calibri"/>
          <w:b/>
          <w:i/>
          <w:color w:val="2E74B5"/>
          <w:sz w:val="22"/>
          <w:szCs w:val="22"/>
        </w:rPr>
        <w:t xml:space="preserve"> million</w:t>
      </w:r>
      <w:r w:rsidR="000449E7" w:rsidRPr="007028A5">
        <w:rPr>
          <w:rFonts w:ascii="Calibri" w:eastAsia="Times New Roman" w:hAnsi="Calibri" w:cs="Calibri"/>
          <w:b/>
          <w:i/>
          <w:color w:val="2E74B5"/>
          <w:sz w:val="22"/>
          <w:szCs w:val="22"/>
        </w:rPr>
        <w:t xml:space="preserve"> equivalent</w:t>
      </w:r>
      <w:r w:rsidRPr="007028A5">
        <w:rPr>
          <w:rFonts w:ascii="Calibri" w:eastAsia="Times New Roman" w:hAnsi="Calibri" w:cs="Calibri"/>
          <w:b/>
          <w:i/>
          <w:color w:val="2E74B5"/>
          <w:sz w:val="22"/>
          <w:szCs w:val="22"/>
        </w:rPr>
        <w:t xml:space="preserve"> and government contribution US$</w:t>
      </w:r>
      <w:r w:rsidR="00907688" w:rsidRPr="007028A5">
        <w:rPr>
          <w:rFonts w:ascii="Calibri" w:eastAsia="Times New Roman" w:hAnsi="Calibri" w:cs="Calibri"/>
          <w:b/>
          <w:i/>
          <w:color w:val="2E74B5"/>
          <w:sz w:val="22"/>
          <w:szCs w:val="22"/>
        </w:rPr>
        <w:t>47</w:t>
      </w:r>
      <w:r w:rsidRPr="007028A5">
        <w:rPr>
          <w:rFonts w:ascii="Calibri" w:eastAsia="Times New Roman" w:hAnsi="Calibri" w:cs="Calibri"/>
          <w:b/>
          <w:i/>
          <w:color w:val="2E74B5"/>
          <w:sz w:val="22"/>
          <w:szCs w:val="22"/>
        </w:rPr>
        <w:t xml:space="preserve"> million</w:t>
      </w:r>
      <w:r w:rsidR="000449E7" w:rsidRPr="007028A5">
        <w:rPr>
          <w:rFonts w:ascii="Calibri" w:eastAsia="Times New Roman" w:hAnsi="Calibri" w:cs="Calibri"/>
          <w:b/>
          <w:i/>
          <w:color w:val="2E74B5"/>
          <w:sz w:val="22"/>
          <w:szCs w:val="22"/>
        </w:rPr>
        <w:t xml:space="preserve"> equivalent</w:t>
      </w:r>
      <w:r w:rsidRPr="007028A5">
        <w:rPr>
          <w:rFonts w:ascii="Calibri" w:eastAsia="Times New Roman" w:hAnsi="Calibri" w:cs="Calibri"/>
          <w:b/>
          <w:i/>
          <w:color w:val="2E74B5"/>
          <w:sz w:val="22"/>
          <w:szCs w:val="22"/>
        </w:rPr>
        <w:t>)</w:t>
      </w:r>
    </w:p>
    <w:p w14:paraId="27CA8F4C" w14:textId="77777777" w:rsid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color w:val="auto"/>
          <w:spacing w:val="-1"/>
          <w:sz w:val="22"/>
          <w:szCs w:val="22"/>
        </w:rPr>
      </w:pPr>
      <w:r w:rsidRPr="002E1A3F">
        <w:rPr>
          <w:rFonts w:ascii="Calibri" w:eastAsia="Calibri" w:hAnsi="Calibri" w:cs="Calibri"/>
          <w:b/>
          <w:color w:val="auto"/>
          <w:spacing w:val="-1"/>
          <w:sz w:val="22"/>
          <w:szCs w:val="22"/>
        </w:rPr>
        <w:t xml:space="preserve">Sub-component 1.2 aims to provide additional funding and support to </w:t>
      </w:r>
      <w:r w:rsidR="005C3A8B">
        <w:rPr>
          <w:rFonts w:ascii="Calibri" w:eastAsia="Calibri" w:hAnsi="Calibri" w:cs="Calibri"/>
          <w:b/>
          <w:color w:val="auto"/>
          <w:spacing w:val="-1"/>
          <w:sz w:val="22"/>
          <w:szCs w:val="22"/>
        </w:rPr>
        <w:t>nine</w:t>
      </w:r>
      <w:r w:rsidRPr="002E1A3F">
        <w:rPr>
          <w:rFonts w:ascii="Calibri" w:eastAsia="Calibri" w:hAnsi="Calibri" w:cs="Calibri"/>
          <w:b/>
          <w:color w:val="auto"/>
          <w:spacing w:val="-1"/>
          <w:sz w:val="22"/>
          <w:szCs w:val="22"/>
        </w:rPr>
        <w:t xml:space="preserve"> existing ACEs (currently supported under </w:t>
      </w:r>
      <w:r w:rsidR="00BB4A89">
        <w:rPr>
          <w:rFonts w:ascii="Calibri" w:eastAsia="Calibri" w:hAnsi="Calibri" w:cs="Calibri"/>
          <w:b/>
          <w:color w:val="auto"/>
          <w:spacing w:val="-1"/>
          <w:sz w:val="22"/>
          <w:szCs w:val="22"/>
        </w:rPr>
        <w:t xml:space="preserve">the </w:t>
      </w:r>
      <w:r w:rsidRPr="002E1A3F">
        <w:rPr>
          <w:rFonts w:ascii="Calibri" w:eastAsia="Calibri" w:hAnsi="Calibri" w:cs="Calibri"/>
          <w:b/>
          <w:color w:val="auto"/>
          <w:spacing w:val="-1"/>
          <w:sz w:val="22"/>
          <w:szCs w:val="22"/>
        </w:rPr>
        <w:t>ACE I</w:t>
      </w:r>
      <w:r w:rsidR="00BB4A89">
        <w:rPr>
          <w:rFonts w:ascii="Calibri" w:eastAsia="Calibri" w:hAnsi="Calibri" w:cs="Calibri"/>
          <w:b/>
          <w:color w:val="auto"/>
          <w:spacing w:val="-1"/>
          <w:sz w:val="22"/>
          <w:szCs w:val="22"/>
        </w:rPr>
        <w:t xml:space="preserve"> Project</w:t>
      </w:r>
      <w:r w:rsidRPr="002E1A3F">
        <w:rPr>
          <w:rFonts w:ascii="Calibri" w:eastAsia="Calibri" w:hAnsi="Calibri" w:cs="Calibri"/>
          <w:b/>
          <w:color w:val="auto"/>
          <w:spacing w:val="-1"/>
          <w:sz w:val="22"/>
          <w:szCs w:val="22"/>
        </w:rPr>
        <w:t>) to enable them to scale-up their activities and deepen their development impact.</w:t>
      </w:r>
      <w:r w:rsidRPr="002E1A3F">
        <w:rPr>
          <w:rFonts w:ascii="Calibri" w:eastAsia="Calibri" w:hAnsi="Calibri" w:cs="Calibri"/>
          <w:color w:val="auto"/>
          <w:spacing w:val="-1"/>
          <w:sz w:val="22"/>
          <w:szCs w:val="22"/>
        </w:rPr>
        <w:t xml:space="preserve"> All participating ACE I countries </w:t>
      </w:r>
      <w:r w:rsidR="00DB1B80">
        <w:rPr>
          <w:rFonts w:ascii="Calibri" w:eastAsia="Calibri" w:hAnsi="Calibri" w:cs="Calibri"/>
          <w:color w:val="auto"/>
          <w:spacing w:val="-1"/>
          <w:sz w:val="22"/>
          <w:szCs w:val="22"/>
        </w:rPr>
        <w:t xml:space="preserve">except </w:t>
      </w:r>
      <w:r w:rsidR="00100ED4">
        <w:rPr>
          <w:rFonts w:ascii="Calibri" w:eastAsia="Calibri" w:hAnsi="Calibri" w:cs="Calibri"/>
          <w:color w:val="auto"/>
          <w:spacing w:val="-1"/>
          <w:sz w:val="22"/>
          <w:szCs w:val="22"/>
        </w:rPr>
        <w:t>T</w:t>
      </w:r>
      <w:r w:rsidR="00DB1B80">
        <w:rPr>
          <w:rFonts w:ascii="Calibri" w:eastAsia="Calibri" w:hAnsi="Calibri" w:cs="Calibri"/>
          <w:color w:val="auto"/>
          <w:spacing w:val="-1"/>
          <w:sz w:val="22"/>
          <w:szCs w:val="22"/>
        </w:rPr>
        <w:t xml:space="preserve">he Gambia </w:t>
      </w:r>
      <w:r w:rsidRPr="002E1A3F">
        <w:rPr>
          <w:rFonts w:ascii="Calibri" w:eastAsia="Calibri" w:hAnsi="Calibri" w:cs="Calibri"/>
          <w:color w:val="auto"/>
          <w:spacing w:val="-1"/>
          <w:sz w:val="22"/>
          <w:szCs w:val="22"/>
        </w:rPr>
        <w:t>(</w:t>
      </w:r>
      <w:r w:rsidR="00DB1B80">
        <w:rPr>
          <w:rFonts w:ascii="Calibri" w:eastAsia="Calibri" w:hAnsi="Calibri" w:cs="Calibri"/>
          <w:color w:val="auto"/>
          <w:spacing w:val="-1"/>
          <w:sz w:val="22"/>
          <w:szCs w:val="22"/>
        </w:rPr>
        <w:t xml:space="preserve">i.e., </w:t>
      </w:r>
      <w:r w:rsidRPr="002E1A3F">
        <w:rPr>
          <w:rFonts w:ascii="Calibri" w:eastAsia="Calibri" w:hAnsi="Calibri" w:cs="Calibri"/>
          <w:color w:val="auto"/>
          <w:spacing w:val="-1"/>
          <w:sz w:val="22"/>
          <w:szCs w:val="22"/>
        </w:rPr>
        <w:t xml:space="preserve">Benin, Nigeria and Togo) in the </w:t>
      </w:r>
      <w:r w:rsidR="000415E8">
        <w:rPr>
          <w:rFonts w:ascii="Calibri" w:eastAsia="Calibri" w:hAnsi="Calibri" w:cs="Calibri"/>
          <w:color w:val="auto"/>
          <w:spacing w:val="-1"/>
          <w:sz w:val="22"/>
          <w:szCs w:val="22"/>
        </w:rPr>
        <w:t xml:space="preserve">proposed </w:t>
      </w:r>
      <w:r w:rsidRPr="002E1A3F">
        <w:rPr>
          <w:rFonts w:ascii="Calibri" w:eastAsia="Calibri" w:hAnsi="Calibri" w:cs="Calibri"/>
          <w:color w:val="auto"/>
          <w:spacing w:val="-1"/>
          <w:sz w:val="22"/>
          <w:szCs w:val="22"/>
        </w:rPr>
        <w:t xml:space="preserve">Second </w:t>
      </w:r>
      <w:r w:rsidR="00BB4A89">
        <w:rPr>
          <w:rFonts w:ascii="Calibri" w:eastAsia="Calibri" w:hAnsi="Calibri" w:cs="Calibri"/>
          <w:color w:val="auto"/>
          <w:spacing w:val="-1"/>
          <w:sz w:val="22"/>
          <w:szCs w:val="22"/>
        </w:rPr>
        <w:t>ACE Impact Project</w:t>
      </w:r>
      <w:r w:rsidRPr="002E1A3F">
        <w:rPr>
          <w:rFonts w:ascii="Calibri" w:eastAsia="Calibri" w:hAnsi="Calibri" w:cs="Calibri"/>
          <w:color w:val="auto"/>
          <w:spacing w:val="-1"/>
          <w:sz w:val="22"/>
          <w:szCs w:val="22"/>
        </w:rPr>
        <w:t xml:space="preserve"> have at least one of their ACE I centers participating in this sub-component as a </w:t>
      </w:r>
      <w:r w:rsidR="000415E8">
        <w:rPr>
          <w:rFonts w:ascii="Calibri" w:eastAsia="Calibri" w:hAnsi="Calibri" w:cs="Calibri"/>
          <w:color w:val="auto"/>
          <w:spacing w:val="-1"/>
          <w:sz w:val="22"/>
          <w:szCs w:val="22"/>
        </w:rPr>
        <w:t>R</w:t>
      </w:r>
      <w:r w:rsidRPr="002E1A3F">
        <w:rPr>
          <w:rFonts w:ascii="Calibri" w:eastAsia="Calibri" w:hAnsi="Calibri" w:cs="Calibri"/>
          <w:color w:val="auto"/>
          <w:spacing w:val="-1"/>
          <w:sz w:val="22"/>
          <w:szCs w:val="22"/>
        </w:rPr>
        <w:t xml:space="preserve">enewal center. Funding under this sub-component will help these centers to: strengthen productive partnerships with industry, sectoral stakeholders, ministries and policymakers; boost their regional leadership of regional networks; lead efforts in the training of quality postgraduate students and maintain their international accreditation; and act as drivers of applied research solutions to development challenges in the region. </w:t>
      </w:r>
      <w:r w:rsidRPr="002E1A3F">
        <w:rPr>
          <w:rFonts w:ascii="Calibri" w:eastAsia="Calibri" w:hAnsi="Calibri" w:cs="Calibri"/>
          <w:bCs/>
          <w:spacing w:val="-1"/>
          <w:sz w:val="22"/>
          <w:szCs w:val="22"/>
        </w:rPr>
        <w:t xml:space="preserve">The </w:t>
      </w:r>
      <w:r w:rsidR="00A7064E">
        <w:rPr>
          <w:rFonts w:ascii="Calibri" w:eastAsia="Calibri" w:hAnsi="Calibri" w:cs="Calibri"/>
          <w:bCs/>
          <w:spacing w:val="-1"/>
          <w:sz w:val="22"/>
          <w:szCs w:val="22"/>
        </w:rPr>
        <w:t xml:space="preserve">initial </w:t>
      </w:r>
      <w:r w:rsidRPr="002E1A3F">
        <w:rPr>
          <w:rFonts w:ascii="Calibri" w:eastAsia="Calibri" w:hAnsi="Calibri" w:cs="Calibri"/>
          <w:bCs/>
          <w:spacing w:val="-1"/>
          <w:sz w:val="22"/>
          <w:szCs w:val="22"/>
        </w:rPr>
        <w:t xml:space="preserve">funding to </w:t>
      </w:r>
      <w:r w:rsidR="003227C6">
        <w:rPr>
          <w:rFonts w:ascii="Calibri" w:eastAsia="Calibri" w:hAnsi="Calibri" w:cs="Calibri"/>
          <w:bCs/>
          <w:spacing w:val="-1"/>
          <w:sz w:val="22"/>
          <w:szCs w:val="22"/>
        </w:rPr>
        <w:t>R</w:t>
      </w:r>
      <w:r w:rsidRPr="002E1A3F">
        <w:rPr>
          <w:rFonts w:ascii="Calibri" w:eastAsia="Calibri" w:hAnsi="Calibri" w:cs="Calibri"/>
          <w:bCs/>
          <w:spacing w:val="-1"/>
          <w:sz w:val="22"/>
          <w:szCs w:val="22"/>
        </w:rPr>
        <w:t>enew</w:t>
      </w:r>
      <w:r w:rsidR="0088112F">
        <w:rPr>
          <w:rFonts w:ascii="Calibri" w:eastAsia="Calibri" w:hAnsi="Calibri" w:cs="Calibri"/>
          <w:bCs/>
          <w:spacing w:val="-1"/>
          <w:sz w:val="22"/>
          <w:szCs w:val="22"/>
        </w:rPr>
        <w:t>al</w:t>
      </w:r>
      <w:r w:rsidR="003A6D8D">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 xml:space="preserve">centers </w:t>
      </w:r>
      <w:r w:rsidR="00DB1B80">
        <w:rPr>
          <w:rFonts w:ascii="Calibri" w:eastAsia="Calibri" w:hAnsi="Calibri" w:cs="Calibri"/>
          <w:bCs/>
          <w:spacing w:val="-1"/>
          <w:sz w:val="22"/>
          <w:szCs w:val="22"/>
        </w:rPr>
        <w:t>is</w:t>
      </w:r>
      <w:r w:rsidRPr="002E1A3F">
        <w:rPr>
          <w:rFonts w:ascii="Calibri" w:eastAsia="Calibri" w:hAnsi="Calibri" w:cs="Calibri"/>
          <w:bCs/>
          <w:spacing w:val="-1"/>
          <w:sz w:val="22"/>
          <w:szCs w:val="22"/>
        </w:rPr>
        <w:t xml:space="preserve"> from US</w:t>
      </w:r>
      <w:r w:rsidRPr="004F5483">
        <w:rPr>
          <w:rFonts w:ascii="Calibri" w:eastAsia="Calibri" w:hAnsi="Calibri" w:cs="Calibri"/>
          <w:bCs/>
          <w:spacing w:val="-1"/>
          <w:sz w:val="22"/>
          <w:szCs w:val="22"/>
        </w:rPr>
        <w:t>$4 million – US$5 million</w:t>
      </w:r>
      <w:r w:rsidRPr="002E1A3F">
        <w:rPr>
          <w:rFonts w:ascii="Calibri" w:eastAsia="Calibri" w:hAnsi="Calibri" w:cs="Calibri"/>
          <w:color w:val="auto"/>
          <w:spacing w:val="-1"/>
          <w:sz w:val="22"/>
          <w:szCs w:val="22"/>
        </w:rPr>
        <w:t xml:space="preserve">. This is equivalent to approximately half the amount of funding previously provided under </w:t>
      </w:r>
      <w:r w:rsidR="00BB4A89">
        <w:rPr>
          <w:rFonts w:ascii="Calibri" w:eastAsia="Calibri" w:hAnsi="Calibri" w:cs="Calibri"/>
          <w:color w:val="auto"/>
          <w:spacing w:val="-1"/>
          <w:sz w:val="22"/>
          <w:szCs w:val="22"/>
        </w:rPr>
        <w:t xml:space="preserve">the </w:t>
      </w:r>
      <w:r w:rsidRPr="002E1A3F">
        <w:rPr>
          <w:rFonts w:ascii="Calibri" w:eastAsia="Calibri" w:hAnsi="Calibri" w:cs="Calibri"/>
          <w:color w:val="auto"/>
          <w:spacing w:val="-1"/>
          <w:sz w:val="22"/>
          <w:szCs w:val="22"/>
        </w:rPr>
        <w:t>ACE I</w:t>
      </w:r>
      <w:r w:rsidR="00BB4A89">
        <w:rPr>
          <w:rFonts w:ascii="Calibri" w:eastAsia="Calibri" w:hAnsi="Calibri" w:cs="Calibri"/>
          <w:color w:val="auto"/>
          <w:spacing w:val="-1"/>
          <w:sz w:val="22"/>
          <w:szCs w:val="22"/>
        </w:rPr>
        <w:t xml:space="preserve"> Project</w:t>
      </w:r>
      <w:r w:rsidRPr="002E1A3F">
        <w:rPr>
          <w:rFonts w:ascii="Calibri" w:eastAsia="Calibri" w:hAnsi="Calibri" w:cs="Calibri"/>
          <w:color w:val="auto"/>
          <w:spacing w:val="-1"/>
          <w:sz w:val="22"/>
          <w:szCs w:val="22"/>
        </w:rPr>
        <w:t xml:space="preserve">, with the expectation that most of these centers will not require capital intensive civil works at the levels they needed </w:t>
      </w:r>
      <w:r w:rsidR="00BB4A89">
        <w:rPr>
          <w:rFonts w:ascii="Calibri" w:eastAsia="Calibri" w:hAnsi="Calibri" w:cs="Calibri"/>
          <w:color w:val="auto"/>
          <w:spacing w:val="-1"/>
          <w:sz w:val="22"/>
          <w:szCs w:val="22"/>
        </w:rPr>
        <w:t>under</w:t>
      </w:r>
      <w:r w:rsidRPr="002E1A3F">
        <w:rPr>
          <w:rFonts w:ascii="Calibri" w:eastAsia="Calibri" w:hAnsi="Calibri" w:cs="Calibri"/>
          <w:color w:val="auto"/>
          <w:spacing w:val="-1"/>
          <w:sz w:val="22"/>
          <w:szCs w:val="22"/>
        </w:rPr>
        <w:t xml:space="preserve"> </w:t>
      </w:r>
      <w:r w:rsidR="00BB4A89">
        <w:rPr>
          <w:rFonts w:ascii="Calibri" w:eastAsia="Calibri" w:hAnsi="Calibri" w:cs="Calibri"/>
          <w:color w:val="auto"/>
          <w:spacing w:val="-1"/>
          <w:sz w:val="22"/>
          <w:szCs w:val="22"/>
        </w:rPr>
        <w:t xml:space="preserve">the </w:t>
      </w:r>
      <w:r w:rsidRPr="002E1A3F">
        <w:rPr>
          <w:rFonts w:ascii="Calibri" w:eastAsia="Calibri" w:hAnsi="Calibri" w:cs="Calibri"/>
          <w:color w:val="auto"/>
          <w:spacing w:val="-1"/>
          <w:sz w:val="22"/>
          <w:szCs w:val="22"/>
        </w:rPr>
        <w:t>ACE I</w:t>
      </w:r>
      <w:r w:rsidR="00BB4A89">
        <w:rPr>
          <w:rFonts w:ascii="Calibri" w:eastAsia="Calibri" w:hAnsi="Calibri" w:cs="Calibri"/>
          <w:color w:val="auto"/>
          <w:spacing w:val="-1"/>
          <w:sz w:val="22"/>
          <w:szCs w:val="22"/>
        </w:rPr>
        <w:t xml:space="preserve"> Project</w:t>
      </w:r>
      <w:r w:rsidRPr="002E1A3F">
        <w:rPr>
          <w:rFonts w:ascii="Calibri" w:eastAsia="Calibri" w:hAnsi="Calibri" w:cs="Calibri"/>
          <w:color w:val="auto"/>
          <w:spacing w:val="-1"/>
          <w:sz w:val="22"/>
          <w:szCs w:val="22"/>
        </w:rPr>
        <w:t>. Further, these ACEs will be supported to increase their fundraising efforts to become fully</w:t>
      </w:r>
      <w:r w:rsidRPr="002E1A3F">
        <w:rPr>
          <w:rFonts w:ascii="Calibri,Times New Roman" w:eastAsia="Calibri,Times New Roman" w:hAnsi="Calibri,Times New Roman" w:cs="Calibri,Times New Roman"/>
          <w:color w:val="auto"/>
          <w:spacing w:val="-1"/>
          <w:sz w:val="22"/>
          <w:szCs w:val="22"/>
        </w:rPr>
        <w:t xml:space="preserve"> </w:t>
      </w:r>
      <w:r w:rsidRPr="002E1A3F">
        <w:rPr>
          <w:rFonts w:ascii="Calibri" w:eastAsia="Calibri" w:hAnsi="Calibri" w:cs="Calibri"/>
          <w:color w:val="auto"/>
          <w:spacing w:val="-1"/>
          <w:sz w:val="22"/>
          <w:szCs w:val="22"/>
        </w:rPr>
        <w:t xml:space="preserve">sustainable after this round of funding. </w:t>
      </w:r>
      <w:r w:rsidRPr="002E1A3F">
        <w:rPr>
          <w:rFonts w:ascii="Calibri" w:eastAsia="Calibri" w:hAnsi="Calibri" w:cs="Calibri"/>
          <w:spacing w:val="-1"/>
          <w:sz w:val="22"/>
          <w:szCs w:val="22"/>
        </w:rPr>
        <w:t xml:space="preserve">The allocation to each center will depend upon the thematic area, overall funding needs indicated in the center’s proposal, the funding envelope of the center’s government, and the government’s priorities. </w:t>
      </w:r>
      <w:r w:rsidRPr="002E1A3F">
        <w:rPr>
          <w:rFonts w:ascii="Calibri" w:eastAsia="Calibri" w:hAnsi="Calibri" w:cs="Calibri"/>
          <w:color w:val="auto"/>
          <w:spacing w:val="-1"/>
          <w:sz w:val="22"/>
          <w:szCs w:val="22"/>
        </w:rPr>
        <w:t xml:space="preserve">While the release of IDA funds will be linked to the achievement of the same seven DLIs listed under Sub-component 1.1 above, the DLI amounts for each center under Sub-component 1.2 will vary between ACEs to </w:t>
      </w:r>
      <w:r w:rsidR="001A3614">
        <w:rPr>
          <w:rFonts w:ascii="Calibri" w:eastAsia="Calibri" w:hAnsi="Calibri" w:cs="Calibri"/>
          <w:color w:val="auto"/>
          <w:spacing w:val="-1"/>
          <w:sz w:val="22"/>
          <w:szCs w:val="22"/>
        </w:rPr>
        <w:t xml:space="preserve">allow </w:t>
      </w:r>
      <w:r w:rsidR="005440D5">
        <w:rPr>
          <w:rFonts w:ascii="Calibri" w:eastAsia="Calibri" w:hAnsi="Calibri" w:cs="Calibri"/>
          <w:color w:val="auto"/>
          <w:spacing w:val="-1"/>
          <w:sz w:val="22"/>
          <w:szCs w:val="22"/>
        </w:rPr>
        <w:t xml:space="preserve">for </w:t>
      </w:r>
      <w:r w:rsidRPr="002E1A3F">
        <w:rPr>
          <w:rFonts w:ascii="Calibri" w:eastAsia="Calibri" w:hAnsi="Calibri" w:cs="Calibri"/>
          <w:color w:val="auto"/>
          <w:spacing w:val="-1"/>
          <w:sz w:val="22"/>
          <w:szCs w:val="22"/>
        </w:rPr>
        <w:t>customiz</w:t>
      </w:r>
      <w:r w:rsidR="005440D5">
        <w:rPr>
          <w:rFonts w:ascii="Calibri" w:eastAsia="Calibri" w:hAnsi="Calibri" w:cs="Calibri"/>
          <w:color w:val="auto"/>
          <w:spacing w:val="-1"/>
          <w:sz w:val="22"/>
          <w:szCs w:val="22"/>
        </w:rPr>
        <w:t>ation</w:t>
      </w:r>
      <w:r w:rsidRPr="002E1A3F">
        <w:rPr>
          <w:rFonts w:ascii="Calibri" w:eastAsia="Calibri" w:hAnsi="Calibri" w:cs="Calibri"/>
          <w:color w:val="auto"/>
          <w:spacing w:val="-1"/>
          <w:sz w:val="22"/>
          <w:szCs w:val="22"/>
        </w:rPr>
        <w:t xml:space="preserve"> </w:t>
      </w:r>
      <w:r w:rsidR="00D64BDE">
        <w:rPr>
          <w:rFonts w:ascii="Calibri" w:eastAsia="Calibri" w:hAnsi="Calibri" w:cs="Calibri"/>
          <w:color w:val="auto"/>
          <w:spacing w:val="-1"/>
          <w:sz w:val="22"/>
          <w:szCs w:val="22"/>
        </w:rPr>
        <w:t xml:space="preserve">of expected results </w:t>
      </w:r>
      <w:r w:rsidRPr="002E1A3F">
        <w:rPr>
          <w:rFonts w:ascii="Calibri" w:eastAsia="Calibri" w:hAnsi="Calibri" w:cs="Calibri"/>
          <w:color w:val="auto"/>
          <w:spacing w:val="-1"/>
          <w:sz w:val="22"/>
          <w:szCs w:val="22"/>
        </w:rPr>
        <w:t>to</w:t>
      </w:r>
      <w:r w:rsidR="00A727C9">
        <w:rPr>
          <w:rFonts w:ascii="Calibri" w:eastAsia="Calibri" w:hAnsi="Calibri" w:cs="Calibri"/>
          <w:color w:val="auto"/>
          <w:spacing w:val="-1"/>
          <w:sz w:val="22"/>
          <w:szCs w:val="22"/>
        </w:rPr>
        <w:t xml:space="preserve"> each</w:t>
      </w:r>
      <w:r w:rsidRPr="002E1A3F">
        <w:rPr>
          <w:rFonts w:ascii="Calibri" w:eastAsia="Calibri" w:hAnsi="Calibri" w:cs="Calibri"/>
          <w:color w:val="auto"/>
          <w:spacing w:val="-1"/>
          <w:sz w:val="22"/>
          <w:szCs w:val="22"/>
        </w:rPr>
        <w:t xml:space="preserve"> center</w:t>
      </w:r>
      <w:r w:rsidR="00A727C9">
        <w:rPr>
          <w:rFonts w:ascii="Calibri" w:eastAsia="Calibri" w:hAnsi="Calibri" w:cs="Calibri"/>
          <w:color w:val="auto"/>
          <w:spacing w:val="-1"/>
          <w:sz w:val="22"/>
          <w:szCs w:val="22"/>
        </w:rPr>
        <w:t xml:space="preserve">’s </w:t>
      </w:r>
      <w:r w:rsidRPr="002E1A3F">
        <w:rPr>
          <w:rFonts w:ascii="Calibri" w:eastAsia="Calibri" w:hAnsi="Calibri" w:cs="Calibri"/>
          <w:color w:val="auto"/>
          <w:spacing w:val="-1"/>
          <w:sz w:val="22"/>
          <w:szCs w:val="22"/>
        </w:rPr>
        <w:t>specific objectives. The specific amounts</w:t>
      </w:r>
      <w:r w:rsidR="00FA6C6D">
        <w:rPr>
          <w:rFonts w:ascii="Calibri" w:eastAsia="Calibri" w:hAnsi="Calibri" w:cs="Calibri"/>
          <w:color w:val="auto"/>
          <w:spacing w:val="-1"/>
          <w:sz w:val="22"/>
          <w:szCs w:val="22"/>
        </w:rPr>
        <w:t xml:space="preserve"> for each center</w:t>
      </w:r>
      <w:r w:rsidRPr="002E1A3F">
        <w:rPr>
          <w:rFonts w:ascii="Calibri" w:eastAsia="Calibri" w:hAnsi="Calibri" w:cs="Calibri"/>
          <w:color w:val="auto"/>
          <w:spacing w:val="-1"/>
          <w:sz w:val="22"/>
          <w:szCs w:val="22"/>
        </w:rPr>
        <w:t xml:space="preserve"> are provided in the </w:t>
      </w:r>
      <w:r w:rsidRPr="002E1A3F">
        <w:rPr>
          <w:rFonts w:ascii="Calibri" w:eastAsia="Calibri" w:hAnsi="Calibri" w:cs="Calibri"/>
          <w:sz w:val="22"/>
          <w:szCs w:val="22"/>
        </w:rPr>
        <w:t>POM</w:t>
      </w:r>
      <w:r w:rsidRPr="002E1A3F">
        <w:rPr>
          <w:rFonts w:ascii="Calibri" w:eastAsia="Calibri" w:hAnsi="Calibri" w:cs="Calibri"/>
          <w:color w:val="auto"/>
          <w:spacing w:val="-1"/>
          <w:sz w:val="22"/>
          <w:szCs w:val="22"/>
        </w:rPr>
        <w:t>.</w:t>
      </w:r>
    </w:p>
    <w:p w14:paraId="20E82B48" w14:textId="77777777" w:rsidR="002E1A3F" w:rsidRPr="002E1A3F" w:rsidRDefault="00B00100">
      <w:pPr>
        <w:tabs>
          <w:tab w:val="left" w:pos="0"/>
          <w:tab w:val="left" w:pos="720"/>
        </w:tabs>
        <w:spacing w:after="240"/>
        <w:contextualSpacing/>
        <w:jc w:val="both"/>
        <w:rPr>
          <w:rFonts w:ascii="Calibri" w:eastAsia="Calibri" w:hAnsi="Calibri" w:cs="Calibri"/>
          <w:b/>
          <w:bCs/>
          <w:i/>
          <w:iCs/>
          <w:sz w:val="22"/>
          <w:szCs w:val="22"/>
          <w:u w:val="single"/>
        </w:rPr>
      </w:pPr>
      <w:r w:rsidRPr="002E1A3F">
        <w:rPr>
          <w:rFonts w:ascii="Calibri" w:eastAsia="Times New Roman" w:hAnsi="Calibri" w:cs="Calibri"/>
          <w:b/>
          <w:bCs/>
          <w:i/>
          <w:color w:val="2E74B5"/>
          <w:sz w:val="22"/>
          <w:szCs w:val="22"/>
        </w:rPr>
        <w:t xml:space="preserve">Additional support to engineering and technology ACE host institutions </w:t>
      </w:r>
      <w:r w:rsidRPr="002E1A3F">
        <w:rPr>
          <w:rFonts w:ascii="Calibri" w:eastAsia="Calibri" w:hAnsi="Calibri" w:cs="Calibri"/>
          <w:b/>
          <w:bCs/>
          <w:i/>
          <w:iCs/>
          <w:sz w:val="22"/>
          <w:szCs w:val="22"/>
          <w:u w:val="single"/>
        </w:rPr>
        <w:t xml:space="preserve"> </w:t>
      </w:r>
    </w:p>
    <w:p w14:paraId="05D12660" w14:textId="77777777" w:rsidR="002E1A3F" w:rsidRPr="002E1A3F" w:rsidRDefault="002E1A3F" w:rsidP="00E31D75">
      <w:pPr>
        <w:tabs>
          <w:tab w:val="left" w:pos="0"/>
          <w:tab w:val="left" w:pos="720"/>
        </w:tabs>
        <w:spacing w:after="240"/>
        <w:contextualSpacing/>
        <w:jc w:val="both"/>
        <w:rPr>
          <w:rFonts w:ascii="Calibri" w:eastAsia="Calibri" w:hAnsi="Calibri" w:cs="Calibri"/>
          <w:b/>
          <w:bCs/>
          <w:i/>
          <w:iCs/>
          <w:sz w:val="22"/>
          <w:szCs w:val="22"/>
          <w:u w:val="single"/>
        </w:rPr>
      </w:pPr>
    </w:p>
    <w:p w14:paraId="43B9F3B6" w14:textId="6FC4AF1E" w:rsidR="002E1A3F" w:rsidRPr="00223553"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color w:val="auto"/>
          <w:sz w:val="22"/>
          <w:szCs w:val="22"/>
        </w:rPr>
      </w:pPr>
      <w:r>
        <w:rPr>
          <w:rFonts w:ascii="Calibri" w:eastAsia="Calibri" w:hAnsi="Calibri" w:cs="Calibri"/>
          <w:b/>
          <w:spacing w:val="-1"/>
          <w:sz w:val="22"/>
          <w:szCs w:val="22"/>
        </w:rPr>
        <w:t>One</w:t>
      </w:r>
      <w:r w:rsidR="00CE2C51" w:rsidRPr="002E1A3F">
        <w:rPr>
          <w:rFonts w:ascii="Calibri" w:eastAsia="Calibri" w:hAnsi="Calibri" w:cs="Calibri"/>
          <w:b/>
          <w:spacing w:val="-1"/>
          <w:sz w:val="22"/>
          <w:szCs w:val="22"/>
        </w:rPr>
        <w:t xml:space="preserve"> institution that </w:t>
      </w:r>
      <w:r>
        <w:rPr>
          <w:rFonts w:ascii="Calibri" w:eastAsia="Calibri" w:hAnsi="Calibri" w:cs="Calibri"/>
          <w:b/>
          <w:spacing w:val="-1"/>
          <w:sz w:val="22"/>
          <w:szCs w:val="22"/>
        </w:rPr>
        <w:t>is</w:t>
      </w:r>
      <w:r w:rsidR="00CE2C51" w:rsidRPr="002E1A3F">
        <w:rPr>
          <w:rFonts w:ascii="Calibri" w:eastAsia="Calibri" w:hAnsi="Calibri" w:cs="Calibri"/>
          <w:b/>
          <w:spacing w:val="-1"/>
          <w:sz w:val="22"/>
          <w:szCs w:val="22"/>
        </w:rPr>
        <w:t xml:space="preserve"> selected to host an engineering or technology-focused center with capacity in other engineering disciplines will receive additional funding</w:t>
      </w:r>
      <w:r w:rsidR="00CE2C51" w:rsidRPr="002E1A3F">
        <w:rPr>
          <w:rFonts w:ascii="Calibri,Times New Roman" w:eastAsia="Calibri,Times New Roman" w:hAnsi="Calibri,Times New Roman" w:cs="Calibri,Times New Roman"/>
          <w:b/>
          <w:spacing w:val="-1"/>
          <w:sz w:val="22"/>
          <w:szCs w:val="22"/>
        </w:rPr>
        <w:t xml:space="preserve"> </w:t>
      </w:r>
      <w:r w:rsidR="00CE2C51" w:rsidRPr="002E1A3F">
        <w:rPr>
          <w:rFonts w:ascii="Calibri" w:eastAsia="Calibri" w:hAnsi="Calibri" w:cs="Calibri"/>
          <w:b/>
          <w:spacing w:val="-1"/>
          <w:sz w:val="22"/>
          <w:szCs w:val="22"/>
        </w:rPr>
        <w:t>in IDA support</w:t>
      </w:r>
      <w:r w:rsidR="00CE2C51" w:rsidRPr="002E1A3F">
        <w:rPr>
          <w:rFonts w:ascii="Calibri" w:eastAsia="Calibri" w:hAnsi="Calibri" w:cs="Calibri"/>
          <w:spacing w:val="-1"/>
          <w:sz w:val="22"/>
          <w:szCs w:val="22"/>
        </w:rPr>
        <w:t xml:space="preserve">. Benin </w:t>
      </w:r>
      <w:r w:rsidR="00BA1942">
        <w:rPr>
          <w:rFonts w:ascii="Calibri" w:eastAsia="Calibri" w:hAnsi="Calibri" w:cs="Calibri"/>
          <w:spacing w:val="-1"/>
          <w:sz w:val="22"/>
          <w:szCs w:val="22"/>
        </w:rPr>
        <w:t>has</w:t>
      </w:r>
      <w:r w:rsidR="00CE2C51" w:rsidRPr="002E1A3F">
        <w:rPr>
          <w:rFonts w:ascii="Calibri" w:eastAsia="Calibri" w:hAnsi="Calibri" w:cs="Calibri"/>
          <w:spacing w:val="-1"/>
          <w:sz w:val="22"/>
          <w:szCs w:val="22"/>
        </w:rPr>
        <w:t xml:space="preserve"> one institution that fit</w:t>
      </w:r>
      <w:r w:rsidR="00BA1942">
        <w:rPr>
          <w:rFonts w:ascii="Calibri" w:eastAsia="Calibri" w:hAnsi="Calibri" w:cs="Calibri"/>
          <w:spacing w:val="-1"/>
          <w:sz w:val="22"/>
          <w:szCs w:val="22"/>
        </w:rPr>
        <w:t>s</w:t>
      </w:r>
      <w:r w:rsidR="00CE2C51" w:rsidRPr="002E1A3F">
        <w:rPr>
          <w:rFonts w:ascii="Calibri" w:eastAsia="Calibri" w:hAnsi="Calibri" w:cs="Calibri"/>
          <w:spacing w:val="-1"/>
          <w:sz w:val="22"/>
          <w:szCs w:val="22"/>
        </w:rPr>
        <w:t xml:space="preserve"> th</w:t>
      </w:r>
      <w:r w:rsidR="006A4A47">
        <w:rPr>
          <w:rFonts w:ascii="Calibri" w:eastAsia="Calibri" w:hAnsi="Calibri" w:cs="Calibri"/>
          <w:spacing w:val="-1"/>
          <w:sz w:val="22"/>
          <w:szCs w:val="22"/>
        </w:rPr>
        <w:t>is</w:t>
      </w:r>
      <w:r w:rsidR="00CE2C51" w:rsidRPr="002E1A3F">
        <w:rPr>
          <w:rFonts w:ascii="Calibri" w:eastAsia="Calibri" w:hAnsi="Calibri" w:cs="Calibri"/>
          <w:spacing w:val="-1"/>
          <w:sz w:val="22"/>
          <w:szCs w:val="22"/>
        </w:rPr>
        <w:t xml:space="preserve"> profile. This funding</w:t>
      </w:r>
      <w:r w:rsidR="00CE2C51" w:rsidRPr="002E1A3F">
        <w:rPr>
          <w:rFonts w:ascii="Calibri,Times New Roman" w:eastAsia="Calibri,Times New Roman" w:hAnsi="Calibri,Times New Roman" w:cs="Calibri,Times New Roman"/>
          <w:spacing w:val="-1"/>
          <w:sz w:val="22"/>
          <w:szCs w:val="22"/>
        </w:rPr>
        <w:t xml:space="preserve"> </w:t>
      </w:r>
      <w:r w:rsidR="00CE2C51" w:rsidRPr="002E1A3F">
        <w:rPr>
          <w:rFonts w:ascii="Calibri" w:eastAsia="Calibri" w:hAnsi="Calibri" w:cs="Calibri"/>
          <w:spacing w:val="-1"/>
          <w:sz w:val="22"/>
          <w:szCs w:val="22"/>
        </w:rPr>
        <w:t xml:space="preserve">will support an institution-wide strengthening of the engineering and technology programs within their </w:t>
      </w:r>
      <w:r w:rsidR="00CE2C51" w:rsidRPr="002E1A3F">
        <w:rPr>
          <w:rFonts w:ascii="Calibri" w:eastAsia="Calibri" w:hAnsi="Calibri" w:cs="Times New Roman"/>
          <w:color w:val="auto"/>
          <w:sz w:val="22"/>
          <w:szCs w:val="22"/>
        </w:rPr>
        <w:t>College or School of Engineering (CoEngg).</w:t>
      </w:r>
      <w:r>
        <w:rPr>
          <w:rFonts w:ascii="Calibri" w:eastAsia="Calibri" w:hAnsi="Calibri" w:cs="Times New Roman"/>
          <w:color w:val="auto"/>
          <w:sz w:val="22"/>
          <w:szCs w:val="22"/>
          <w:vertAlign w:val="superscript"/>
        </w:rPr>
        <w:footnoteReference w:id="14"/>
      </w:r>
      <w:r w:rsidR="00CE2C51" w:rsidRPr="002E1A3F">
        <w:rPr>
          <w:rFonts w:ascii="Calibri" w:eastAsia="Calibri" w:hAnsi="Calibri" w:cs="Times New Roman"/>
          <w:color w:val="auto"/>
          <w:sz w:val="22"/>
          <w:szCs w:val="22"/>
        </w:rPr>
        <w:t xml:space="preserve"> </w:t>
      </w:r>
      <w:r w:rsidR="00CE2C51" w:rsidRPr="002E1A3F">
        <w:rPr>
          <w:rFonts w:ascii="Calibri" w:eastAsia="Calibri" w:hAnsi="Calibri" w:cs="Calibri"/>
          <w:spacing w:val="-1"/>
          <w:sz w:val="22"/>
          <w:szCs w:val="22"/>
        </w:rPr>
        <w:t xml:space="preserve">The CoEngg are expected to meet the same seven DLIs just as its ACE/Emerging center to incentivize the scaling-up of </w:t>
      </w:r>
      <w:r w:rsidR="00CE2C51" w:rsidRPr="002E1A3F">
        <w:rPr>
          <w:rFonts w:ascii="Calibri" w:eastAsia="Calibri" w:hAnsi="Calibri" w:cs="Calibri"/>
          <w:spacing w:val="-1"/>
          <w:sz w:val="22"/>
          <w:szCs w:val="22"/>
        </w:rPr>
        <w:lastRenderedPageBreak/>
        <w:t>enrollment of undergraduates (including enrollment of females)</w:t>
      </w:r>
      <w:r w:rsidR="00CE2C51" w:rsidRPr="002E1A3F">
        <w:rPr>
          <w:rFonts w:ascii="Calibri,Times New Roman" w:eastAsia="Calibri,Times New Roman" w:hAnsi="Calibri,Times New Roman" w:cs="Calibri,Times New Roman"/>
          <w:spacing w:val="-1"/>
          <w:sz w:val="22"/>
          <w:szCs w:val="22"/>
        </w:rPr>
        <w:t xml:space="preserve">; </w:t>
      </w:r>
      <w:r w:rsidR="00CE2C51" w:rsidRPr="002E1A3F">
        <w:rPr>
          <w:rFonts w:ascii="Calibri" w:eastAsia="Calibri" w:hAnsi="Calibri" w:cs="Calibri"/>
          <w:spacing w:val="-1"/>
          <w:sz w:val="22"/>
          <w:szCs w:val="22"/>
        </w:rPr>
        <w:t>achieving international quality standards</w:t>
      </w:r>
      <w:r w:rsidR="00CE2C51" w:rsidRPr="002E1A3F">
        <w:rPr>
          <w:rFonts w:ascii="Calibri,Times New Roman" w:eastAsia="Calibri,Times New Roman" w:hAnsi="Calibri,Times New Roman" w:cs="Calibri,Times New Roman"/>
          <w:spacing w:val="-1"/>
          <w:sz w:val="22"/>
          <w:szCs w:val="22"/>
        </w:rPr>
        <w:t xml:space="preserve">; </w:t>
      </w:r>
      <w:r w:rsidR="00CE2C51" w:rsidRPr="002E1A3F">
        <w:rPr>
          <w:rFonts w:ascii="Calibri" w:eastAsia="Calibri" w:hAnsi="Calibri" w:cs="Calibri"/>
          <w:spacing w:val="-1"/>
          <w:sz w:val="22"/>
          <w:szCs w:val="22"/>
        </w:rPr>
        <w:t>introducing new academic programs</w:t>
      </w:r>
      <w:r w:rsidR="00CE2C51" w:rsidRPr="002E1A3F">
        <w:rPr>
          <w:rFonts w:ascii="Calibri,Times New Roman" w:eastAsia="Calibri,Times New Roman" w:hAnsi="Calibri,Times New Roman" w:cs="Calibri,Times New Roman"/>
          <w:spacing w:val="-1"/>
          <w:sz w:val="22"/>
          <w:szCs w:val="22"/>
        </w:rPr>
        <w:t xml:space="preserve">; </w:t>
      </w:r>
      <w:r w:rsidR="00CE2C51" w:rsidRPr="002E1A3F">
        <w:rPr>
          <w:rFonts w:ascii="Calibri" w:eastAsia="Calibri" w:hAnsi="Calibri" w:cs="Calibri"/>
          <w:spacing w:val="-1"/>
          <w:sz w:val="22"/>
          <w:szCs w:val="22"/>
        </w:rPr>
        <w:t>promoting project-based learning and innovative pedagogy; establishing new laboratories</w:t>
      </w:r>
      <w:r w:rsidR="00CE2C51" w:rsidRPr="002E1A3F">
        <w:rPr>
          <w:rFonts w:ascii="Calibri,Times New Roman" w:eastAsia="Calibri,Times New Roman" w:hAnsi="Calibri,Times New Roman" w:cs="Calibri,Times New Roman"/>
          <w:spacing w:val="-1"/>
          <w:sz w:val="22"/>
          <w:szCs w:val="22"/>
        </w:rPr>
        <w:t xml:space="preserve">; </w:t>
      </w:r>
      <w:r w:rsidR="00CE2C51" w:rsidRPr="002E1A3F">
        <w:rPr>
          <w:rFonts w:ascii="Calibri" w:eastAsia="Calibri" w:hAnsi="Calibri" w:cs="Calibri"/>
          <w:spacing w:val="-1"/>
          <w:sz w:val="22"/>
          <w:szCs w:val="22"/>
        </w:rPr>
        <w:t xml:space="preserve">enabling technology transfer and business/entrepreneurship; building linkages to business programs; enhancing teaching and research capacity; and promoting institutional transformation in terms of policies and operations. </w:t>
      </w:r>
      <w:r w:rsidR="00B42914">
        <w:rPr>
          <w:rFonts w:ascii="Calibri" w:eastAsia="Calibri" w:hAnsi="Calibri" w:cs="Calibri"/>
          <w:spacing w:val="-1"/>
          <w:sz w:val="22"/>
          <w:szCs w:val="22"/>
        </w:rPr>
        <w:t xml:space="preserve">These activities are expected to </w:t>
      </w:r>
      <w:r w:rsidR="006D5B7D">
        <w:rPr>
          <w:rFonts w:ascii="Calibri" w:eastAsia="Calibri" w:hAnsi="Calibri" w:cs="Calibri"/>
          <w:spacing w:val="-1"/>
          <w:sz w:val="22"/>
          <w:szCs w:val="22"/>
        </w:rPr>
        <w:t>strengthen</w:t>
      </w:r>
      <w:r w:rsidR="00B42914">
        <w:rPr>
          <w:rFonts w:ascii="Calibri" w:eastAsia="Calibri" w:hAnsi="Calibri" w:cs="Calibri"/>
          <w:spacing w:val="-1"/>
          <w:sz w:val="22"/>
          <w:szCs w:val="22"/>
        </w:rPr>
        <w:t xml:space="preserve"> the </w:t>
      </w:r>
      <w:r w:rsidR="007A134E">
        <w:rPr>
          <w:rFonts w:ascii="Calibri" w:eastAsia="Calibri" w:hAnsi="Calibri" w:cs="Calibri"/>
          <w:spacing w:val="-1"/>
          <w:sz w:val="22"/>
          <w:szCs w:val="22"/>
        </w:rPr>
        <w:t>capacity at the CoEngg</w:t>
      </w:r>
      <w:r w:rsidR="006D5B7D">
        <w:rPr>
          <w:rFonts w:ascii="Calibri" w:eastAsia="Calibri" w:hAnsi="Calibri" w:cs="Calibri"/>
          <w:spacing w:val="-1"/>
          <w:sz w:val="22"/>
          <w:szCs w:val="22"/>
        </w:rPr>
        <w:t>, and enhance the potential for long-term sustainability of the Center and the broader C</w:t>
      </w:r>
      <w:r w:rsidR="00D15912">
        <w:rPr>
          <w:rFonts w:ascii="Calibri" w:eastAsia="Calibri" w:hAnsi="Calibri" w:cs="Calibri"/>
          <w:spacing w:val="-1"/>
          <w:sz w:val="22"/>
          <w:szCs w:val="22"/>
        </w:rPr>
        <w:t xml:space="preserve">oEngg.  </w:t>
      </w:r>
      <w:r w:rsidR="00CE2C51" w:rsidRPr="002E1A3F">
        <w:rPr>
          <w:rFonts w:ascii="Calibri" w:eastAsia="Calibri" w:hAnsi="Calibri" w:cs="Calibri"/>
          <w:spacing w:val="-1"/>
          <w:sz w:val="22"/>
          <w:szCs w:val="22"/>
        </w:rPr>
        <w:t xml:space="preserve">This type of support did not exist under </w:t>
      </w:r>
      <w:r w:rsidR="00BB4A89">
        <w:rPr>
          <w:rFonts w:ascii="Calibri" w:eastAsia="Calibri" w:hAnsi="Calibri" w:cs="Calibri"/>
          <w:spacing w:val="-1"/>
          <w:sz w:val="22"/>
          <w:szCs w:val="22"/>
        </w:rPr>
        <w:t xml:space="preserve">the </w:t>
      </w:r>
      <w:r w:rsidR="00CE2C51" w:rsidRPr="002E1A3F">
        <w:rPr>
          <w:rFonts w:ascii="Calibri" w:eastAsia="Calibri" w:hAnsi="Calibri" w:cs="Calibri"/>
          <w:spacing w:val="-1"/>
          <w:sz w:val="22"/>
          <w:szCs w:val="22"/>
        </w:rPr>
        <w:t>ACE I or ACE II</w:t>
      </w:r>
      <w:r w:rsidR="00BB4A89">
        <w:rPr>
          <w:rFonts w:ascii="Calibri" w:eastAsia="Calibri" w:hAnsi="Calibri" w:cs="Calibri"/>
          <w:spacing w:val="-1"/>
          <w:sz w:val="22"/>
          <w:szCs w:val="22"/>
        </w:rPr>
        <w:t xml:space="preserve"> projects</w:t>
      </w:r>
      <w:r w:rsidR="00CE2C51" w:rsidRPr="002E1A3F">
        <w:rPr>
          <w:rFonts w:ascii="Calibri" w:eastAsia="Calibri" w:hAnsi="Calibri" w:cs="Calibri"/>
          <w:spacing w:val="-1"/>
          <w:sz w:val="22"/>
          <w:szCs w:val="22"/>
        </w:rPr>
        <w:t>.</w:t>
      </w:r>
    </w:p>
    <w:p w14:paraId="4FC767DB" w14:textId="77777777" w:rsidR="002E1A3F" w:rsidRPr="007028A5" w:rsidRDefault="00B00100">
      <w:pPr>
        <w:widowControl/>
        <w:autoSpaceDE/>
        <w:autoSpaceDN/>
        <w:adjustRightInd/>
        <w:spacing w:after="160"/>
        <w:jc w:val="both"/>
        <w:rPr>
          <w:rFonts w:ascii="Calibri" w:eastAsia="Times New Roman" w:hAnsi="Calibri" w:cs="Calibri"/>
          <w:b/>
          <w:color w:val="2E74B5"/>
          <w:sz w:val="22"/>
          <w:szCs w:val="22"/>
        </w:rPr>
      </w:pPr>
      <w:r w:rsidRPr="007028A5">
        <w:rPr>
          <w:rFonts w:ascii="Calibri" w:eastAsia="Times New Roman" w:hAnsi="Calibri" w:cs="Calibri"/>
          <w:b/>
          <w:bCs/>
          <w:color w:val="2E74B5"/>
          <w:sz w:val="22"/>
          <w:szCs w:val="22"/>
        </w:rPr>
        <w:t xml:space="preserve">Component 2:  Fostering </w:t>
      </w:r>
      <w:r w:rsidR="00A80F45">
        <w:rPr>
          <w:rFonts w:ascii="Calibri" w:eastAsia="Times New Roman" w:hAnsi="Calibri" w:cs="Calibri"/>
          <w:b/>
          <w:bCs/>
          <w:color w:val="2E74B5"/>
          <w:sz w:val="22"/>
          <w:szCs w:val="22"/>
        </w:rPr>
        <w:t>r</w:t>
      </w:r>
      <w:r w:rsidRPr="007028A5">
        <w:rPr>
          <w:rFonts w:ascii="Calibri" w:eastAsia="Times New Roman" w:hAnsi="Calibri" w:cs="Calibri"/>
          <w:b/>
          <w:bCs/>
          <w:color w:val="2E74B5"/>
          <w:sz w:val="22"/>
          <w:szCs w:val="22"/>
        </w:rPr>
        <w:t xml:space="preserve">egional </w:t>
      </w:r>
      <w:r w:rsidR="00A80F45">
        <w:rPr>
          <w:rFonts w:ascii="Calibri" w:eastAsia="Times New Roman" w:hAnsi="Calibri" w:cs="Calibri"/>
          <w:b/>
          <w:bCs/>
          <w:color w:val="2E74B5"/>
          <w:sz w:val="22"/>
          <w:szCs w:val="22"/>
        </w:rPr>
        <w:t>p</w:t>
      </w:r>
      <w:r w:rsidRPr="007028A5">
        <w:rPr>
          <w:rFonts w:ascii="Calibri" w:eastAsia="Times New Roman" w:hAnsi="Calibri" w:cs="Calibri"/>
          <w:b/>
          <w:bCs/>
          <w:color w:val="2E74B5"/>
          <w:sz w:val="22"/>
          <w:szCs w:val="22"/>
        </w:rPr>
        <w:t xml:space="preserve">artnerships and </w:t>
      </w:r>
      <w:r w:rsidR="00A80F45">
        <w:rPr>
          <w:rFonts w:ascii="Calibri" w:eastAsia="Times New Roman" w:hAnsi="Calibri" w:cs="Calibri"/>
          <w:b/>
          <w:bCs/>
          <w:color w:val="2E74B5"/>
          <w:sz w:val="22"/>
          <w:szCs w:val="22"/>
        </w:rPr>
        <w:t>s</w:t>
      </w:r>
      <w:r w:rsidRPr="007028A5">
        <w:rPr>
          <w:rFonts w:ascii="Calibri" w:eastAsia="Times New Roman" w:hAnsi="Calibri" w:cs="Calibri"/>
          <w:b/>
          <w:bCs/>
          <w:color w:val="2E74B5"/>
          <w:sz w:val="22"/>
          <w:szCs w:val="22"/>
        </w:rPr>
        <w:t>cholarships (</w:t>
      </w:r>
      <w:r w:rsidRPr="006C70A5">
        <w:rPr>
          <w:rFonts w:ascii="Calibri" w:eastAsia="Times New Roman" w:hAnsi="Calibri" w:cs="Calibri"/>
          <w:b/>
          <w:bCs/>
          <w:i/>
          <w:color w:val="2E74B5"/>
          <w:sz w:val="22"/>
          <w:szCs w:val="22"/>
        </w:rPr>
        <w:t>Total: US$</w:t>
      </w:r>
      <w:r w:rsidR="00E97958" w:rsidRPr="006C70A5">
        <w:rPr>
          <w:rFonts w:ascii="Calibri" w:eastAsia="Times New Roman" w:hAnsi="Calibri" w:cs="Calibri"/>
          <w:b/>
          <w:bCs/>
          <w:i/>
          <w:color w:val="2E74B5"/>
          <w:sz w:val="22"/>
          <w:szCs w:val="22"/>
        </w:rPr>
        <w:t>42</w:t>
      </w:r>
      <w:r w:rsidRPr="006C70A5">
        <w:rPr>
          <w:rFonts w:ascii="Calibri" w:eastAsia="Times New Roman" w:hAnsi="Calibri" w:cs="Calibri"/>
          <w:b/>
          <w:bCs/>
          <w:i/>
          <w:color w:val="2E74B5"/>
          <w:sz w:val="22"/>
          <w:szCs w:val="22"/>
        </w:rPr>
        <w:t xml:space="preserve"> million</w:t>
      </w:r>
      <w:r w:rsidR="00D64BDE" w:rsidRPr="006C70A5">
        <w:rPr>
          <w:rFonts w:ascii="Calibri" w:eastAsia="Times New Roman" w:hAnsi="Calibri" w:cs="Calibri"/>
          <w:b/>
          <w:bCs/>
          <w:i/>
          <w:color w:val="2E74B5"/>
          <w:sz w:val="22"/>
          <w:szCs w:val="22"/>
        </w:rPr>
        <w:t xml:space="preserve"> </w:t>
      </w:r>
      <w:r w:rsidR="00453C63" w:rsidRPr="006C70A5">
        <w:rPr>
          <w:rFonts w:ascii="Calibri" w:eastAsia="Times New Roman" w:hAnsi="Calibri" w:cs="Calibri"/>
          <w:b/>
          <w:bCs/>
          <w:i/>
          <w:color w:val="2E74B5"/>
          <w:sz w:val="22"/>
          <w:szCs w:val="22"/>
        </w:rPr>
        <w:t>equivalent</w:t>
      </w:r>
      <w:r w:rsidRPr="006C70A5">
        <w:rPr>
          <w:rFonts w:ascii="Calibri" w:eastAsia="Times New Roman" w:hAnsi="Calibri" w:cs="Calibri"/>
          <w:b/>
          <w:bCs/>
          <w:i/>
          <w:color w:val="2E74B5"/>
          <w:sz w:val="22"/>
          <w:szCs w:val="22"/>
        </w:rPr>
        <w:t xml:space="preserve"> of which IDA US$</w:t>
      </w:r>
      <w:r w:rsidR="00BA1942" w:rsidRPr="006C70A5">
        <w:rPr>
          <w:rFonts w:ascii="Calibri" w:eastAsia="Times New Roman" w:hAnsi="Calibri" w:cs="Calibri"/>
          <w:b/>
          <w:i/>
          <w:color w:val="2E74B5"/>
          <w:sz w:val="22"/>
          <w:szCs w:val="22"/>
        </w:rPr>
        <w:t>24</w:t>
      </w:r>
      <w:r w:rsidRPr="006C70A5">
        <w:rPr>
          <w:rFonts w:ascii="Calibri" w:eastAsia="Times New Roman" w:hAnsi="Calibri" w:cs="Calibri"/>
          <w:b/>
          <w:i/>
          <w:color w:val="2E74B5"/>
          <w:sz w:val="22"/>
          <w:szCs w:val="22"/>
        </w:rPr>
        <w:t xml:space="preserve"> million </w:t>
      </w:r>
      <w:r w:rsidR="00453C63" w:rsidRPr="006C70A5">
        <w:rPr>
          <w:rFonts w:ascii="Calibri" w:eastAsia="Times New Roman" w:hAnsi="Calibri" w:cs="Calibri"/>
          <w:b/>
          <w:i/>
          <w:color w:val="2E74B5"/>
          <w:sz w:val="22"/>
          <w:szCs w:val="22"/>
        </w:rPr>
        <w:t xml:space="preserve">equivalent </w:t>
      </w:r>
      <w:r w:rsidRPr="006C70A5">
        <w:rPr>
          <w:rFonts w:ascii="Calibri" w:eastAsia="Times New Roman" w:hAnsi="Calibri" w:cs="Calibri"/>
          <w:b/>
          <w:i/>
          <w:color w:val="2E74B5"/>
          <w:sz w:val="22"/>
          <w:szCs w:val="22"/>
        </w:rPr>
        <w:t>and government contribution US$</w:t>
      </w:r>
      <w:r w:rsidR="00BA1942" w:rsidRPr="006C70A5">
        <w:rPr>
          <w:rFonts w:ascii="Calibri" w:eastAsia="Times New Roman" w:hAnsi="Calibri" w:cs="Calibri"/>
          <w:b/>
          <w:i/>
          <w:color w:val="2E74B5"/>
          <w:sz w:val="22"/>
          <w:szCs w:val="22"/>
        </w:rPr>
        <w:t>18</w:t>
      </w:r>
      <w:r w:rsidRPr="006C70A5">
        <w:rPr>
          <w:rFonts w:ascii="Calibri" w:eastAsia="Times New Roman" w:hAnsi="Calibri" w:cs="Calibri"/>
          <w:b/>
          <w:i/>
          <w:color w:val="2E74B5"/>
          <w:sz w:val="22"/>
          <w:szCs w:val="22"/>
        </w:rPr>
        <w:t xml:space="preserve"> million</w:t>
      </w:r>
      <w:r w:rsidR="00453C63" w:rsidRPr="006C70A5">
        <w:rPr>
          <w:rFonts w:ascii="Calibri" w:eastAsia="Times New Roman" w:hAnsi="Calibri" w:cs="Calibri"/>
          <w:b/>
          <w:i/>
          <w:color w:val="2E74B5"/>
          <w:sz w:val="22"/>
          <w:szCs w:val="22"/>
        </w:rPr>
        <w:t xml:space="preserve"> equivalent</w:t>
      </w:r>
      <w:r w:rsidRPr="007028A5">
        <w:rPr>
          <w:rFonts w:ascii="Calibri" w:eastAsia="Times New Roman" w:hAnsi="Calibri" w:cs="Calibri"/>
          <w:b/>
          <w:color w:val="2E74B5"/>
          <w:sz w:val="22"/>
          <w:szCs w:val="22"/>
        </w:rPr>
        <w:t xml:space="preserve">) </w:t>
      </w:r>
    </w:p>
    <w:p w14:paraId="2FE8152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pacing w:val="-1"/>
          <w:sz w:val="22"/>
          <w:szCs w:val="22"/>
        </w:rPr>
      </w:pPr>
      <w:r w:rsidRPr="00BA1942">
        <w:rPr>
          <w:rFonts w:ascii="Calibri" w:eastAsia="Calibri" w:hAnsi="Calibri" w:cs="Calibri"/>
          <w:b/>
          <w:bCs/>
          <w:spacing w:val="-1"/>
          <w:sz w:val="22"/>
          <w:szCs w:val="22"/>
        </w:rPr>
        <w:t>Component 2 seeks to expand the regional impact of the ACEs funded under Component 1</w:t>
      </w:r>
      <w:r w:rsidRPr="00BA1942">
        <w:rPr>
          <w:rFonts w:ascii="Calibri,Times New Roman" w:eastAsia="Calibri,Times New Roman" w:hAnsi="Calibri,Times New Roman" w:cs="Calibri,Times New Roman"/>
          <w:b/>
          <w:bCs/>
          <w:spacing w:val="-1"/>
          <w:sz w:val="22"/>
          <w:szCs w:val="22"/>
        </w:rPr>
        <w:t xml:space="preserve"> </w:t>
      </w:r>
      <w:r w:rsidRPr="00BA1942">
        <w:rPr>
          <w:rFonts w:ascii="Calibri" w:eastAsia="Calibri" w:hAnsi="Calibri" w:cs="Calibri"/>
          <w:b/>
          <w:bCs/>
          <w:spacing w:val="-1"/>
          <w:sz w:val="22"/>
          <w:szCs w:val="22"/>
        </w:rPr>
        <w:t>by</w:t>
      </w:r>
      <w:r w:rsidRPr="002E1A3F">
        <w:rPr>
          <w:rFonts w:ascii="Calibri" w:eastAsia="Calibri" w:hAnsi="Calibri" w:cs="Calibri"/>
          <w:b/>
          <w:bCs/>
          <w:spacing w:val="-1"/>
          <w:sz w:val="22"/>
          <w:szCs w:val="22"/>
        </w:rPr>
        <w:t xml:space="preserve"> providing demand-side funding for partnering institutions and regional students to purchase training and consulting services from the ACEs that are most relevant to their teaching and research goals. </w:t>
      </w:r>
      <w:r w:rsidRPr="002E1A3F">
        <w:rPr>
          <w:rFonts w:ascii="Calibri" w:eastAsia="Calibri" w:hAnsi="Calibri" w:cs="Calibri"/>
          <w:spacing w:val="-1"/>
          <w:sz w:val="22"/>
          <w:szCs w:val="22"/>
        </w:rPr>
        <w:t>C</w:t>
      </w:r>
      <w:r w:rsidRPr="002E1A3F">
        <w:rPr>
          <w:rFonts w:ascii="Calibri" w:eastAsia="Times New Roman" w:hAnsi="Calibri" w:cs="Calibri"/>
          <w:spacing w:val="-1"/>
          <w:sz w:val="22"/>
          <w:szCs w:val="22"/>
        </w:rPr>
        <w:t xml:space="preserve">omponent 2 has two sub-components: </w:t>
      </w:r>
      <w:r w:rsidRPr="002E1A3F">
        <w:rPr>
          <w:rFonts w:ascii="Calibri" w:eastAsia="Calibri" w:hAnsi="Calibri" w:cs="Calibri"/>
          <w:spacing w:val="-1"/>
          <w:sz w:val="22"/>
          <w:szCs w:val="22"/>
        </w:rPr>
        <w:t>Sub-component 2.1 will finance regional institutional partnerships through support to Emerging centers, while Sub-component 2.2 is optional and will finance governments’ contribution towards the PASET RSIF</w:t>
      </w:r>
      <w:r w:rsidRPr="002E1A3F">
        <w:rPr>
          <w:rFonts w:ascii="Calibri,Times New Roman" w:eastAsia="Calibri,Times New Roman" w:hAnsi="Calibri,Times New Roman" w:cs="Calibri,Times New Roman"/>
          <w:spacing w:val="-1"/>
          <w:sz w:val="22"/>
          <w:szCs w:val="22"/>
        </w:rPr>
        <w:t xml:space="preserve">. </w:t>
      </w:r>
    </w:p>
    <w:p w14:paraId="757F3AEC" w14:textId="77777777" w:rsidR="002E1A3F" w:rsidRPr="002E1A3F" w:rsidRDefault="00B00100" w:rsidP="006C70A5">
      <w:pPr>
        <w:tabs>
          <w:tab w:val="left" w:pos="0"/>
          <w:tab w:val="left" w:pos="720"/>
        </w:tabs>
        <w:spacing w:after="240"/>
        <w:jc w:val="both"/>
        <w:rPr>
          <w:rFonts w:ascii="Calibri" w:eastAsia="Times New Roman" w:hAnsi="Calibri" w:cs="Calibri"/>
          <w:b/>
          <w:bCs/>
          <w:i/>
          <w:color w:val="2E74B5"/>
          <w:sz w:val="22"/>
          <w:szCs w:val="22"/>
        </w:rPr>
      </w:pPr>
      <w:r w:rsidRPr="002E1A3F">
        <w:rPr>
          <w:rFonts w:ascii="Calibri" w:eastAsia="Times New Roman" w:hAnsi="Calibri" w:cs="Calibri"/>
          <w:b/>
          <w:bCs/>
          <w:i/>
          <w:color w:val="2E74B5"/>
          <w:sz w:val="22"/>
          <w:szCs w:val="22"/>
        </w:rPr>
        <w:t>Sub-component 2.1: Support to Emerging centers (non-ACEs) for networking, regional technical assistance and improving learning environment (</w:t>
      </w:r>
      <w:r w:rsidR="004A474B" w:rsidRPr="00DD7EF3">
        <w:rPr>
          <w:rFonts w:ascii="Calibri" w:eastAsia="Times New Roman" w:hAnsi="Calibri" w:cs="Calibri"/>
          <w:b/>
          <w:bCs/>
          <w:i/>
          <w:color w:val="2E74B5"/>
          <w:sz w:val="22"/>
          <w:szCs w:val="22"/>
        </w:rPr>
        <w:t>Total: US$</w:t>
      </w:r>
      <w:r w:rsidR="004A474B">
        <w:rPr>
          <w:rFonts w:ascii="Calibri" w:eastAsia="Times New Roman" w:hAnsi="Calibri" w:cs="Calibri"/>
          <w:b/>
          <w:bCs/>
          <w:i/>
          <w:color w:val="2E74B5"/>
          <w:sz w:val="22"/>
          <w:szCs w:val="22"/>
        </w:rPr>
        <w:t>36</w:t>
      </w:r>
      <w:r w:rsidR="004A474B" w:rsidRPr="00DD7EF3">
        <w:rPr>
          <w:rFonts w:ascii="Calibri" w:eastAsia="Times New Roman" w:hAnsi="Calibri" w:cs="Calibri"/>
          <w:b/>
          <w:bCs/>
          <w:i/>
          <w:color w:val="2E74B5"/>
          <w:sz w:val="22"/>
          <w:szCs w:val="22"/>
        </w:rPr>
        <w:t xml:space="preserve"> million equivalent of which IDA is US$</w:t>
      </w:r>
      <w:r w:rsidR="004A474B">
        <w:rPr>
          <w:rFonts w:ascii="Calibri" w:eastAsia="Times New Roman" w:hAnsi="Calibri" w:cs="Calibri"/>
          <w:b/>
          <w:bCs/>
          <w:i/>
          <w:color w:val="2E74B5"/>
          <w:sz w:val="22"/>
          <w:szCs w:val="22"/>
        </w:rPr>
        <w:t>18</w:t>
      </w:r>
      <w:r w:rsidR="004A474B" w:rsidRPr="00DD7EF3">
        <w:rPr>
          <w:rFonts w:ascii="Calibri" w:eastAsia="Times New Roman" w:hAnsi="Calibri" w:cs="Calibri"/>
          <w:b/>
          <w:bCs/>
          <w:i/>
          <w:color w:val="2E74B5"/>
          <w:sz w:val="22"/>
          <w:szCs w:val="22"/>
        </w:rPr>
        <w:t xml:space="preserve"> million equivalent, and government contribution is US$</w:t>
      </w:r>
      <w:r w:rsidR="004A474B">
        <w:rPr>
          <w:rFonts w:ascii="Calibri" w:eastAsia="Times New Roman" w:hAnsi="Calibri" w:cs="Calibri"/>
          <w:b/>
          <w:bCs/>
          <w:i/>
          <w:color w:val="2E74B5"/>
          <w:sz w:val="22"/>
          <w:szCs w:val="22"/>
        </w:rPr>
        <w:t>18</w:t>
      </w:r>
      <w:r w:rsidR="004A474B" w:rsidRPr="00DD7EF3">
        <w:rPr>
          <w:rFonts w:ascii="Calibri" w:eastAsia="Times New Roman" w:hAnsi="Calibri" w:cs="Calibri"/>
          <w:b/>
          <w:bCs/>
          <w:i/>
          <w:color w:val="2E74B5"/>
          <w:sz w:val="22"/>
          <w:szCs w:val="22"/>
        </w:rPr>
        <w:t xml:space="preserve"> million equivalent</w:t>
      </w:r>
      <w:r w:rsidRPr="007B4504">
        <w:rPr>
          <w:rFonts w:ascii="Calibri" w:eastAsia="Times New Roman" w:hAnsi="Calibri" w:cs="Calibri"/>
          <w:b/>
          <w:bCs/>
          <w:i/>
          <w:color w:val="2E74B5"/>
          <w:sz w:val="22"/>
          <w:szCs w:val="22"/>
        </w:rPr>
        <w:t>)</w:t>
      </w:r>
      <w:r w:rsidR="00DD7EF3" w:rsidRPr="00DD7EF3">
        <w:t xml:space="preserve"> </w:t>
      </w:r>
    </w:p>
    <w:p w14:paraId="1D360826" w14:textId="77777777" w:rsidR="002E1A3F" w:rsidRPr="002E1A3F" w:rsidRDefault="00B00100" w:rsidP="006C70A5">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2E1A3F">
        <w:rPr>
          <w:rFonts w:ascii="Calibri" w:eastAsia="Calibri" w:hAnsi="Calibri" w:cs="Calibri"/>
          <w:b/>
          <w:spacing w:val="-1"/>
          <w:sz w:val="22"/>
          <w:szCs w:val="22"/>
        </w:rPr>
        <w:t xml:space="preserve">Sub-component 2.1 will support three Emerging centers to develop regional institutional partnerships with ACEs </w:t>
      </w:r>
      <w:r w:rsidRPr="002E1A3F">
        <w:rPr>
          <w:rFonts w:ascii="Calibri" w:eastAsia="Calibri,Times New Roman" w:hAnsi="Calibri" w:cs="Calibri"/>
          <w:b/>
          <w:spacing w:val="-1"/>
          <w:sz w:val="22"/>
          <w:szCs w:val="22"/>
        </w:rPr>
        <w:t>(</w:t>
      </w:r>
      <w:r w:rsidRPr="002E1A3F">
        <w:rPr>
          <w:rFonts w:ascii="Calibri" w:eastAsia="Calibri" w:hAnsi="Calibri" w:cs="Calibri"/>
          <w:b/>
          <w:spacing w:val="-1"/>
          <w:sz w:val="22"/>
          <w:szCs w:val="22"/>
        </w:rPr>
        <w:t xml:space="preserve">under Component 1) and other relevant international partners to strengthen the capacity of their higher education institutions. </w:t>
      </w:r>
      <w:r w:rsidRPr="002E1A3F">
        <w:rPr>
          <w:rFonts w:ascii="Calibri" w:eastAsia="Calibri" w:hAnsi="Calibri" w:cs="Calibri"/>
          <w:spacing w:val="-1"/>
          <w:sz w:val="22"/>
          <w:szCs w:val="22"/>
        </w:rPr>
        <w:t>These Emerging centers will be in the form of a department/school or a multidisciplinary center within an institution. Participating countries eligible for support under this sub-component are those that did not receive support to establish</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ACE I centers, notably Niger (</w:t>
      </w:r>
      <w:r w:rsidR="00E44EFB">
        <w:rPr>
          <w:rFonts w:ascii="Calibri" w:eastAsia="Calibri" w:hAnsi="Calibri" w:cs="Calibri"/>
          <w:spacing w:val="-1"/>
          <w:sz w:val="22"/>
          <w:szCs w:val="22"/>
        </w:rPr>
        <w:t>two</w:t>
      </w:r>
      <w:r w:rsidRPr="002E1A3F">
        <w:rPr>
          <w:rFonts w:ascii="Calibri" w:eastAsia="Calibri" w:hAnsi="Calibri" w:cs="Calibri"/>
          <w:spacing w:val="-1"/>
          <w:sz w:val="22"/>
          <w:szCs w:val="22"/>
        </w:rPr>
        <w:t xml:space="preserve"> centers - one in Mining environment and the other in </w:t>
      </w:r>
      <w:r w:rsidR="00D64F3A">
        <w:rPr>
          <w:rFonts w:ascii="Calibri" w:eastAsia="Calibri" w:hAnsi="Calibri" w:cs="Calibri"/>
          <w:spacing w:val="-1"/>
          <w:sz w:val="22"/>
          <w:szCs w:val="22"/>
        </w:rPr>
        <w:t>T</w:t>
      </w:r>
      <w:r w:rsidRPr="002E1A3F">
        <w:rPr>
          <w:rFonts w:ascii="Calibri" w:eastAsia="Calibri" w:hAnsi="Calibri" w:cs="Calibri"/>
          <w:spacing w:val="-1"/>
          <w:sz w:val="22"/>
          <w:szCs w:val="22"/>
        </w:rPr>
        <w:t>eaching-Learning of Mathematics and Sciences) and The Gambia (</w:t>
      </w:r>
      <w:r w:rsidR="00E44EFB">
        <w:rPr>
          <w:rFonts w:ascii="Calibri" w:eastAsia="Calibri" w:hAnsi="Calibri" w:cs="Calibri"/>
          <w:spacing w:val="-1"/>
          <w:sz w:val="22"/>
          <w:szCs w:val="22"/>
        </w:rPr>
        <w:t>one</w:t>
      </w:r>
      <w:r w:rsidRPr="002E1A3F">
        <w:rPr>
          <w:rFonts w:ascii="Calibri" w:eastAsia="Calibri" w:hAnsi="Calibri" w:cs="Calibri"/>
          <w:spacing w:val="-1"/>
          <w:sz w:val="22"/>
          <w:szCs w:val="22"/>
        </w:rPr>
        <w:t xml:space="preserve"> center in Science, Technology and Engineering for Entrepreneurship). </w:t>
      </w:r>
    </w:p>
    <w:p w14:paraId="3CE354B3" w14:textId="77777777" w:rsidR="002E1A3F" w:rsidRPr="002E1A3F" w:rsidRDefault="00B00100" w:rsidP="0040596B">
      <w:pPr>
        <w:widowControl/>
        <w:numPr>
          <w:ilvl w:val="0"/>
          <w:numId w:val="44"/>
        </w:numPr>
        <w:autoSpaceDE/>
        <w:autoSpaceDN/>
        <w:adjustRightInd/>
        <w:spacing w:after="120"/>
        <w:ind w:left="1080"/>
        <w:jc w:val="both"/>
        <w:rPr>
          <w:rFonts w:ascii="Calibri" w:eastAsia="Calibri" w:hAnsi="Calibri" w:cs="Calibri"/>
          <w:bCs/>
          <w:spacing w:val="-1"/>
          <w:sz w:val="22"/>
          <w:szCs w:val="22"/>
        </w:rPr>
      </w:pPr>
      <w:r w:rsidRPr="002E1A3F">
        <w:rPr>
          <w:rFonts w:ascii="Calibri" w:eastAsia="Calibri" w:hAnsi="Calibri" w:cs="Calibri"/>
          <w:b/>
          <w:bCs/>
          <w:spacing w:val="-1"/>
          <w:sz w:val="22"/>
          <w:szCs w:val="22"/>
        </w:rPr>
        <w:t xml:space="preserve">Strategic objectives and activities: </w:t>
      </w:r>
      <w:r w:rsidRPr="002E1A3F">
        <w:rPr>
          <w:rFonts w:ascii="Calibri" w:eastAsia="Calibri" w:hAnsi="Calibri" w:cs="Calibri"/>
          <w:bCs/>
          <w:spacing w:val="-1"/>
          <w:sz w:val="22"/>
          <w:szCs w:val="22"/>
        </w:rPr>
        <w:t>Supported institutions will receive funding to strengthen, through partnerships, both undergraduate and postgraduate (focus is more on master’s level than PhD) education programs that will provide training to their students and develop in them the skills which will be useful in addressing national development needs of the country hosting the center. Emerging centers to be established under this sub-component will receive support for activities including: regional technical assistance (TA) to strengthen academic programs and curriculum design; faculty scholarships and training; costs of visiting faculty; TA for institutional policies and practices; improving teaching and research resources; and other regional engagements.</w:t>
      </w:r>
    </w:p>
    <w:p w14:paraId="78352806" w14:textId="77777777" w:rsidR="002E1A3F" w:rsidRPr="002E1A3F" w:rsidRDefault="00B00100" w:rsidP="006C70A5">
      <w:pPr>
        <w:widowControl/>
        <w:numPr>
          <w:ilvl w:val="0"/>
          <w:numId w:val="44"/>
        </w:numPr>
        <w:autoSpaceDE/>
        <w:autoSpaceDN/>
        <w:adjustRightInd/>
        <w:spacing w:after="120"/>
        <w:ind w:left="108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t xml:space="preserve">Strategic and non-competitive selection of Emerging centers: </w:t>
      </w:r>
      <w:r w:rsidRPr="002E1A3F">
        <w:rPr>
          <w:rFonts w:ascii="Calibri" w:eastAsia="Calibri" w:hAnsi="Calibri" w:cs="Calibri"/>
          <w:bCs/>
          <w:spacing w:val="-1"/>
          <w:sz w:val="22"/>
          <w:szCs w:val="22"/>
        </w:rPr>
        <w:t xml:space="preserve">The three Emerging centers, selected non-competitively, will receive funding based on their strategic importance for </w:t>
      </w:r>
      <w:r w:rsidRPr="002E1A3F">
        <w:rPr>
          <w:rFonts w:ascii="Calibri" w:eastAsia="Calibri" w:hAnsi="Calibri" w:cs="Calibri"/>
          <w:bCs/>
          <w:spacing w:val="-1"/>
          <w:sz w:val="22"/>
          <w:szCs w:val="22"/>
        </w:rPr>
        <w:lastRenderedPageBreak/>
        <w:t xml:space="preserve">achieving national development objectives (see Table </w:t>
      </w:r>
      <w:r w:rsidR="008945EB">
        <w:rPr>
          <w:rFonts w:ascii="Calibri" w:eastAsia="Calibri" w:hAnsi="Calibri" w:cs="Calibri"/>
          <w:bCs/>
          <w:spacing w:val="-1"/>
          <w:sz w:val="22"/>
          <w:szCs w:val="22"/>
        </w:rPr>
        <w:t>3</w:t>
      </w:r>
      <w:r w:rsidRPr="002E1A3F">
        <w:rPr>
          <w:rFonts w:ascii="Calibri" w:eastAsia="Calibri" w:hAnsi="Calibri" w:cs="Calibri"/>
          <w:bCs/>
          <w:spacing w:val="-1"/>
          <w:sz w:val="22"/>
          <w:szCs w:val="22"/>
        </w:rPr>
        <w:t xml:space="preserve"> for thematic distribution of centers). Although non-competitive, these institutions, in conjunction with national higher education authorities, were required to submit strong proposals with specific strategic targets in order to receive financial support.  They received upfront proposal writing support. To strengthen the academic support base of these t</w:t>
      </w:r>
      <w:r w:rsidR="00837D02">
        <w:rPr>
          <w:rFonts w:ascii="Calibri" w:eastAsia="Calibri" w:hAnsi="Calibri" w:cs="Calibri"/>
          <w:bCs/>
          <w:spacing w:val="-1"/>
          <w:sz w:val="22"/>
          <w:szCs w:val="22"/>
        </w:rPr>
        <w:t>hree</w:t>
      </w:r>
      <w:r w:rsidRPr="002E1A3F">
        <w:rPr>
          <w:rFonts w:ascii="Calibri" w:eastAsia="Calibri" w:hAnsi="Calibri" w:cs="Calibri"/>
          <w:bCs/>
          <w:spacing w:val="-1"/>
          <w:sz w:val="22"/>
          <w:szCs w:val="22"/>
        </w:rPr>
        <w:t xml:space="preserve"> centers</w:t>
      </w:r>
      <w:r w:rsidR="003812ED">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they will each be mapped to the regional network of an ACE Impact center supported under Component 1, that is focusing on a similar thematic area.</w:t>
      </w:r>
      <w:r w:rsidRPr="002E1A3F">
        <w:rPr>
          <w:rFonts w:ascii="Calibri" w:eastAsia="Calibri" w:hAnsi="Calibri" w:cs="Calibri"/>
          <w:b/>
          <w:bCs/>
          <w:spacing w:val="-1"/>
          <w:sz w:val="22"/>
          <w:szCs w:val="22"/>
        </w:rPr>
        <w:t xml:space="preserve"> </w:t>
      </w:r>
    </w:p>
    <w:p w14:paraId="2A4D5595" w14:textId="77777777" w:rsidR="002E1A3F" w:rsidRPr="008E2709" w:rsidRDefault="00B00100" w:rsidP="006C70A5">
      <w:pPr>
        <w:widowControl/>
        <w:numPr>
          <w:ilvl w:val="0"/>
          <w:numId w:val="44"/>
        </w:numPr>
        <w:autoSpaceDE/>
        <w:autoSpaceDN/>
        <w:adjustRightInd/>
        <w:spacing w:after="120"/>
        <w:ind w:left="108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t xml:space="preserve">Emerging center funding: </w:t>
      </w:r>
      <w:r w:rsidRPr="002E1A3F">
        <w:rPr>
          <w:rFonts w:ascii="Calibri" w:eastAsia="Calibri" w:hAnsi="Calibri" w:cs="Calibri"/>
          <w:bCs/>
          <w:spacing w:val="-1"/>
          <w:sz w:val="22"/>
          <w:szCs w:val="22"/>
        </w:rPr>
        <w:t xml:space="preserve">The government, </w:t>
      </w:r>
      <w:r w:rsidR="003B143F">
        <w:rPr>
          <w:rFonts w:ascii="Calibri" w:eastAsia="Calibri" w:hAnsi="Calibri" w:cs="Calibri"/>
          <w:bCs/>
          <w:spacing w:val="-1"/>
          <w:sz w:val="22"/>
          <w:szCs w:val="22"/>
        </w:rPr>
        <w:t>their</w:t>
      </w:r>
      <w:r w:rsidR="003B143F" w:rsidRPr="002E1A3F">
        <w:rPr>
          <w:rFonts w:ascii="Calibri" w:eastAsia="Calibri" w:hAnsi="Calibri" w:cs="Calibri"/>
          <w:bCs/>
          <w:spacing w:val="-1"/>
          <w:sz w:val="22"/>
          <w:szCs w:val="22"/>
        </w:rPr>
        <w:t xml:space="preserve"> </w:t>
      </w:r>
      <w:r w:rsidRPr="002E1A3F">
        <w:rPr>
          <w:rFonts w:ascii="Calibri" w:eastAsia="Calibri" w:hAnsi="Calibri" w:cs="Calibri"/>
          <w:bCs/>
          <w:spacing w:val="-1"/>
          <w:sz w:val="22"/>
          <w:szCs w:val="22"/>
        </w:rPr>
        <w:t>Emerging center institutions and the World Bank will discuss the allocation of funding to the</w:t>
      </w:r>
      <w:r w:rsidR="003B143F">
        <w:rPr>
          <w:rFonts w:ascii="Calibri" w:eastAsia="Calibri" w:hAnsi="Calibri" w:cs="Calibri"/>
          <w:bCs/>
          <w:spacing w:val="-1"/>
          <w:sz w:val="22"/>
          <w:szCs w:val="22"/>
        </w:rPr>
        <w:t>se</w:t>
      </w:r>
      <w:r w:rsidRPr="002E1A3F">
        <w:rPr>
          <w:rFonts w:ascii="Calibri" w:eastAsia="Calibri" w:hAnsi="Calibri" w:cs="Calibri"/>
          <w:bCs/>
          <w:spacing w:val="-1"/>
          <w:sz w:val="22"/>
          <w:szCs w:val="22"/>
        </w:rPr>
        <w:t xml:space="preserve"> centers based on the funding needs of each center and the priorities of the host country of the centers (see Table </w:t>
      </w:r>
      <w:r w:rsidR="008945EB">
        <w:rPr>
          <w:rFonts w:ascii="Calibri" w:eastAsia="Calibri" w:hAnsi="Calibri" w:cs="Calibri"/>
          <w:bCs/>
          <w:spacing w:val="-1"/>
          <w:sz w:val="22"/>
          <w:szCs w:val="22"/>
        </w:rPr>
        <w:t>4</w:t>
      </w:r>
      <w:r w:rsidRPr="002E1A3F">
        <w:rPr>
          <w:rFonts w:ascii="Calibri" w:eastAsia="Calibri" w:hAnsi="Calibri" w:cs="Calibri"/>
          <w:bCs/>
          <w:spacing w:val="-1"/>
          <w:sz w:val="22"/>
          <w:szCs w:val="22"/>
        </w:rPr>
        <w:t xml:space="preserve"> for estimated country allocations for all Sub-components). Each center’s funds will be distributed across the relevant DLIs/DLRs. These centers will be expected to meet the same seven DLIs as ACE Impact centers, with a large share of the DLIs to incentivize results for improved undergraduate and master’s programs. Similar to disbursements under Component 1, up to a capped amount will be disbursed against specific EEPs (salaries, scholarships and operating costs) in the annual budget of each center and its host institution, conditioned on the achievement of the specified DLIs. Each institution will sign a PFA with its government.  These agreements will include requirements stipulating that:</w:t>
      </w:r>
    </w:p>
    <w:p w14:paraId="73D90214" w14:textId="77777777" w:rsidR="002E1A3F" w:rsidRPr="002E1A3F" w:rsidRDefault="00B00100" w:rsidP="006C70A5">
      <w:pPr>
        <w:widowControl/>
        <w:numPr>
          <w:ilvl w:val="0"/>
          <w:numId w:val="8"/>
        </w:numPr>
        <w:tabs>
          <w:tab w:val="left" w:pos="0"/>
          <w:tab w:val="left" w:pos="720"/>
        </w:tabs>
        <w:autoSpaceDE/>
        <w:autoSpaceDN/>
        <w:adjustRightInd/>
        <w:spacing w:after="120"/>
        <w:ind w:left="1440"/>
        <w:jc w:val="both"/>
        <w:rPr>
          <w:rFonts w:ascii="Calibri" w:eastAsia="Calibri,Times New Roman" w:hAnsi="Calibri" w:cs="Calibri"/>
          <w:spacing w:val="-1"/>
          <w:sz w:val="22"/>
          <w:szCs w:val="22"/>
        </w:rPr>
      </w:pPr>
      <w:r w:rsidRPr="002E1A3F">
        <w:rPr>
          <w:rFonts w:ascii="Calibri" w:eastAsia="Calibri" w:hAnsi="Calibri" w:cs="Calibri"/>
          <w:spacing w:val="-1"/>
          <w:sz w:val="22"/>
          <w:szCs w:val="22"/>
        </w:rPr>
        <w:t xml:space="preserve">At least 30 percent of funding for each center under this sub-component will be invested in regional partnerships (with </w:t>
      </w:r>
      <w:r w:rsidR="003227C6">
        <w:rPr>
          <w:rFonts w:ascii="Calibri" w:eastAsia="Calibri" w:hAnsi="Calibri" w:cs="Calibri"/>
          <w:spacing w:val="-1"/>
          <w:sz w:val="22"/>
          <w:szCs w:val="22"/>
        </w:rPr>
        <w:t>N</w:t>
      </w:r>
      <w:r w:rsidRPr="002E1A3F">
        <w:rPr>
          <w:rFonts w:ascii="Calibri" w:eastAsia="Calibri" w:hAnsi="Calibri" w:cs="Calibri"/>
          <w:spacing w:val="-1"/>
          <w:sz w:val="22"/>
          <w:szCs w:val="22"/>
        </w:rPr>
        <w:t xml:space="preserve">ew or </w:t>
      </w:r>
      <w:r w:rsidR="003227C6">
        <w:rPr>
          <w:rFonts w:ascii="Calibri" w:eastAsia="Calibri" w:hAnsi="Calibri" w:cs="Calibri"/>
          <w:spacing w:val="-1"/>
          <w:sz w:val="22"/>
          <w:szCs w:val="22"/>
        </w:rPr>
        <w:t>R</w:t>
      </w:r>
      <w:r w:rsidRPr="002E1A3F">
        <w:rPr>
          <w:rFonts w:ascii="Calibri" w:eastAsia="Calibri" w:hAnsi="Calibri" w:cs="Calibri"/>
          <w:spacing w:val="-1"/>
          <w:sz w:val="22"/>
          <w:szCs w:val="22"/>
        </w:rPr>
        <w:t>enewal ACEs</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that have been selected to receive support under Component 1</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 xml:space="preserve">and international institutional partnerships (with other institutions outside the ACEs and the region </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especially for sectors for which no ACE Impact center exists). Funds can be used to cover regional TA to strengthen academic programs, curriculum design, institutional policies and practices; faculty scholarships and training; and costs of visiting faculty; and</w:t>
      </w:r>
    </w:p>
    <w:p w14:paraId="6731A802" w14:textId="57FF13DF" w:rsidR="002E1A3F" w:rsidRPr="006C70A5" w:rsidRDefault="00B00100">
      <w:pPr>
        <w:widowControl/>
        <w:numPr>
          <w:ilvl w:val="0"/>
          <w:numId w:val="8"/>
        </w:numPr>
        <w:tabs>
          <w:tab w:val="left" w:pos="0"/>
          <w:tab w:val="left" w:pos="720"/>
        </w:tabs>
        <w:autoSpaceDE/>
        <w:autoSpaceDN/>
        <w:adjustRightInd/>
        <w:spacing w:after="120"/>
        <w:ind w:left="1440"/>
        <w:jc w:val="both"/>
        <w:rPr>
          <w:rFonts w:ascii="Calibri" w:eastAsia="Calibri,Times New Roman" w:hAnsi="Calibri" w:cs="Calibri"/>
          <w:spacing w:val="-1"/>
          <w:sz w:val="22"/>
          <w:szCs w:val="22"/>
        </w:rPr>
      </w:pPr>
      <w:r w:rsidRPr="002E1A3F">
        <w:rPr>
          <w:rFonts w:ascii="Calibri" w:eastAsia="Calibri" w:hAnsi="Calibri" w:cs="Calibri"/>
          <w:spacing w:val="-1"/>
          <w:sz w:val="22"/>
          <w:szCs w:val="22"/>
        </w:rPr>
        <w:t>The remaining 70 percent of the funding will support investment in teaching</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learning and research equipment and other hardware necessary for regional partnerships and supporting institutional transformation.</w:t>
      </w:r>
    </w:p>
    <w:p w14:paraId="6FAA44CD" w14:textId="77777777" w:rsidR="00383F5B" w:rsidRPr="002E1A3F" w:rsidRDefault="00383F5B" w:rsidP="006C70A5">
      <w:pPr>
        <w:widowControl/>
        <w:tabs>
          <w:tab w:val="left" w:pos="0"/>
          <w:tab w:val="left" w:pos="720"/>
        </w:tabs>
        <w:autoSpaceDE/>
        <w:autoSpaceDN/>
        <w:adjustRightInd/>
        <w:ind w:left="1440"/>
        <w:jc w:val="both"/>
        <w:rPr>
          <w:rFonts w:ascii="Calibri" w:eastAsia="Calibri,Times New Roman" w:hAnsi="Calibri" w:cs="Calibri"/>
          <w:spacing w:val="-1"/>
          <w:sz w:val="22"/>
          <w:szCs w:val="22"/>
        </w:rPr>
      </w:pPr>
    </w:p>
    <w:p w14:paraId="7707408C" w14:textId="77777777" w:rsidR="002E1A3F" w:rsidRPr="002E1A3F" w:rsidRDefault="00B00100" w:rsidP="006C70A5">
      <w:pPr>
        <w:keepNext/>
        <w:keepLines/>
        <w:tabs>
          <w:tab w:val="left" w:pos="450"/>
          <w:tab w:val="left" w:pos="720"/>
        </w:tabs>
        <w:spacing w:after="120"/>
        <w:ind w:left="630"/>
        <w:jc w:val="center"/>
        <w:rPr>
          <w:rFonts w:ascii="Calibri" w:eastAsia="Times New Roman" w:hAnsi="Calibri" w:cs="Times New Roman"/>
          <w:b/>
          <w:i/>
          <w:sz w:val="22"/>
          <w:szCs w:val="22"/>
        </w:rPr>
      </w:pPr>
      <w:r w:rsidRPr="002E1A3F">
        <w:rPr>
          <w:rFonts w:ascii="Calibri" w:eastAsia="Times New Roman" w:hAnsi="Calibri" w:cs="Times New Roman"/>
          <w:b/>
          <w:sz w:val="22"/>
          <w:szCs w:val="22"/>
        </w:rPr>
        <w:t xml:space="preserve">Table </w:t>
      </w:r>
      <w:r w:rsidR="008945EB">
        <w:rPr>
          <w:rFonts w:ascii="Calibri" w:eastAsia="Times New Roman" w:hAnsi="Calibri" w:cs="Times New Roman"/>
          <w:b/>
          <w:sz w:val="22"/>
          <w:szCs w:val="22"/>
        </w:rPr>
        <w:t>3</w:t>
      </w:r>
      <w:r w:rsidRPr="002E1A3F">
        <w:rPr>
          <w:rFonts w:ascii="Calibri" w:eastAsia="Times New Roman" w:hAnsi="Calibri" w:cs="Times New Roman"/>
          <w:b/>
          <w:sz w:val="22"/>
          <w:szCs w:val="22"/>
        </w:rPr>
        <w:t xml:space="preserve">. </w:t>
      </w:r>
      <w:r w:rsidRPr="002E1A3F">
        <w:rPr>
          <w:rFonts w:ascii="Calibri" w:eastAsia="Times New Roman" w:hAnsi="Calibri" w:cs="Times New Roman"/>
          <w:b/>
          <w:i/>
          <w:sz w:val="22"/>
          <w:szCs w:val="22"/>
        </w:rPr>
        <w:t>Distribution of Centers (New, Renewals &amp; Emerging) by Country and thematic cluster</w:t>
      </w:r>
      <w:r w:rsidR="004C1825">
        <w:rPr>
          <w:rFonts w:ascii="Calibri" w:eastAsia="Times New Roman" w:hAnsi="Calibri" w:cs="Times New Roman"/>
          <w:b/>
          <w:i/>
          <w:sz w:val="22"/>
          <w:szCs w:val="22"/>
        </w:rPr>
        <w:t>**</w:t>
      </w:r>
    </w:p>
    <w:tbl>
      <w:tblPr>
        <w:tblStyle w:val="TableGrid18"/>
        <w:tblW w:w="8640" w:type="dxa"/>
        <w:tblInd w:w="625" w:type="dxa"/>
        <w:tblLook w:val="04A0" w:firstRow="1" w:lastRow="0" w:firstColumn="1" w:lastColumn="0" w:noHBand="0" w:noVBand="1"/>
      </w:tblPr>
      <w:tblGrid>
        <w:gridCol w:w="2610"/>
        <w:gridCol w:w="1114"/>
        <w:gridCol w:w="1405"/>
        <w:gridCol w:w="787"/>
        <w:gridCol w:w="965"/>
        <w:gridCol w:w="851"/>
        <w:gridCol w:w="908"/>
      </w:tblGrid>
      <w:tr w:rsidR="000C3959" w14:paraId="1C300234" w14:textId="77777777" w:rsidTr="006C70A5">
        <w:tc>
          <w:tcPr>
            <w:tcW w:w="2610" w:type="dxa"/>
            <w:shd w:val="clear" w:color="auto" w:fill="D0CECE"/>
            <w:vAlign w:val="center"/>
          </w:tcPr>
          <w:p w14:paraId="6C44234F" w14:textId="77777777" w:rsidR="001B201A" w:rsidRPr="002E1A3F" w:rsidRDefault="00B00100">
            <w:pPr>
              <w:keepNext/>
              <w:keepLines/>
              <w:widowControl/>
              <w:tabs>
                <w:tab w:val="left" w:pos="0"/>
                <w:tab w:val="left" w:pos="720"/>
              </w:tabs>
              <w:autoSpaceDE/>
              <w:autoSpaceDN/>
              <w:adjustRightInd/>
              <w:rPr>
                <w:rFonts w:ascii="Calibri,Times New Roman" w:eastAsia="Calibri,Times New Roman" w:hAnsi="Calibri,Times New Roman" w:cs="Calibri,Times New Roman"/>
                <w:b/>
                <w:color w:val="auto"/>
                <w:spacing w:val="-1"/>
                <w:sz w:val="22"/>
                <w:szCs w:val="22"/>
              </w:rPr>
            </w:pPr>
            <w:r w:rsidRPr="002E1A3F">
              <w:rPr>
                <w:rFonts w:ascii="Calibri" w:eastAsia="Times New Roman" w:hAnsi="Calibri" w:cs="Calibri"/>
                <w:b/>
                <w:color w:val="auto"/>
                <w:sz w:val="22"/>
                <w:szCs w:val="22"/>
              </w:rPr>
              <w:t>Thematic area</w:t>
            </w:r>
          </w:p>
        </w:tc>
        <w:tc>
          <w:tcPr>
            <w:tcW w:w="1114" w:type="dxa"/>
            <w:shd w:val="clear" w:color="auto" w:fill="D0CECE"/>
            <w:vAlign w:val="center"/>
          </w:tcPr>
          <w:p w14:paraId="0D0B6FA2"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Benin</w:t>
            </w:r>
          </w:p>
        </w:tc>
        <w:tc>
          <w:tcPr>
            <w:tcW w:w="1405" w:type="dxa"/>
            <w:shd w:val="clear" w:color="auto" w:fill="D0CECE"/>
            <w:vAlign w:val="center"/>
          </w:tcPr>
          <w:p w14:paraId="0AC65CEA"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The Gambia</w:t>
            </w:r>
          </w:p>
        </w:tc>
        <w:tc>
          <w:tcPr>
            <w:tcW w:w="787" w:type="dxa"/>
            <w:shd w:val="clear" w:color="auto" w:fill="D0CECE"/>
            <w:vAlign w:val="center"/>
          </w:tcPr>
          <w:p w14:paraId="76E74649"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Niger</w:t>
            </w:r>
          </w:p>
        </w:tc>
        <w:tc>
          <w:tcPr>
            <w:tcW w:w="965" w:type="dxa"/>
            <w:shd w:val="clear" w:color="auto" w:fill="D0CECE"/>
            <w:vAlign w:val="center"/>
          </w:tcPr>
          <w:p w14:paraId="21805116"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Nigeria</w:t>
            </w:r>
          </w:p>
        </w:tc>
        <w:tc>
          <w:tcPr>
            <w:tcW w:w="851" w:type="dxa"/>
            <w:shd w:val="clear" w:color="auto" w:fill="D0CECE"/>
            <w:vAlign w:val="center"/>
          </w:tcPr>
          <w:p w14:paraId="52B3887E"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Togo</w:t>
            </w:r>
          </w:p>
        </w:tc>
        <w:tc>
          <w:tcPr>
            <w:tcW w:w="908" w:type="dxa"/>
            <w:shd w:val="clear" w:color="auto" w:fill="D0CECE"/>
            <w:vAlign w:val="center"/>
          </w:tcPr>
          <w:p w14:paraId="4C8818E6" w14:textId="77777777" w:rsidR="001B201A" w:rsidRPr="002E1A3F" w:rsidRDefault="00B00100" w:rsidP="00B22FEF">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Times New Roman" w:hAnsi="Calibri" w:cs="Calibri"/>
                <w:b/>
                <w:color w:val="auto"/>
                <w:sz w:val="22"/>
                <w:szCs w:val="22"/>
              </w:rPr>
              <w:t>Total</w:t>
            </w:r>
          </w:p>
        </w:tc>
      </w:tr>
      <w:tr w:rsidR="000C3959" w14:paraId="54DAFB42" w14:textId="77777777" w:rsidTr="006C70A5">
        <w:tc>
          <w:tcPr>
            <w:tcW w:w="2610" w:type="dxa"/>
            <w:vAlign w:val="center"/>
          </w:tcPr>
          <w:p w14:paraId="78D145C6" w14:textId="77777777" w:rsidR="001B201A" w:rsidRPr="002E1A3F" w:rsidRDefault="00B00100" w:rsidP="001118F8">
            <w:pPr>
              <w:keepNext/>
              <w:keepLines/>
              <w:widowControl/>
              <w:tabs>
                <w:tab w:val="left" w:pos="0"/>
                <w:tab w:val="left" w:pos="720"/>
              </w:tabs>
              <w:autoSpaceDE/>
              <w:autoSpaceDN/>
              <w:adjustRightInd/>
              <w:rPr>
                <w:rFonts w:ascii="Calibri,Times New Roman" w:eastAsia="Calibri,Times New Roman" w:hAnsi="Calibri,Times New Roman" w:cs="Calibri,Times New Roman"/>
                <w:color w:val="auto"/>
                <w:spacing w:val="-1"/>
                <w:sz w:val="22"/>
                <w:szCs w:val="22"/>
              </w:rPr>
            </w:pPr>
            <w:r w:rsidRPr="002E1A3F">
              <w:rPr>
                <w:rFonts w:ascii="Calibri" w:eastAsia="Calibri" w:hAnsi="Calibri" w:cs="Calibri"/>
                <w:b/>
                <w:bCs/>
                <w:color w:val="auto"/>
                <w:sz w:val="22"/>
                <w:szCs w:val="22"/>
              </w:rPr>
              <w:t>STEM</w:t>
            </w:r>
          </w:p>
        </w:tc>
        <w:tc>
          <w:tcPr>
            <w:tcW w:w="1114" w:type="dxa"/>
            <w:vAlign w:val="center"/>
          </w:tcPr>
          <w:p w14:paraId="0F6EC8AD" w14:textId="77777777" w:rsidR="001B201A" w:rsidRPr="002E1A3F" w:rsidRDefault="00B0010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2</w:t>
            </w:r>
          </w:p>
        </w:tc>
        <w:tc>
          <w:tcPr>
            <w:tcW w:w="1405" w:type="dxa"/>
            <w:vAlign w:val="center"/>
          </w:tcPr>
          <w:p w14:paraId="28153F2F"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787" w:type="dxa"/>
            <w:vAlign w:val="center"/>
          </w:tcPr>
          <w:p w14:paraId="5225B99A"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65" w:type="dxa"/>
            <w:vAlign w:val="center"/>
          </w:tcPr>
          <w:p w14:paraId="0C4E2662"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7</w:t>
            </w:r>
          </w:p>
        </w:tc>
        <w:tc>
          <w:tcPr>
            <w:tcW w:w="851" w:type="dxa"/>
            <w:vAlign w:val="center"/>
          </w:tcPr>
          <w:p w14:paraId="2D23447C"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08" w:type="dxa"/>
            <w:vAlign w:val="center"/>
          </w:tcPr>
          <w:p w14:paraId="3D071C71"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1</w:t>
            </w:r>
            <w:r>
              <w:rPr>
                <w:rFonts w:ascii="Calibri" w:eastAsia="Calibri" w:hAnsi="Calibri" w:cs="Calibri"/>
                <w:b/>
                <w:color w:val="auto"/>
                <w:sz w:val="22"/>
                <w:szCs w:val="22"/>
              </w:rPr>
              <w:t>2</w:t>
            </w:r>
          </w:p>
        </w:tc>
      </w:tr>
      <w:tr w:rsidR="000C3959" w14:paraId="7147FA71" w14:textId="77777777" w:rsidTr="006C70A5">
        <w:tc>
          <w:tcPr>
            <w:tcW w:w="2610" w:type="dxa"/>
            <w:vAlign w:val="center"/>
          </w:tcPr>
          <w:p w14:paraId="6FE5F581" w14:textId="77777777" w:rsidR="001B201A" w:rsidRPr="002E1A3F" w:rsidRDefault="00B00100" w:rsidP="001118F8">
            <w:pPr>
              <w:keepNext/>
              <w:keepLines/>
              <w:widowControl/>
              <w:tabs>
                <w:tab w:val="left" w:pos="0"/>
                <w:tab w:val="left" w:pos="720"/>
              </w:tabs>
              <w:autoSpaceDE/>
              <w:autoSpaceDN/>
              <w:adjustRightInd/>
              <w:rPr>
                <w:rFonts w:ascii="Calibri,Times New Roman" w:eastAsia="Calibri,Times New Roman" w:hAnsi="Calibri,Times New Roman" w:cs="Calibri,Times New Roman"/>
                <w:color w:val="auto"/>
                <w:spacing w:val="-1"/>
                <w:sz w:val="22"/>
                <w:szCs w:val="22"/>
              </w:rPr>
            </w:pPr>
            <w:r w:rsidRPr="002E1A3F">
              <w:rPr>
                <w:rFonts w:ascii="Calibri" w:eastAsia="Calibri" w:hAnsi="Calibri" w:cs="Calibri"/>
                <w:b/>
                <w:bCs/>
                <w:color w:val="auto"/>
                <w:sz w:val="22"/>
                <w:szCs w:val="22"/>
              </w:rPr>
              <w:t>Agriculture</w:t>
            </w:r>
          </w:p>
        </w:tc>
        <w:tc>
          <w:tcPr>
            <w:tcW w:w="1114" w:type="dxa"/>
            <w:vAlign w:val="center"/>
          </w:tcPr>
          <w:p w14:paraId="64085098" w14:textId="77777777" w:rsidR="001B201A" w:rsidRPr="002E1A3F" w:rsidRDefault="00B0010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1405" w:type="dxa"/>
            <w:vAlign w:val="center"/>
          </w:tcPr>
          <w:p w14:paraId="2E08C571"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787" w:type="dxa"/>
            <w:vAlign w:val="center"/>
          </w:tcPr>
          <w:p w14:paraId="218B3AF2"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65" w:type="dxa"/>
            <w:vAlign w:val="center"/>
          </w:tcPr>
          <w:p w14:paraId="756126E9"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2</w:t>
            </w:r>
          </w:p>
        </w:tc>
        <w:tc>
          <w:tcPr>
            <w:tcW w:w="851" w:type="dxa"/>
            <w:vAlign w:val="center"/>
          </w:tcPr>
          <w:p w14:paraId="2B1EA00C"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08" w:type="dxa"/>
            <w:vAlign w:val="center"/>
          </w:tcPr>
          <w:p w14:paraId="50EEB94F"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Pr>
                <w:rFonts w:ascii="Calibri" w:eastAsia="Calibri" w:hAnsi="Calibri" w:cs="Calibri"/>
                <w:b/>
                <w:color w:val="auto"/>
                <w:sz w:val="22"/>
                <w:szCs w:val="22"/>
              </w:rPr>
              <w:t>4</w:t>
            </w:r>
          </w:p>
        </w:tc>
      </w:tr>
      <w:tr w:rsidR="000C3959" w14:paraId="338F2C84" w14:textId="77777777" w:rsidTr="006C70A5">
        <w:tc>
          <w:tcPr>
            <w:tcW w:w="2610" w:type="dxa"/>
            <w:vAlign w:val="center"/>
          </w:tcPr>
          <w:p w14:paraId="715FACB8" w14:textId="77777777" w:rsidR="001B201A" w:rsidRPr="002E1A3F" w:rsidRDefault="00B00100" w:rsidP="001118F8">
            <w:pPr>
              <w:keepNext/>
              <w:keepLines/>
              <w:widowControl/>
              <w:tabs>
                <w:tab w:val="left" w:pos="0"/>
                <w:tab w:val="left" w:pos="720"/>
              </w:tabs>
              <w:autoSpaceDE/>
              <w:autoSpaceDN/>
              <w:adjustRightInd/>
              <w:rPr>
                <w:rFonts w:ascii="Calibri,Times New Roman" w:eastAsia="Calibri,Times New Roman" w:hAnsi="Calibri,Times New Roman" w:cs="Calibri,Times New Roman"/>
                <w:color w:val="auto"/>
                <w:spacing w:val="-1"/>
                <w:sz w:val="22"/>
                <w:szCs w:val="22"/>
              </w:rPr>
            </w:pPr>
            <w:r w:rsidRPr="002E1A3F">
              <w:rPr>
                <w:rFonts w:ascii="Calibri" w:eastAsia="Calibri" w:hAnsi="Calibri" w:cs="Calibri"/>
                <w:b/>
                <w:bCs/>
                <w:color w:val="auto"/>
                <w:sz w:val="22"/>
                <w:szCs w:val="22"/>
              </w:rPr>
              <w:t>Health</w:t>
            </w:r>
          </w:p>
        </w:tc>
        <w:tc>
          <w:tcPr>
            <w:tcW w:w="1114" w:type="dxa"/>
            <w:vAlign w:val="center"/>
          </w:tcPr>
          <w:p w14:paraId="7E720FCB" w14:textId="77777777" w:rsidR="001B201A" w:rsidRPr="002E1A3F" w:rsidRDefault="00B0010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1405" w:type="dxa"/>
            <w:vAlign w:val="center"/>
          </w:tcPr>
          <w:p w14:paraId="78D4CFCF"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787" w:type="dxa"/>
            <w:vAlign w:val="center"/>
          </w:tcPr>
          <w:p w14:paraId="17353C27"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965" w:type="dxa"/>
            <w:vAlign w:val="center"/>
          </w:tcPr>
          <w:p w14:paraId="705152B2"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7</w:t>
            </w:r>
          </w:p>
        </w:tc>
        <w:tc>
          <w:tcPr>
            <w:tcW w:w="851" w:type="dxa"/>
            <w:vAlign w:val="center"/>
          </w:tcPr>
          <w:p w14:paraId="7ADE6F25"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908" w:type="dxa"/>
            <w:vAlign w:val="center"/>
          </w:tcPr>
          <w:p w14:paraId="425AE1A4"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7</w:t>
            </w:r>
          </w:p>
        </w:tc>
      </w:tr>
      <w:tr w:rsidR="000C3959" w14:paraId="053ADC0F" w14:textId="77777777" w:rsidTr="006C70A5">
        <w:tc>
          <w:tcPr>
            <w:tcW w:w="2610" w:type="dxa"/>
            <w:vAlign w:val="center"/>
          </w:tcPr>
          <w:p w14:paraId="16AB98ED" w14:textId="77777777" w:rsidR="001B201A" w:rsidRPr="002E1A3F" w:rsidRDefault="00B00100" w:rsidP="001118F8">
            <w:pPr>
              <w:keepNext/>
              <w:keepLines/>
              <w:widowControl/>
              <w:tabs>
                <w:tab w:val="left" w:pos="0"/>
                <w:tab w:val="left" w:pos="720"/>
              </w:tabs>
              <w:autoSpaceDE/>
              <w:autoSpaceDN/>
              <w:adjustRightInd/>
              <w:rPr>
                <w:rFonts w:ascii="Calibri" w:eastAsia="Times New Roman" w:hAnsi="Calibri" w:cs="Calibri"/>
                <w:b/>
                <w:color w:val="auto"/>
                <w:sz w:val="22"/>
                <w:szCs w:val="22"/>
              </w:rPr>
            </w:pPr>
            <w:r w:rsidRPr="002E1A3F">
              <w:rPr>
                <w:rFonts w:ascii="Calibri" w:eastAsia="Calibri" w:hAnsi="Calibri" w:cs="Calibri"/>
                <w:b/>
                <w:bCs/>
                <w:color w:val="auto"/>
                <w:sz w:val="22"/>
                <w:szCs w:val="22"/>
              </w:rPr>
              <w:t>Applied Social Sciences/Education</w:t>
            </w:r>
          </w:p>
        </w:tc>
        <w:tc>
          <w:tcPr>
            <w:tcW w:w="1114" w:type="dxa"/>
            <w:vAlign w:val="center"/>
          </w:tcPr>
          <w:p w14:paraId="50166ED3" w14:textId="77777777" w:rsidR="001B201A" w:rsidRPr="002E1A3F" w:rsidRDefault="00B0010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1405" w:type="dxa"/>
            <w:vAlign w:val="center"/>
          </w:tcPr>
          <w:p w14:paraId="07A66D5F"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Times New Roman" w:hAnsi="Calibri" w:cs="Calibri"/>
                <w:color w:val="auto"/>
                <w:sz w:val="22"/>
                <w:szCs w:val="22"/>
              </w:rPr>
              <w:t>-</w:t>
            </w:r>
          </w:p>
        </w:tc>
        <w:tc>
          <w:tcPr>
            <w:tcW w:w="787" w:type="dxa"/>
            <w:vAlign w:val="center"/>
          </w:tcPr>
          <w:p w14:paraId="16BE8B63"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65" w:type="dxa"/>
            <w:vAlign w:val="center"/>
          </w:tcPr>
          <w:p w14:paraId="26F61F72"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851" w:type="dxa"/>
            <w:vAlign w:val="center"/>
          </w:tcPr>
          <w:p w14:paraId="4B212105"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color w:val="auto"/>
                <w:sz w:val="22"/>
                <w:szCs w:val="22"/>
              </w:rPr>
            </w:pPr>
            <w:r w:rsidRPr="002E1A3F">
              <w:rPr>
                <w:rFonts w:ascii="Calibri" w:eastAsia="Calibri" w:hAnsi="Calibri" w:cs="Calibri"/>
                <w:color w:val="auto"/>
                <w:sz w:val="22"/>
                <w:szCs w:val="22"/>
              </w:rPr>
              <w:t>1</w:t>
            </w:r>
          </w:p>
        </w:tc>
        <w:tc>
          <w:tcPr>
            <w:tcW w:w="908" w:type="dxa"/>
            <w:vAlign w:val="center"/>
          </w:tcPr>
          <w:p w14:paraId="50FC9708"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Pr>
                <w:rFonts w:ascii="Calibri" w:eastAsia="Calibri" w:hAnsi="Calibri" w:cs="Calibri"/>
                <w:b/>
                <w:color w:val="auto"/>
                <w:sz w:val="22"/>
                <w:szCs w:val="22"/>
              </w:rPr>
              <w:t>3</w:t>
            </w:r>
          </w:p>
        </w:tc>
      </w:tr>
      <w:tr w:rsidR="000C3959" w14:paraId="456AA316" w14:textId="77777777" w:rsidTr="006C70A5">
        <w:tc>
          <w:tcPr>
            <w:tcW w:w="2610" w:type="dxa"/>
            <w:shd w:val="clear" w:color="auto" w:fill="E7E6E6" w:themeFill="background2"/>
            <w:vAlign w:val="center"/>
          </w:tcPr>
          <w:p w14:paraId="3E18F03C" w14:textId="77777777" w:rsidR="001B201A" w:rsidRPr="002E1A3F" w:rsidRDefault="00B00100" w:rsidP="001118F8">
            <w:pPr>
              <w:keepNext/>
              <w:keepLines/>
              <w:widowControl/>
              <w:tabs>
                <w:tab w:val="left" w:pos="0"/>
                <w:tab w:val="left" w:pos="720"/>
              </w:tabs>
              <w:autoSpaceDE/>
              <w:autoSpaceDN/>
              <w:adjustRightInd/>
              <w:rPr>
                <w:rFonts w:ascii="Calibri,Times New Roman" w:eastAsia="Calibri,Times New Roman" w:hAnsi="Calibri,Times New Roman" w:cs="Calibri,Times New Roman"/>
                <w:color w:val="auto"/>
                <w:spacing w:val="-1"/>
                <w:sz w:val="22"/>
                <w:szCs w:val="22"/>
              </w:rPr>
            </w:pPr>
            <w:r w:rsidRPr="002E1A3F">
              <w:rPr>
                <w:rFonts w:ascii="Calibri" w:eastAsia="Calibri" w:hAnsi="Calibri" w:cs="Calibri"/>
                <w:b/>
                <w:bCs/>
                <w:color w:val="auto"/>
                <w:sz w:val="22"/>
                <w:szCs w:val="22"/>
              </w:rPr>
              <w:t>Total</w:t>
            </w:r>
          </w:p>
        </w:tc>
        <w:tc>
          <w:tcPr>
            <w:tcW w:w="1114" w:type="dxa"/>
            <w:shd w:val="clear" w:color="auto" w:fill="E7E6E6" w:themeFill="background2"/>
            <w:vAlign w:val="center"/>
          </w:tcPr>
          <w:p w14:paraId="5DC4FDE5" w14:textId="77777777" w:rsidR="001B201A" w:rsidRPr="002E1A3F" w:rsidRDefault="00B00100">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2</w:t>
            </w:r>
          </w:p>
        </w:tc>
        <w:tc>
          <w:tcPr>
            <w:tcW w:w="1405" w:type="dxa"/>
            <w:shd w:val="clear" w:color="auto" w:fill="E7E6E6" w:themeFill="background2"/>
            <w:vAlign w:val="center"/>
          </w:tcPr>
          <w:p w14:paraId="694D1AB2"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1</w:t>
            </w:r>
          </w:p>
        </w:tc>
        <w:tc>
          <w:tcPr>
            <w:tcW w:w="787" w:type="dxa"/>
            <w:shd w:val="clear" w:color="auto" w:fill="E7E6E6" w:themeFill="background2"/>
            <w:vAlign w:val="center"/>
          </w:tcPr>
          <w:p w14:paraId="4E061D11" w14:textId="77777777" w:rsidR="001B201A" w:rsidRPr="002E1A3F" w:rsidRDefault="00B00100" w:rsidP="00F463C2">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3</w:t>
            </w:r>
          </w:p>
        </w:tc>
        <w:tc>
          <w:tcPr>
            <w:tcW w:w="965" w:type="dxa"/>
            <w:shd w:val="clear" w:color="auto" w:fill="E7E6E6" w:themeFill="background2"/>
            <w:vAlign w:val="center"/>
          </w:tcPr>
          <w:p w14:paraId="5B95FF6C" w14:textId="77777777" w:rsidR="001B201A" w:rsidRPr="002E1A3F" w:rsidRDefault="00B00100" w:rsidP="0092105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17</w:t>
            </w:r>
          </w:p>
        </w:tc>
        <w:tc>
          <w:tcPr>
            <w:tcW w:w="851" w:type="dxa"/>
            <w:shd w:val="clear" w:color="auto" w:fill="E7E6E6" w:themeFill="background2"/>
            <w:vAlign w:val="center"/>
          </w:tcPr>
          <w:p w14:paraId="2474C1CE" w14:textId="77777777" w:rsidR="001B201A" w:rsidRPr="002E1A3F" w:rsidRDefault="00B00100" w:rsidP="003247A0">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sidRPr="002E1A3F">
              <w:rPr>
                <w:rFonts w:ascii="Calibri" w:eastAsia="Calibri" w:hAnsi="Calibri" w:cs="Calibri"/>
                <w:b/>
                <w:color w:val="auto"/>
                <w:sz w:val="22"/>
                <w:szCs w:val="22"/>
              </w:rPr>
              <w:t>3</w:t>
            </w:r>
          </w:p>
        </w:tc>
        <w:tc>
          <w:tcPr>
            <w:tcW w:w="908" w:type="dxa"/>
            <w:shd w:val="clear" w:color="auto" w:fill="E7E6E6" w:themeFill="background2"/>
            <w:vAlign w:val="center"/>
          </w:tcPr>
          <w:p w14:paraId="2E3BC112" w14:textId="77777777" w:rsidR="001B201A" w:rsidRPr="002E1A3F" w:rsidRDefault="00B00100" w:rsidP="007118DD">
            <w:pPr>
              <w:keepNext/>
              <w:keepLines/>
              <w:widowControl/>
              <w:tabs>
                <w:tab w:val="left" w:pos="0"/>
                <w:tab w:val="left" w:pos="720"/>
              </w:tabs>
              <w:autoSpaceDE/>
              <w:autoSpaceDN/>
              <w:adjustRightInd/>
              <w:jc w:val="center"/>
              <w:rPr>
                <w:rFonts w:ascii="Calibri" w:eastAsia="Times New Roman" w:hAnsi="Calibri" w:cs="Calibri"/>
                <w:b/>
                <w:color w:val="auto"/>
                <w:sz w:val="22"/>
                <w:szCs w:val="22"/>
              </w:rPr>
            </w:pPr>
            <w:r>
              <w:rPr>
                <w:rFonts w:ascii="Calibri" w:eastAsia="Calibri" w:hAnsi="Calibri" w:cs="Calibri"/>
                <w:b/>
                <w:color w:val="auto"/>
                <w:sz w:val="22"/>
                <w:szCs w:val="22"/>
              </w:rPr>
              <w:t>26</w:t>
            </w:r>
          </w:p>
        </w:tc>
      </w:tr>
      <w:tr w:rsidR="000C3959" w14:paraId="14D66F11" w14:textId="77777777" w:rsidTr="006C70A5">
        <w:tc>
          <w:tcPr>
            <w:tcW w:w="2610" w:type="dxa"/>
            <w:vAlign w:val="center"/>
          </w:tcPr>
          <w:p w14:paraId="26FF4AC6" w14:textId="77777777" w:rsidR="0078579D" w:rsidRPr="002E1A3F" w:rsidRDefault="00B00100" w:rsidP="001118F8">
            <w:pPr>
              <w:keepNext/>
              <w:keepLines/>
              <w:widowControl/>
              <w:tabs>
                <w:tab w:val="left" w:pos="0"/>
                <w:tab w:val="left" w:pos="720"/>
              </w:tabs>
              <w:autoSpaceDE/>
              <w:autoSpaceDN/>
              <w:adjustRightInd/>
              <w:rPr>
                <w:rFonts w:ascii="Calibri" w:eastAsia="Calibri" w:hAnsi="Calibri" w:cs="Calibri"/>
                <w:b/>
                <w:bCs/>
                <w:color w:val="auto"/>
                <w:sz w:val="22"/>
                <w:szCs w:val="22"/>
              </w:rPr>
            </w:pPr>
            <w:r>
              <w:rPr>
                <w:rFonts w:ascii="Calibri" w:eastAsia="Calibri" w:hAnsi="Calibri" w:cs="Calibri"/>
                <w:b/>
                <w:bCs/>
                <w:color w:val="auto"/>
                <w:sz w:val="22"/>
                <w:szCs w:val="22"/>
              </w:rPr>
              <w:t>Add-on CoEngg</w:t>
            </w:r>
          </w:p>
        </w:tc>
        <w:tc>
          <w:tcPr>
            <w:tcW w:w="1114" w:type="dxa"/>
            <w:vAlign w:val="center"/>
          </w:tcPr>
          <w:p w14:paraId="2AE46838" w14:textId="77777777" w:rsidR="0078579D" w:rsidRPr="00797B7A" w:rsidRDefault="00B00100">
            <w:pPr>
              <w:keepNext/>
              <w:keepLines/>
              <w:widowControl/>
              <w:tabs>
                <w:tab w:val="left" w:pos="0"/>
                <w:tab w:val="left" w:pos="720"/>
              </w:tabs>
              <w:autoSpaceDE/>
              <w:autoSpaceDN/>
              <w:adjustRightInd/>
              <w:jc w:val="center"/>
              <w:rPr>
                <w:rFonts w:ascii="Calibri" w:eastAsia="Calibri" w:hAnsi="Calibri" w:cs="Calibri"/>
                <w:color w:val="auto"/>
                <w:sz w:val="22"/>
                <w:szCs w:val="22"/>
              </w:rPr>
            </w:pPr>
            <w:r w:rsidRPr="00797B7A">
              <w:rPr>
                <w:rFonts w:ascii="Calibri" w:eastAsia="Calibri" w:hAnsi="Calibri" w:cs="Calibri"/>
                <w:color w:val="auto"/>
                <w:sz w:val="22"/>
                <w:szCs w:val="22"/>
              </w:rPr>
              <w:t>1</w:t>
            </w:r>
          </w:p>
        </w:tc>
        <w:tc>
          <w:tcPr>
            <w:tcW w:w="1405" w:type="dxa"/>
            <w:vAlign w:val="center"/>
          </w:tcPr>
          <w:p w14:paraId="177F0177" w14:textId="77777777" w:rsidR="0078579D" w:rsidRPr="002E1A3F" w:rsidRDefault="00B00100" w:rsidP="00F463C2">
            <w:pPr>
              <w:keepNext/>
              <w:keepLines/>
              <w:widowControl/>
              <w:tabs>
                <w:tab w:val="left" w:pos="0"/>
                <w:tab w:val="left" w:pos="720"/>
              </w:tabs>
              <w:autoSpaceDE/>
              <w:autoSpaceDN/>
              <w:adjustRightInd/>
              <w:jc w:val="center"/>
              <w:rPr>
                <w:rFonts w:ascii="Calibri" w:eastAsia="Calibri" w:hAnsi="Calibri" w:cs="Calibri"/>
                <w:b/>
                <w:color w:val="auto"/>
                <w:sz w:val="22"/>
                <w:szCs w:val="22"/>
              </w:rPr>
            </w:pPr>
            <w:r>
              <w:rPr>
                <w:rFonts w:ascii="Calibri" w:eastAsia="Calibri" w:hAnsi="Calibri" w:cs="Calibri"/>
                <w:b/>
                <w:color w:val="auto"/>
                <w:sz w:val="22"/>
                <w:szCs w:val="22"/>
              </w:rPr>
              <w:t>-</w:t>
            </w:r>
          </w:p>
        </w:tc>
        <w:tc>
          <w:tcPr>
            <w:tcW w:w="787" w:type="dxa"/>
            <w:vAlign w:val="center"/>
          </w:tcPr>
          <w:p w14:paraId="7E67F2E4" w14:textId="77777777" w:rsidR="0078579D" w:rsidRPr="002E1A3F" w:rsidRDefault="00B00100" w:rsidP="00F463C2">
            <w:pPr>
              <w:keepNext/>
              <w:keepLines/>
              <w:widowControl/>
              <w:tabs>
                <w:tab w:val="left" w:pos="0"/>
                <w:tab w:val="left" w:pos="720"/>
              </w:tabs>
              <w:autoSpaceDE/>
              <w:autoSpaceDN/>
              <w:adjustRightInd/>
              <w:jc w:val="center"/>
              <w:rPr>
                <w:rFonts w:ascii="Calibri" w:eastAsia="Calibri" w:hAnsi="Calibri" w:cs="Calibri"/>
                <w:b/>
                <w:color w:val="auto"/>
                <w:sz w:val="22"/>
                <w:szCs w:val="22"/>
              </w:rPr>
            </w:pPr>
            <w:r>
              <w:rPr>
                <w:rFonts w:ascii="Calibri" w:eastAsia="Calibri" w:hAnsi="Calibri" w:cs="Calibri"/>
                <w:b/>
                <w:color w:val="auto"/>
                <w:sz w:val="22"/>
                <w:szCs w:val="22"/>
              </w:rPr>
              <w:t>-</w:t>
            </w:r>
          </w:p>
        </w:tc>
        <w:tc>
          <w:tcPr>
            <w:tcW w:w="965" w:type="dxa"/>
            <w:vAlign w:val="center"/>
          </w:tcPr>
          <w:p w14:paraId="74DE0BA9" w14:textId="77777777" w:rsidR="0078579D" w:rsidRPr="002E1A3F" w:rsidRDefault="00B00100" w:rsidP="0092105D">
            <w:pPr>
              <w:keepNext/>
              <w:keepLines/>
              <w:widowControl/>
              <w:tabs>
                <w:tab w:val="left" w:pos="0"/>
                <w:tab w:val="left" w:pos="720"/>
              </w:tabs>
              <w:autoSpaceDE/>
              <w:autoSpaceDN/>
              <w:adjustRightInd/>
              <w:jc w:val="center"/>
              <w:rPr>
                <w:rFonts w:ascii="Calibri" w:eastAsia="Calibri" w:hAnsi="Calibri" w:cs="Calibri"/>
                <w:b/>
                <w:color w:val="auto"/>
                <w:sz w:val="22"/>
                <w:szCs w:val="22"/>
              </w:rPr>
            </w:pPr>
            <w:r>
              <w:rPr>
                <w:rFonts w:ascii="Calibri" w:eastAsia="Calibri" w:hAnsi="Calibri" w:cs="Calibri"/>
                <w:b/>
                <w:color w:val="auto"/>
                <w:sz w:val="22"/>
                <w:szCs w:val="22"/>
              </w:rPr>
              <w:t>-</w:t>
            </w:r>
          </w:p>
        </w:tc>
        <w:tc>
          <w:tcPr>
            <w:tcW w:w="851" w:type="dxa"/>
            <w:vAlign w:val="center"/>
          </w:tcPr>
          <w:p w14:paraId="057255E6" w14:textId="77777777" w:rsidR="0078579D" w:rsidRPr="002E1A3F" w:rsidRDefault="00B00100" w:rsidP="003247A0">
            <w:pPr>
              <w:keepNext/>
              <w:keepLines/>
              <w:widowControl/>
              <w:tabs>
                <w:tab w:val="left" w:pos="0"/>
                <w:tab w:val="left" w:pos="720"/>
              </w:tabs>
              <w:autoSpaceDE/>
              <w:autoSpaceDN/>
              <w:adjustRightInd/>
              <w:jc w:val="center"/>
              <w:rPr>
                <w:rFonts w:ascii="Calibri" w:eastAsia="Calibri" w:hAnsi="Calibri" w:cs="Calibri"/>
                <w:b/>
                <w:color w:val="auto"/>
                <w:sz w:val="22"/>
                <w:szCs w:val="22"/>
              </w:rPr>
            </w:pPr>
            <w:r>
              <w:rPr>
                <w:rFonts w:ascii="Calibri" w:eastAsia="Calibri" w:hAnsi="Calibri" w:cs="Calibri"/>
                <w:b/>
                <w:color w:val="auto"/>
                <w:sz w:val="22"/>
                <w:szCs w:val="22"/>
              </w:rPr>
              <w:t>-</w:t>
            </w:r>
          </w:p>
        </w:tc>
        <w:tc>
          <w:tcPr>
            <w:tcW w:w="908" w:type="dxa"/>
            <w:vAlign w:val="center"/>
          </w:tcPr>
          <w:p w14:paraId="0E5603A4" w14:textId="77777777" w:rsidR="0078579D" w:rsidRDefault="00B00100" w:rsidP="007118DD">
            <w:pPr>
              <w:keepNext/>
              <w:keepLines/>
              <w:widowControl/>
              <w:tabs>
                <w:tab w:val="left" w:pos="0"/>
                <w:tab w:val="left" w:pos="720"/>
              </w:tabs>
              <w:autoSpaceDE/>
              <w:autoSpaceDN/>
              <w:adjustRightInd/>
              <w:jc w:val="center"/>
              <w:rPr>
                <w:rFonts w:ascii="Calibri" w:eastAsia="Calibri" w:hAnsi="Calibri" w:cs="Calibri"/>
                <w:b/>
                <w:color w:val="auto"/>
                <w:sz w:val="22"/>
                <w:szCs w:val="22"/>
              </w:rPr>
            </w:pPr>
            <w:r>
              <w:rPr>
                <w:rFonts w:ascii="Calibri" w:eastAsia="Calibri" w:hAnsi="Calibri" w:cs="Calibri"/>
                <w:b/>
                <w:color w:val="auto"/>
                <w:sz w:val="22"/>
                <w:szCs w:val="22"/>
              </w:rPr>
              <w:t>1</w:t>
            </w:r>
          </w:p>
        </w:tc>
      </w:tr>
    </w:tbl>
    <w:p w14:paraId="016F9368" w14:textId="77777777" w:rsidR="002E1A3F" w:rsidRPr="000C46A6" w:rsidRDefault="00B00100" w:rsidP="001118F8">
      <w:pPr>
        <w:widowControl/>
        <w:autoSpaceDE/>
        <w:autoSpaceDN/>
        <w:adjustRightInd/>
        <w:spacing w:after="240"/>
        <w:rPr>
          <w:rFonts w:ascii="Calibri" w:eastAsia="Calibri,Times New Roman" w:hAnsi="Calibri" w:cs="Times New Roman"/>
          <w:i/>
          <w:color w:val="auto"/>
          <w:spacing w:val="-1"/>
          <w:sz w:val="18"/>
          <w:szCs w:val="20"/>
        </w:rPr>
      </w:pPr>
      <w:r w:rsidRPr="000C46A6">
        <w:rPr>
          <w:rFonts w:ascii="Calibri" w:eastAsia="Calibri" w:hAnsi="Calibri" w:cs="Times New Roman"/>
          <w:i/>
          <w:color w:val="auto"/>
          <w:sz w:val="18"/>
          <w:szCs w:val="20"/>
        </w:rPr>
        <w:t>Note: *These cells denote Emerging centers. Annex 1, Table A1.1 provides detailed information on all centers.</w:t>
      </w:r>
      <w:r w:rsidR="000C5BE6" w:rsidRPr="000C46A6">
        <w:rPr>
          <w:rFonts w:ascii="Calibri" w:eastAsia="Calibri" w:hAnsi="Calibri" w:cs="Times New Roman"/>
          <w:i/>
          <w:color w:val="auto"/>
          <w:sz w:val="18"/>
          <w:szCs w:val="20"/>
        </w:rPr>
        <w:t xml:space="preserve"> </w:t>
      </w:r>
      <w:r w:rsidR="00844E82" w:rsidRPr="000C46A6">
        <w:rPr>
          <w:rFonts w:ascii="Calibri" w:eastAsia="Calibri" w:hAnsi="Calibri" w:cs="Times New Roman"/>
          <w:i/>
          <w:color w:val="auto"/>
          <w:sz w:val="18"/>
          <w:szCs w:val="20"/>
        </w:rPr>
        <w:t>**AFD</w:t>
      </w:r>
      <w:r w:rsidR="00C3098D" w:rsidRPr="000C46A6">
        <w:rPr>
          <w:rFonts w:ascii="Calibri" w:eastAsia="Calibri" w:hAnsi="Calibri" w:cs="Times New Roman"/>
          <w:i/>
          <w:color w:val="auto"/>
          <w:sz w:val="18"/>
          <w:szCs w:val="20"/>
        </w:rPr>
        <w:t>’s funding in C</w:t>
      </w:r>
      <w:r w:rsidR="00B04A2E">
        <w:rPr>
          <w:rFonts w:ascii="Calibri" w:eastAsia="Calibri" w:hAnsi="Calibri" w:cs="Calibri"/>
          <w:i/>
          <w:color w:val="auto"/>
          <w:sz w:val="18"/>
          <w:szCs w:val="20"/>
        </w:rPr>
        <w:t>ô</w:t>
      </w:r>
      <w:r w:rsidR="00C3098D" w:rsidRPr="000C46A6">
        <w:rPr>
          <w:rFonts w:ascii="Calibri" w:eastAsia="Calibri" w:hAnsi="Calibri" w:cs="Times New Roman"/>
          <w:i/>
          <w:color w:val="auto"/>
          <w:sz w:val="18"/>
          <w:szCs w:val="20"/>
        </w:rPr>
        <w:t>te d’Iv</w:t>
      </w:r>
      <w:r w:rsidR="0083710E" w:rsidRPr="000C46A6">
        <w:rPr>
          <w:rFonts w:ascii="Calibri" w:eastAsia="Calibri" w:hAnsi="Calibri" w:cs="Times New Roman"/>
          <w:i/>
          <w:color w:val="auto"/>
          <w:sz w:val="18"/>
          <w:szCs w:val="20"/>
        </w:rPr>
        <w:t>oire covers 2 ACEs in STEM, 1 ACE in Agriculture</w:t>
      </w:r>
      <w:r w:rsidR="0028033B" w:rsidRPr="000C46A6">
        <w:rPr>
          <w:rFonts w:ascii="Calibri" w:eastAsia="Calibri" w:hAnsi="Calibri" w:cs="Times New Roman"/>
          <w:i/>
          <w:color w:val="auto"/>
          <w:sz w:val="18"/>
          <w:szCs w:val="20"/>
        </w:rPr>
        <w:t xml:space="preserve"> and 1 ACE in Applied Social S</w:t>
      </w:r>
      <w:r w:rsidR="00D64F3A" w:rsidRPr="000C46A6">
        <w:rPr>
          <w:rFonts w:ascii="Calibri" w:eastAsia="Calibri" w:hAnsi="Calibri" w:cs="Times New Roman"/>
          <w:i/>
          <w:color w:val="auto"/>
          <w:sz w:val="18"/>
          <w:szCs w:val="20"/>
        </w:rPr>
        <w:t>c</w:t>
      </w:r>
      <w:r w:rsidR="0028033B" w:rsidRPr="000C46A6">
        <w:rPr>
          <w:rFonts w:ascii="Calibri" w:eastAsia="Calibri" w:hAnsi="Calibri" w:cs="Times New Roman"/>
          <w:i/>
          <w:color w:val="auto"/>
          <w:sz w:val="18"/>
          <w:szCs w:val="20"/>
        </w:rPr>
        <w:t>iences</w:t>
      </w:r>
    </w:p>
    <w:p w14:paraId="3076A10C" w14:textId="77777777" w:rsidR="002E1A3F" w:rsidRPr="002E1A3F" w:rsidRDefault="00B00100" w:rsidP="006C70A5">
      <w:pPr>
        <w:tabs>
          <w:tab w:val="left" w:pos="0"/>
          <w:tab w:val="left" w:pos="720"/>
        </w:tabs>
        <w:spacing w:after="240"/>
        <w:jc w:val="both"/>
        <w:rPr>
          <w:rFonts w:ascii="Calibri" w:eastAsia="Times New Roman" w:hAnsi="Calibri" w:cs="Calibri"/>
          <w:b/>
          <w:bCs/>
          <w:i/>
          <w:color w:val="2E74B5"/>
          <w:sz w:val="22"/>
          <w:szCs w:val="22"/>
        </w:rPr>
      </w:pPr>
      <w:r w:rsidRPr="002E1A3F">
        <w:rPr>
          <w:rFonts w:ascii="Calibri" w:eastAsia="Times New Roman" w:hAnsi="Calibri" w:cs="Calibri"/>
          <w:b/>
          <w:bCs/>
          <w:i/>
          <w:color w:val="2E74B5"/>
          <w:sz w:val="22"/>
          <w:szCs w:val="22"/>
        </w:rPr>
        <w:t>Sub-component 2.2: Support for PhD scholarships through the PASET Regional Scholarship &amp; Innovation Fund (RSIF) (</w:t>
      </w:r>
      <w:r w:rsidR="00D970F6">
        <w:rPr>
          <w:rFonts w:ascii="Calibri" w:eastAsia="Times New Roman" w:hAnsi="Calibri" w:cs="Calibri"/>
          <w:b/>
          <w:bCs/>
          <w:i/>
          <w:color w:val="2E74B5"/>
          <w:sz w:val="22"/>
          <w:szCs w:val="22"/>
        </w:rPr>
        <w:t xml:space="preserve">Total: </w:t>
      </w:r>
      <w:r w:rsidRPr="002E1A3F">
        <w:rPr>
          <w:rFonts w:ascii="Calibri" w:eastAsia="Times New Roman" w:hAnsi="Calibri" w:cs="Calibri"/>
          <w:b/>
          <w:bCs/>
          <w:i/>
          <w:color w:val="2E74B5"/>
          <w:sz w:val="22"/>
          <w:szCs w:val="22"/>
        </w:rPr>
        <w:t>US$</w:t>
      </w:r>
      <w:r w:rsidR="00C216B1">
        <w:rPr>
          <w:rFonts w:ascii="Calibri" w:eastAsia="Times New Roman" w:hAnsi="Calibri" w:cs="Calibri"/>
          <w:b/>
          <w:bCs/>
          <w:i/>
          <w:color w:val="2E74B5"/>
          <w:sz w:val="22"/>
          <w:szCs w:val="22"/>
        </w:rPr>
        <w:t>6</w:t>
      </w:r>
      <w:r w:rsidRPr="002E1A3F">
        <w:rPr>
          <w:rFonts w:ascii="Calibri" w:eastAsia="Times New Roman" w:hAnsi="Calibri" w:cs="Calibri"/>
          <w:b/>
          <w:bCs/>
          <w:i/>
          <w:color w:val="2E74B5"/>
          <w:sz w:val="22"/>
          <w:szCs w:val="22"/>
        </w:rPr>
        <w:t xml:space="preserve"> million</w:t>
      </w:r>
      <w:r w:rsidR="00D0704F">
        <w:rPr>
          <w:rFonts w:ascii="Calibri" w:eastAsia="Times New Roman" w:hAnsi="Calibri" w:cs="Calibri"/>
          <w:b/>
          <w:bCs/>
          <w:i/>
          <w:color w:val="2E74B5"/>
          <w:sz w:val="22"/>
          <w:szCs w:val="22"/>
        </w:rPr>
        <w:t xml:space="preserve"> </w:t>
      </w:r>
      <w:r w:rsidR="00DA1F5E">
        <w:rPr>
          <w:rFonts w:ascii="Calibri" w:eastAsia="Times New Roman" w:hAnsi="Calibri" w:cs="Calibri"/>
          <w:b/>
          <w:bCs/>
          <w:i/>
          <w:color w:val="2E74B5"/>
          <w:sz w:val="22"/>
          <w:szCs w:val="22"/>
        </w:rPr>
        <w:t>equivalent</w:t>
      </w:r>
      <w:r w:rsidR="002A7C00">
        <w:rPr>
          <w:rFonts w:ascii="Calibri" w:eastAsia="Times New Roman" w:hAnsi="Calibri" w:cs="Calibri"/>
          <w:b/>
          <w:bCs/>
          <w:i/>
          <w:color w:val="2E74B5"/>
          <w:sz w:val="22"/>
          <w:szCs w:val="22"/>
        </w:rPr>
        <w:t xml:space="preserve"> </w:t>
      </w:r>
      <w:r w:rsidRPr="002E1A3F">
        <w:rPr>
          <w:rFonts w:ascii="Calibri" w:eastAsia="Times New Roman" w:hAnsi="Calibri" w:cs="Calibri"/>
          <w:b/>
          <w:bCs/>
          <w:i/>
          <w:color w:val="2E74B5"/>
          <w:sz w:val="22"/>
          <w:szCs w:val="22"/>
        </w:rPr>
        <w:t>IDA)</w:t>
      </w:r>
    </w:p>
    <w:p w14:paraId="520D1FE7" w14:textId="77777777" w:rsidR="002E1A3F" w:rsidRPr="002E1A3F" w:rsidRDefault="00B00100" w:rsidP="006C70A5">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pacing w:val="-1"/>
          <w:sz w:val="22"/>
          <w:szCs w:val="22"/>
        </w:rPr>
      </w:pPr>
      <w:r w:rsidRPr="002E1A3F">
        <w:rPr>
          <w:rFonts w:ascii="Calibri" w:eastAsia="Calibri" w:hAnsi="Calibri" w:cs="Calibri"/>
          <w:b/>
          <w:bCs/>
          <w:spacing w:val="-1"/>
          <w:sz w:val="22"/>
          <w:szCs w:val="22"/>
        </w:rPr>
        <w:lastRenderedPageBreak/>
        <w:t>Sub-component 2.2 will finance regional scholarships</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through the PASET RSIF to support primarily the training of the next generation of faculty for higher education institutions in the region</w:t>
      </w:r>
      <w:r w:rsidRPr="002E1A3F">
        <w:rPr>
          <w:rFonts w:ascii="Calibri" w:eastAsia="Calibri,Times New Roman" w:hAnsi="Calibri" w:cs="Calibri"/>
          <w:b/>
          <w:bCs/>
          <w:spacing w:val="-1"/>
          <w:sz w:val="22"/>
          <w:szCs w:val="22"/>
        </w:rPr>
        <w:t>.</w:t>
      </w:r>
      <w:r w:rsidRPr="002E1A3F">
        <w:rPr>
          <w:rFonts w:ascii="Calibri" w:eastAsia="Calibri,Times New Roman" w:hAnsi="Calibri" w:cs="Calibri"/>
          <w:spacing w:val="-1"/>
          <w:sz w:val="22"/>
          <w:szCs w:val="22"/>
        </w:rPr>
        <w:t xml:space="preserve"> </w:t>
      </w:r>
      <w:r w:rsidRPr="00B81291">
        <w:rPr>
          <w:rFonts w:ascii="Calibri" w:eastAsia="Calibri,Times New Roman" w:hAnsi="Calibri" w:cs="Calibri"/>
          <w:spacing w:val="-1"/>
          <w:sz w:val="22"/>
          <w:szCs w:val="22"/>
        </w:rPr>
        <w:t>T</w:t>
      </w:r>
      <w:r w:rsidRPr="00B81291">
        <w:rPr>
          <w:rFonts w:ascii="Calibri" w:eastAsia="Calibri" w:hAnsi="Calibri" w:cs="Calibri"/>
          <w:color w:val="auto"/>
          <w:spacing w:val="-1"/>
          <w:sz w:val="22"/>
          <w:szCs w:val="22"/>
        </w:rPr>
        <w:t>wo countries</w:t>
      </w:r>
      <w:r w:rsidR="002A7C00" w:rsidRPr="00B81291">
        <w:rPr>
          <w:rFonts w:ascii="Calibri" w:eastAsia="Calibri" w:hAnsi="Calibri" w:cs="Calibri"/>
          <w:color w:val="auto"/>
          <w:spacing w:val="-1"/>
          <w:sz w:val="22"/>
          <w:szCs w:val="22"/>
        </w:rPr>
        <w:t>,</w:t>
      </w:r>
      <w:r w:rsidR="0052316B">
        <w:rPr>
          <w:rFonts w:ascii="Calibri" w:eastAsia="Calibri" w:hAnsi="Calibri" w:cs="Calibri"/>
          <w:color w:val="auto"/>
          <w:spacing w:val="-1"/>
          <w:sz w:val="22"/>
          <w:szCs w:val="22"/>
        </w:rPr>
        <w:t xml:space="preserve"> </w:t>
      </w:r>
      <w:r w:rsidRPr="00B81291">
        <w:rPr>
          <w:rFonts w:ascii="Calibri" w:eastAsia="Calibri" w:hAnsi="Calibri" w:cs="Calibri"/>
          <w:color w:val="auto"/>
          <w:spacing w:val="-1"/>
          <w:sz w:val="22"/>
          <w:szCs w:val="22"/>
        </w:rPr>
        <w:t>Benin and Nigeria</w:t>
      </w:r>
      <w:r w:rsidR="00474FCE" w:rsidRPr="00B81291">
        <w:rPr>
          <w:rFonts w:ascii="Calibri" w:eastAsia="Calibri" w:hAnsi="Calibri" w:cs="Calibri"/>
          <w:color w:val="auto"/>
          <w:spacing w:val="-1"/>
          <w:sz w:val="22"/>
          <w:szCs w:val="22"/>
        </w:rPr>
        <w:t>,</w:t>
      </w:r>
      <w:r w:rsidRPr="00B81291">
        <w:rPr>
          <w:rFonts w:ascii="Calibri" w:eastAsia="Calibri" w:hAnsi="Calibri" w:cs="Calibri"/>
          <w:color w:val="auto"/>
          <w:spacing w:val="-1"/>
          <w:sz w:val="22"/>
          <w:szCs w:val="22"/>
        </w:rPr>
        <w:t xml:space="preserve"> will </w:t>
      </w:r>
      <w:r w:rsidR="00474FCE" w:rsidRPr="00B81291">
        <w:rPr>
          <w:rFonts w:ascii="Calibri" w:eastAsia="Calibri" w:hAnsi="Calibri" w:cs="Calibri"/>
          <w:color w:val="auto"/>
          <w:spacing w:val="-1"/>
          <w:sz w:val="22"/>
          <w:szCs w:val="22"/>
        </w:rPr>
        <w:t>contribute</w:t>
      </w:r>
      <w:r w:rsidRPr="00B81291">
        <w:rPr>
          <w:rFonts w:ascii="Calibri" w:eastAsia="Calibri" w:hAnsi="Calibri" w:cs="Calibri"/>
          <w:color w:val="auto"/>
          <w:spacing w:val="-1"/>
          <w:sz w:val="22"/>
          <w:szCs w:val="22"/>
        </w:rPr>
        <w:t xml:space="preserve"> US$2 million </w:t>
      </w:r>
      <w:r w:rsidR="00474FCE" w:rsidRPr="00B81291">
        <w:rPr>
          <w:rFonts w:ascii="Calibri" w:eastAsia="Calibri" w:hAnsi="Calibri" w:cs="Calibri"/>
          <w:color w:val="auto"/>
          <w:spacing w:val="-1"/>
          <w:sz w:val="22"/>
          <w:szCs w:val="22"/>
        </w:rPr>
        <w:t>and US$4 million, respectively</w:t>
      </w:r>
      <w:r w:rsidR="00567D18" w:rsidRPr="00B81291">
        <w:rPr>
          <w:rFonts w:ascii="Calibri" w:eastAsia="Calibri" w:hAnsi="Calibri" w:cs="Calibri"/>
          <w:color w:val="auto"/>
          <w:spacing w:val="-1"/>
          <w:sz w:val="22"/>
          <w:szCs w:val="22"/>
        </w:rPr>
        <w:t>,</w:t>
      </w:r>
      <w:r w:rsidR="00474FCE" w:rsidRPr="00B81291">
        <w:rPr>
          <w:rFonts w:ascii="Calibri" w:eastAsia="Calibri" w:hAnsi="Calibri" w:cs="Calibri"/>
          <w:color w:val="auto"/>
          <w:spacing w:val="-1"/>
          <w:sz w:val="22"/>
          <w:szCs w:val="22"/>
        </w:rPr>
        <w:t xml:space="preserve"> </w:t>
      </w:r>
      <w:r w:rsidRPr="00B81291">
        <w:rPr>
          <w:rFonts w:ascii="Calibri" w:eastAsia="Calibri" w:hAnsi="Calibri" w:cs="Calibri"/>
          <w:color w:val="auto"/>
          <w:spacing w:val="-1"/>
          <w:sz w:val="22"/>
          <w:szCs w:val="22"/>
        </w:rPr>
        <w:t>to the RSIF</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Times New Roman" w:hAnsi="Calibri" w:cs="Calibri"/>
          <w:spacing w:val="-1"/>
          <w:sz w:val="22"/>
          <w:szCs w:val="22"/>
        </w:rPr>
        <w:t xml:space="preserve"> </w:t>
      </w:r>
      <w:r w:rsidRPr="002E1A3F">
        <w:rPr>
          <w:rFonts w:ascii="Calibri" w:eastAsia="Calibri" w:hAnsi="Calibri" w:cs="Calibri"/>
          <w:spacing w:val="-1"/>
          <w:sz w:val="22"/>
          <w:szCs w:val="22"/>
        </w:rPr>
        <w:t>This sub-component will build institutional capacity to support improvements in the quality and quantity of academic staff in the region’s higher education</w:t>
      </w:r>
      <w:r w:rsidRPr="002E1A3F">
        <w:rPr>
          <w:rFonts w:ascii="Calibri" w:eastAsia="Calibri,Times New Roman" w:hAnsi="Calibri" w:cs="Calibri"/>
          <w:spacing w:val="-1"/>
          <w:sz w:val="22"/>
          <w:szCs w:val="22"/>
        </w:rPr>
        <w:t xml:space="preserve">. </w:t>
      </w:r>
    </w:p>
    <w:p w14:paraId="5C8DBE64"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bCs/>
          <w:spacing w:val="-1"/>
          <w:sz w:val="22"/>
          <w:szCs w:val="22"/>
        </w:rPr>
      </w:pPr>
      <w:r w:rsidRPr="002E1A3F">
        <w:rPr>
          <w:rFonts w:ascii="Calibri" w:eastAsia="Calibri" w:hAnsi="Calibri" w:cs="Calibri"/>
          <w:b/>
          <w:bCs/>
          <w:spacing w:val="-1"/>
          <w:sz w:val="22"/>
          <w:szCs w:val="22"/>
        </w:rPr>
        <w:t>The</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RSIF</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a competitive pan-African Scholarship program, provides PhD scholarships to top-performing master’s</w:t>
      </w:r>
      <w:r w:rsidRPr="002E1A3F">
        <w:rPr>
          <w:rFonts w:ascii="Calibri" w:eastAsia="Calibri,Times New Roman" w:hAnsi="Calibri" w:cs="Calibri"/>
          <w:b/>
          <w:bCs/>
          <w:spacing w:val="-1"/>
          <w:sz w:val="22"/>
          <w:szCs w:val="22"/>
        </w:rPr>
        <w:t xml:space="preserve"> </w:t>
      </w:r>
      <w:r w:rsidRPr="002E1A3F">
        <w:rPr>
          <w:rFonts w:ascii="Calibri" w:eastAsia="Calibri" w:hAnsi="Calibri" w:cs="Calibri"/>
          <w:b/>
          <w:bCs/>
          <w:spacing w:val="-1"/>
          <w:sz w:val="22"/>
          <w:szCs w:val="22"/>
        </w:rPr>
        <w:t xml:space="preserve">students with the aim of </w:t>
      </w:r>
      <w:r w:rsidRPr="002E1A3F">
        <w:rPr>
          <w:rFonts w:ascii="Calibri" w:eastAsia="Times New Roman" w:hAnsi="Calibri" w:cs="Calibri"/>
          <w:b/>
          <w:bCs/>
          <w:color w:val="auto"/>
          <w:sz w:val="22"/>
          <w:szCs w:val="22"/>
          <w:lang w:val="en"/>
        </w:rPr>
        <w:t>creating a strong pipeline of faculty and researchers in applied sciences, engineering and technology fields</w:t>
      </w:r>
      <w:r w:rsidRPr="002E1A3F">
        <w:rPr>
          <w:rFonts w:ascii="Calibri" w:eastAsia="Times New Roman" w:hAnsi="Calibri" w:cs="Calibri"/>
          <w:color w:val="auto"/>
          <w:sz w:val="22"/>
          <w:szCs w:val="22"/>
          <w:lang w:val="en"/>
        </w:rPr>
        <w:t xml:space="preserve">. </w:t>
      </w:r>
      <w:r w:rsidRPr="002E1A3F">
        <w:rPr>
          <w:rFonts w:ascii="Calibri" w:eastAsia="Times New Roman" w:hAnsi="Calibri" w:cs="Calibri"/>
          <w:color w:val="auto"/>
          <w:spacing w:val="-1"/>
          <w:sz w:val="22"/>
          <w:szCs w:val="22"/>
        </w:rPr>
        <w:t>F</w:t>
      </w:r>
      <w:r w:rsidRPr="002E1A3F">
        <w:rPr>
          <w:rFonts w:ascii="Calibri" w:eastAsia="Calibri" w:hAnsi="Calibri" w:cs="Calibri"/>
          <w:color w:val="auto"/>
          <w:spacing w:val="-1"/>
          <w:sz w:val="22"/>
          <w:szCs w:val="22"/>
        </w:rPr>
        <w:t xml:space="preserve">ive countries </w:t>
      </w:r>
      <w:r w:rsidRPr="002E1A3F">
        <w:rPr>
          <w:rFonts w:ascii="Calibri" w:eastAsia="Times New Roman" w:hAnsi="Calibri" w:cs="Calibri"/>
          <w:color w:val="auto"/>
          <w:spacing w:val="-1"/>
          <w:sz w:val="22"/>
          <w:szCs w:val="22"/>
        </w:rPr>
        <w:t>(</w:t>
      </w:r>
      <w:r w:rsidRPr="002E1A3F">
        <w:rPr>
          <w:rFonts w:ascii="Calibri" w:eastAsia="Times New Roman" w:hAnsi="Calibri" w:cs="Calibri"/>
          <w:color w:val="auto"/>
          <w:sz w:val="22"/>
          <w:szCs w:val="22"/>
          <w:lang w:val="en"/>
        </w:rPr>
        <w:t>Côte d’Ivoire, Ethiopia, Kenya, Rwanda and Senegal)</w:t>
      </w:r>
      <w:r w:rsidRPr="002E1A3F">
        <w:rPr>
          <w:rFonts w:ascii="Calibri" w:eastAsia="Open Sans,Arial" w:hAnsi="Calibri" w:cs="Calibri"/>
          <w:color w:val="auto"/>
          <w:sz w:val="27"/>
          <w:szCs w:val="27"/>
          <w:lang w:val="en"/>
        </w:rPr>
        <w:t xml:space="preserve"> </w:t>
      </w:r>
      <w:r w:rsidRPr="002E1A3F">
        <w:rPr>
          <w:rFonts w:ascii="Calibri" w:eastAsia="Calibri" w:hAnsi="Calibri" w:cs="Calibri"/>
          <w:color w:val="auto"/>
          <w:spacing w:val="-1"/>
          <w:sz w:val="22"/>
          <w:szCs w:val="22"/>
        </w:rPr>
        <w:t>have taken the lead in committing US$2 million each to the RSIF established by African governments in 2015.</w:t>
      </w:r>
      <w:r w:rsidR="00D64F3A">
        <w:rPr>
          <w:rFonts w:ascii="Calibri" w:eastAsia="Times New Roman" w:hAnsi="Calibri" w:cs="Calibri"/>
          <w:color w:val="auto"/>
          <w:sz w:val="22"/>
          <w:szCs w:val="22"/>
          <w:lang w:val="en"/>
        </w:rPr>
        <w:t xml:space="preserve"> </w:t>
      </w:r>
      <w:r w:rsidRPr="002E1A3F">
        <w:rPr>
          <w:rFonts w:ascii="Calibri" w:eastAsia="Times New Roman" w:hAnsi="Calibri" w:cs="Calibri"/>
          <w:color w:val="auto"/>
          <w:sz w:val="22"/>
          <w:szCs w:val="22"/>
          <w:lang w:val="en"/>
        </w:rPr>
        <w:t>T</w:t>
      </w:r>
      <w:r w:rsidRPr="002E1A3F">
        <w:rPr>
          <w:rFonts w:ascii="Calibri" w:eastAsia="Calibri" w:hAnsi="Calibri" w:cs="Calibri"/>
          <w:color w:val="auto"/>
          <w:spacing w:val="-1"/>
          <w:sz w:val="22"/>
          <w:szCs w:val="22"/>
        </w:rPr>
        <w:t>he World Bank-financed</w:t>
      </w:r>
      <w:r w:rsidRPr="002E1A3F">
        <w:rPr>
          <w:rFonts w:ascii="Calibri" w:eastAsia="Calibri,Times New Roman" w:hAnsi="Calibri" w:cs="Calibri"/>
          <w:color w:val="auto"/>
          <w:spacing w:val="-1"/>
          <w:sz w:val="22"/>
          <w:szCs w:val="22"/>
        </w:rPr>
        <w:t xml:space="preserve"> </w:t>
      </w:r>
      <w:r w:rsidR="0088158F">
        <w:rPr>
          <w:rFonts w:ascii="Calibri" w:eastAsia="Calibri,Times New Roman" w:hAnsi="Calibri" w:cs="Calibri"/>
          <w:color w:val="auto"/>
          <w:spacing w:val="-1"/>
          <w:sz w:val="22"/>
          <w:szCs w:val="22"/>
        </w:rPr>
        <w:t>R</w:t>
      </w:r>
      <w:r w:rsidRPr="002E1A3F">
        <w:rPr>
          <w:rFonts w:ascii="Calibri" w:eastAsia="Calibri,Times New Roman" w:hAnsi="Calibri" w:cs="Calibri"/>
          <w:color w:val="auto"/>
          <w:spacing w:val="-1"/>
          <w:sz w:val="22"/>
          <w:szCs w:val="22"/>
        </w:rPr>
        <w:t xml:space="preserve">SIF </w:t>
      </w:r>
      <w:r w:rsidR="00DB1B80">
        <w:rPr>
          <w:rFonts w:ascii="Calibri" w:eastAsia="Calibri,Times New Roman" w:hAnsi="Calibri" w:cs="Calibri"/>
          <w:color w:val="auto"/>
          <w:spacing w:val="-1"/>
          <w:sz w:val="22"/>
          <w:szCs w:val="22"/>
        </w:rPr>
        <w:t>P</w:t>
      </w:r>
      <w:r w:rsidRPr="002E1A3F">
        <w:rPr>
          <w:rFonts w:ascii="Calibri" w:eastAsia="Calibri,Times New Roman" w:hAnsi="Calibri" w:cs="Calibri"/>
          <w:color w:val="auto"/>
          <w:spacing w:val="-1"/>
          <w:sz w:val="22"/>
          <w:szCs w:val="22"/>
        </w:rPr>
        <w:t>roject</w:t>
      </w:r>
      <w:r w:rsidR="0088158F">
        <w:rPr>
          <w:rFonts w:ascii="Calibri" w:eastAsia="Calibri,Times New Roman" w:hAnsi="Calibri" w:cs="Calibri"/>
          <w:color w:val="auto"/>
          <w:spacing w:val="-1"/>
          <w:sz w:val="22"/>
          <w:szCs w:val="22"/>
        </w:rPr>
        <w:t xml:space="preserve"> (</w:t>
      </w:r>
      <w:r w:rsidRPr="002E1A3F">
        <w:rPr>
          <w:rFonts w:ascii="Calibri" w:eastAsia="Calibri" w:hAnsi="Calibri" w:cs="Calibri"/>
          <w:color w:val="auto"/>
          <w:spacing w:val="-1"/>
          <w:sz w:val="22"/>
          <w:szCs w:val="22"/>
        </w:rPr>
        <w:t>P165581</w:t>
      </w:r>
      <w:r w:rsidRPr="002E1A3F">
        <w:rPr>
          <w:rFonts w:ascii="Calibri" w:eastAsia="Calibri,Times New Roman" w:hAnsi="Calibri" w:cs="Calibri"/>
          <w:color w:val="auto"/>
          <w:spacing w:val="-1"/>
          <w:sz w:val="22"/>
          <w:szCs w:val="22"/>
        </w:rPr>
        <w:t xml:space="preserve">), </w:t>
      </w:r>
      <w:r w:rsidRPr="002E1A3F">
        <w:rPr>
          <w:rFonts w:ascii="Calibri" w:eastAsia="Calibri" w:hAnsi="Calibri" w:cs="Calibri"/>
          <w:color w:val="auto"/>
          <w:spacing w:val="-1"/>
          <w:sz w:val="22"/>
          <w:szCs w:val="22"/>
        </w:rPr>
        <w:t>approved in 2018</w:t>
      </w:r>
      <w:r w:rsidRPr="002E1A3F">
        <w:rPr>
          <w:rFonts w:ascii="Calibri" w:eastAsia="Calibri,Times New Roman" w:hAnsi="Calibri" w:cs="Calibri"/>
          <w:color w:val="auto"/>
          <w:spacing w:val="-1"/>
          <w:sz w:val="22"/>
          <w:szCs w:val="22"/>
        </w:rPr>
        <w:t>,</w:t>
      </w:r>
      <w:r w:rsidRPr="002E1A3F">
        <w:rPr>
          <w:rFonts w:ascii="Calibri" w:eastAsia="Calibri" w:hAnsi="Calibri" w:cs="Calibri"/>
          <w:color w:val="auto"/>
          <w:spacing w:val="-1"/>
          <w:sz w:val="22"/>
          <w:szCs w:val="22"/>
        </w:rPr>
        <w:t xml:space="preserve"> received US$15 million</w:t>
      </w:r>
      <w:r w:rsidRPr="002E1A3F">
        <w:rPr>
          <w:rFonts w:ascii="Calibri" w:eastAsia="Calibri,Times New Roman" w:hAnsi="Calibri" w:cs="Calibri"/>
          <w:color w:val="auto"/>
          <w:spacing w:val="-1"/>
          <w:sz w:val="22"/>
          <w:szCs w:val="22"/>
        </w:rPr>
        <w:t xml:space="preserve"> </w:t>
      </w:r>
      <w:r w:rsidRPr="002E1A3F">
        <w:rPr>
          <w:rFonts w:ascii="Calibri" w:eastAsia="Calibri" w:hAnsi="Calibri" w:cs="Calibri"/>
          <w:color w:val="auto"/>
          <w:spacing w:val="-1"/>
          <w:sz w:val="22"/>
          <w:szCs w:val="22"/>
        </w:rPr>
        <w:t>and US$10 million from the World Bank and South Korea, respectively. Under the First ACE Impact</w:t>
      </w:r>
      <w:r w:rsidR="00DB1B80">
        <w:rPr>
          <w:rFonts w:ascii="Calibri" w:eastAsia="Calibri" w:hAnsi="Calibri" w:cs="Calibri"/>
          <w:color w:val="auto"/>
          <w:spacing w:val="-1"/>
          <w:sz w:val="22"/>
          <w:szCs w:val="22"/>
        </w:rPr>
        <w:t xml:space="preserve"> Project</w:t>
      </w:r>
      <w:r w:rsidRPr="002E1A3F">
        <w:rPr>
          <w:rFonts w:ascii="Calibri" w:eastAsia="Calibri" w:hAnsi="Calibri" w:cs="Calibri"/>
          <w:color w:val="auto"/>
          <w:spacing w:val="-1"/>
          <w:sz w:val="22"/>
          <w:szCs w:val="22"/>
        </w:rPr>
        <w:t xml:space="preserve">, Burkina Faso, Ghana and Senegal </w:t>
      </w:r>
      <w:r w:rsidR="00B56FC8">
        <w:rPr>
          <w:rFonts w:ascii="Calibri" w:eastAsia="Calibri" w:hAnsi="Calibri" w:cs="Calibri"/>
          <w:color w:val="auto"/>
          <w:spacing w:val="-1"/>
          <w:sz w:val="22"/>
          <w:szCs w:val="22"/>
        </w:rPr>
        <w:t>will</w:t>
      </w:r>
      <w:r w:rsidRPr="002E1A3F">
        <w:rPr>
          <w:rFonts w:ascii="Calibri" w:eastAsia="Calibri" w:hAnsi="Calibri" w:cs="Calibri"/>
          <w:color w:val="auto"/>
          <w:spacing w:val="-1"/>
          <w:sz w:val="22"/>
          <w:szCs w:val="22"/>
        </w:rPr>
        <w:t xml:space="preserve"> contribut</w:t>
      </w:r>
      <w:r w:rsidR="00B56FC8">
        <w:rPr>
          <w:rFonts w:ascii="Calibri" w:eastAsia="Calibri" w:hAnsi="Calibri" w:cs="Calibri"/>
          <w:color w:val="auto"/>
          <w:spacing w:val="-1"/>
          <w:sz w:val="22"/>
          <w:szCs w:val="22"/>
        </w:rPr>
        <w:t>e</w:t>
      </w:r>
      <w:r w:rsidRPr="002E1A3F">
        <w:rPr>
          <w:rFonts w:ascii="Calibri" w:eastAsia="Calibri" w:hAnsi="Calibri" w:cs="Calibri"/>
          <w:color w:val="auto"/>
          <w:spacing w:val="-1"/>
          <w:sz w:val="22"/>
          <w:szCs w:val="22"/>
        </w:rPr>
        <w:t xml:space="preserve"> US$2 million each to the RSIF. The RSIF seeks to serve as a pan-African platform that will scale</w:t>
      </w:r>
      <w:r w:rsidR="00D64F3A">
        <w:rPr>
          <w:rFonts w:ascii="Calibri" w:eastAsia="Calibri" w:hAnsi="Calibri" w:cs="Calibri"/>
          <w:color w:val="auto"/>
          <w:spacing w:val="-1"/>
          <w:sz w:val="22"/>
          <w:szCs w:val="22"/>
        </w:rPr>
        <w:t>-</w:t>
      </w:r>
      <w:r w:rsidRPr="002E1A3F">
        <w:rPr>
          <w:rFonts w:ascii="Calibri" w:eastAsia="Calibri" w:hAnsi="Calibri" w:cs="Calibri"/>
          <w:color w:val="auto"/>
          <w:spacing w:val="-1"/>
          <w:sz w:val="22"/>
          <w:szCs w:val="22"/>
        </w:rPr>
        <w:t>up the African</w:t>
      </w:r>
      <w:r w:rsidRPr="002E1A3F">
        <w:rPr>
          <w:rFonts w:ascii="Calibri" w:eastAsia="Calibri,Times New Roman" w:hAnsi="Calibri" w:cs="Calibri"/>
          <w:color w:val="auto"/>
          <w:spacing w:val="-1"/>
          <w:sz w:val="22"/>
          <w:szCs w:val="22"/>
        </w:rPr>
        <w:t>-</w:t>
      </w:r>
      <w:r w:rsidRPr="002E1A3F">
        <w:rPr>
          <w:rFonts w:ascii="Calibri" w:eastAsia="Calibri" w:hAnsi="Calibri" w:cs="Calibri"/>
          <w:color w:val="auto"/>
          <w:spacing w:val="-1"/>
          <w:sz w:val="22"/>
          <w:szCs w:val="22"/>
        </w:rPr>
        <w:t>led fund to finance the continent</w:t>
      </w:r>
      <w:r w:rsidRPr="002E1A3F">
        <w:rPr>
          <w:rFonts w:ascii="Calibri" w:eastAsia="Calibri,Times New Roman" w:hAnsi="Calibri" w:cs="Calibri"/>
          <w:color w:val="auto"/>
          <w:spacing w:val="-1"/>
          <w:sz w:val="22"/>
          <w:szCs w:val="22"/>
        </w:rPr>
        <w:t>’</w:t>
      </w:r>
      <w:r w:rsidRPr="002E1A3F">
        <w:rPr>
          <w:rFonts w:ascii="Calibri" w:eastAsia="Calibri" w:hAnsi="Calibri" w:cs="Calibri"/>
          <w:color w:val="auto"/>
          <w:spacing w:val="-1"/>
          <w:sz w:val="22"/>
          <w:szCs w:val="22"/>
        </w:rPr>
        <w:t>s top students in S&amp;T to pursue their studies in Africa, while providing them with opportunities through a sandwich program</w:t>
      </w:r>
      <w:r>
        <w:rPr>
          <w:rFonts w:ascii="Calibri" w:eastAsia="Calibri" w:hAnsi="Calibri" w:cs="Calibri"/>
          <w:color w:val="auto"/>
          <w:spacing w:val="-1"/>
          <w:sz w:val="22"/>
          <w:szCs w:val="22"/>
          <w:vertAlign w:val="superscript"/>
        </w:rPr>
        <w:footnoteReference w:id="15"/>
      </w:r>
      <w:r w:rsidRPr="002E1A3F">
        <w:rPr>
          <w:rFonts w:ascii="Calibri" w:eastAsia="Calibri" w:hAnsi="Calibri" w:cs="Calibri"/>
          <w:color w:val="auto"/>
          <w:spacing w:val="-1"/>
          <w:sz w:val="22"/>
          <w:szCs w:val="22"/>
        </w:rPr>
        <w:t xml:space="preserve"> to</w:t>
      </w:r>
      <w:r w:rsidRPr="002E1A3F">
        <w:rPr>
          <w:rFonts w:ascii="Calibri,Times New Roman" w:eastAsia="Calibri,Times New Roman" w:hAnsi="Calibri,Times New Roman" w:cs="Calibri,Times New Roman"/>
          <w:color w:val="auto"/>
          <w:spacing w:val="-1"/>
          <w:sz w:val="22"/>
          <w:szCs w:val="22"/>
        </w:rPr>
        <w:t xml:space="preserve"> </w:t>
      </w:r>
      <w:r w:rsidRPr="002E1A3F">
        <w:rPr>
          <w:rFonts w:ascii="Calibri" w:eastAsia="Calibri" w:hAnsi="Calibri" w:cs="Calibri"/>
          <w:color w:val="auto"/>
          <w:spacing w:val="-1"/>
          <w:sz w:val="22"/>
          <w:szCs w:val="22"/>
        </w:rPr>
        <w:t xml:space="preserve">carry out part of their research at top international partner institutions. </w:t>
      </w:r>
      <w:r w:rsidRPr="002E1A3F">
        <w:rPr>
          <w:rFonts w:ascii="Calibri" w:eastAsia="Calibri" w:hAnsi="Calibri" w:cs="Calibri"/>
          <w:spacing w:val="-1"/>
          <w:sz w:val="22"/>
          <w:szCs w:val="22"/>
        </w:rPr>
        <w:t xml:space="preserve">Under the Second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xml:space="preserve">, the funds allocated to the RSIF will be disbursed directly to the RSIF established and managed under the RSIF project, pursuant to subsidiary agreements signed between each contributing country and the implementing entity of the Fund (the </w:t>
      </w:r>
      <w:r w:rsidRPr="002E1A3F">
        <w:rPr>
          <w:rFonts w:ascii="Calibri" w:eastAsia="Times New Roman" w:hAnsi="Calibri" w:cs="Calibri"/>
          <w:color w:val="auto"/>
          <w:sz w:val="22"/>
          <w:szCs w:val="22"/>
          <w:lang w:eastAsia="ja-JP"/>
        </w:rPr>
        <w:t>International Center of Insect Physiology and Ecology-</w:t>
      </w:r>
      <w:bookmarkStart w:id="100" w:name="_Hlk511914905"/>
      <w:r w:rsidRPr="002E1A3F">
        <w:rPr>
          <w:rFonts w:ascii="Calibri" w:eastAsia="Times New Roman" w:hAnsi="Calibri" w:cs="Calibri"/>
          <w:color w:val="auto"/>
          <w:sz w:val="22"/>
          <w:szCs w:val="22"/>
          <w:lang w:eastAsia="ja-JP"/>
        </w:rPr>
        <w:t xml:space="preserve"> </w:t>
      </w:r>
      <w:r w:rsidRPr="002E1A3F">
        <w:rPr>
          <w:rFonts w:ascii="Calibri" w:eastAsia="Times New Roman" w:hAnsi="Calibri" w:cs="Calibri"/>
          <w:i/>
          <w:color w:val="auto"/>
          <w:sz w:val="22"/>
          <w:szCs w:val="22"/>
          <w:lang w:eastAsia="ja-JP"/>
        </w:rPr>
        <w:t>icipe</w:t>
      </w:r>
      <w:bookmarkEnd w:id="100"/>
      <w:r w:rsidRPr="002E1A3F">
        <w:rPr>
          <w:rFonts w:ascii="Calibri" w:eastAsia="Times New Roman" w:hAnsi="Calibri" w:cs="Calibri"/>
          <w:color w:val="auto"/>
          <w:sz w:val="22"/>
          <w:szCs w:val="22"/>
          <w:lang w:eastAsia="ja-JP"/>
        </w:rPr>
        <w:t>)</w:t>
      </w:r>
      <w:r w:rsidRPr="002E1A3F">
        <w:rPr>
          <w:rFonts w:ascii="Calibri" w:eastAsia="Calibri" w:hAnsi="Calibri" w:cs="Calibri"/>
          <w:spacing w:val="-1"/>
          <w:sz w:val="22"/>
          <w:szCs w:val="22"/>
        </w:rPr>
        <w:t xml:space="preserve">. The RSIF project will be responsible for supervision (including technical, fiduciary and safeguards) of all funds transferred to the Fund from the Second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The RSIF team will provide data on key indicators</w:t>
      </w:r>
      <w:r w:rsidRPr="002E1A3F">
        <w:rPr>
          <w:rFonts w:ascii="Calibri" w:eastAsia="Calibri" w:hAnsi="Calibri" w:cs="Times New Roman"/>
          <w:color w:val="auto"/>
          <w:sz w:val="22"/>
          <w:szCs w:val="22"/>
        </w:rPr>
        <w:t xml:space="preserve"> to report on progress in the Second </w:t>
      </w:r>
      <w:r w:rsidR="00BB4A89">
        <w:rPr>
          <w:rFonts w:ascii="Calibri" w:eastAsia="Calibri" w:hAnsi="Calibri" w:cs="Times New Roman"/>
          <w:color w:val="auto"/>
          <w:sz w:val="22"/>
          <w:szCs w:val="22"/>
        </w:rPr>
        <w:t xml:space="preserve">ACE Impact </w:t>
      </w:r>
      <w:r w:rsidR="00BB4A89" w:rsidRPr="000415E8">
        <w:rPr>
          <w:rFonts w:ascii="Calibri" w:eastAsia="Calibri" w:hAnsi="Calibri" w:cs="Times New Roman"/>
          <w:color w:val="auto"/>
          <w:sz w:val="22"/>
          <w:szCs w:val="22"/>
        </w:rPr>
        <w:t>Project</w:t>
      </w:r>
      <w:r w:rsidRPr="000415E8">
        <w:rPr>
          <w:rFonts w:ascii="Calibri" w:eastAsia="Calibri" w:hAnsi="Calibri" w:cs="Times New Roman"/>
          <w:color w:val="auto"/>
          <w:sz w:val="22"/>
          <w:szCs w:val="22"/>
        </w:rPr>
        <w:t>’s</w:t>
      </w:r>
      <w:r w:rsidR="00911CF5">
        <w:rPr>
          <w:rFonts w:ascii="Calibri" w:eastAsia="Calibri" w:hAnsi="Calibri" w:cs="Times New Roman"/>
          <w:color w:val="auto"/>
          <w:sz w:val="22"/>
          <w:szCs w:val="22"/>
        </w:rPr>
        <w:t xml:space="preserve"> </w:t>
      </w:r>
      <w:hyperlink r:id="rId27" w:tgtFrame="_blank" w:history="1">
        <w:r w:rsidR="00F552C3" w:rsidRPr="0096257F">
          <w:rPr>
            <w:rFonts w:ascii="Calibri" w:eastAsia="Calibri" w:hAnsi="Calibri" w:cs="Times New Roman"/>
            <w:i/>
            <w:color w:val="auto"/>
            <w:sz w:val="22"/>
            <w:szCs w:val="22"/>
          </w:rPr>
          <w:t>Implementation Status and Results Report</w:t>
        </w:r>
        <w:r w:rsidR="0012747A">
          <w:rPr>
            <w:rFonts w:ascii="Calibri" w:eastAsia="Calibri" w:hAnsi="Calibri" w:cs="Times New Roman"/>
            <w:i/>
            <w:color w:val="auto"/>
            <w:sz w:val="22"/>
            <w:szCs w:val="22"/>
          </w:rPr>
          <w:t>s</w:t>
        </w:r>
        <w:r w:rsidR="00F552C3" w:rsidRPr="0096257F">
          <w:rPr>
            <w:rFonts w:ascii="Calibri" w:eastAsia="Calibri" w:hAnsi="Calibri" w:cs="Times New Roman"/>
            <w:i/>
            <w:color w:val="auto"/>
            <w:sz w:val="22"/>
            <w:szCs w:val="22"/>
          </w:rPr>
          <w:t xml:space="preserve"> (ISR</w:t>
        </w:r>
      </w:hyperlink>
      <w:r w:rsidR="0012747A">
        <w:rPr>
          <w:rFonts w:ascii="Calibri" w:eastAsia="Calibri" w:hAnsi="Calibri" w:cs="Times New Roman"/>
          <w:i/>
          <w:color w:val="auto"/>
          <w:sz w:val="22"/>
          <w:szCs w:val="22"/>
        </w:rPr>
        <w:t>s</w:t>
      </w:r>
      <w:r w:rsidR="00F552C3" w:rsidRPr="0096257F">
        <w:rPr>
          <w:rFonts w:ascii="Calibri" w:eastAsia="Calibri" w:hAnsi="Calibri" w:cs="Times New Roman"/>
          <w:color w:val="auto"/>
          <w:sz w:val="22"/>
          <w:szCs w:val="22"/>
        </w:rPr>
        <w:t xml:space="preserve">) and </w:t>
      </w:r>
      <w:hyperlink r:id="rId28" w:tgtFrame="_blank" w:history="1">
        <w:r w:rsidR="00F552C3" w:rsidRPr="0096257F">
          <w:rPr>
            <w:rFonts w:ascii="Calibri" w:eastAsia="Calibri" w:hAnsi="Calibri" w:cs="Times New Roman"/>
            <w:i/>
            <w:color w:val="auto"/>
            <w:sz w:val="22"/>
            <w:szCs w:val="22"/>
          </w:rPr>
          <w:t>Implementation Completion and Results Report (ICR</w:t>
        </w:r>
      </w:hyperlink>
      <w:r w:rsidR="00F552C3" w:rsidRPr="0096257F">
        <w:rPr>
          <w:rFonts w:ascii="Calibri" w:eastAsia="Calibri" w:hAnsi="Calibri" w:cs="Times New Roman"/>
          <w:color w:val="auto"/>
          <w:sz w:val="22"/>
          <w:szCs w:val="22"/>
        </w:rPr>
        <w:t>)</w:t>
      </w:r>
      <w:r w:rsidRPr="000415E8">
        <w:rPr>
          <w:rFonts w:ascii="Calibri" w:eastAsia="Calibri" w:hAnsi="Calibri" w:cs="Times New Roman"/>
          <w:color w:val="auto"/>
          <w:sz w:val="22"/>
          <w:szCs w:val="22"/>
        </w:rPr>
        <w:t>.</w:t>
      </w:r>
    </w:p>
    <w:p w14:paraId="44CDDFD7" w14:textId="77777777" w:rsidR="002E1A3F" w:rsidRPr="002E1A3F" w:rsidRDefault="00B00100" w:rsidP="001118F8">
      <w:pPr>
        <w:spacing w:after="240"/>
        <w:jc w:val="both"/>
        <w:rPr>
          <w:rFonts w:ascii="Calibri" w:eastAsia="Times New Roman" w:hAnsi="Calibri" w:cs="Calibri"/>
          <w:b/>
          <w:bCs/>
          <w:color w:val="2E74B5"/>
          <w:sz w:val="22"/>
          <w:szCs w:val="22"/>
        </w:rPr>
      </w:pPr>
      <w:r w:rsidRPr="002E1A3F">
        <w:rPr>
          <w:rFonts w:ascii="Calibri" w:eastAsia="Times New Roman" w:hAnsi="Calibri" w:cs="Calibri"/>
          <w:b/>
          <w:bCs/>
          <w:color w:val="2E74B5"/>
          <w:sz w:val="22"/>
          <w:szCs w:val="22"/>
        </w:rPr>
        <w:t xml:space="preserve">Component 3:  Enhancing </w:t>
      </w:r>
      <w:r w:rsidR="00A80F45">
        <w:rPr>
          <w:rFonts w:ascii="Calibri" w:eastAsia="Times New Roman" w:hAnsi="Calibri" w:cs="Calibri"/>
          <w:b/>
          <w:bCs/>
          <w:color w:val="2E74B5"/>
          <w:sz w:val="22"/>
          <w:szCs w:val="22"/>
        </w:rPr>
        <w:t>n</w:t>
      </w:r>
      <w:r w:rsidRPr="002E1A3F">
        <w:rPr>
          <w:rFonts w:ascii="Calibri" w:eastAsia="Times New Roman" w:hAnsi="Calibri" w:cs="Calibri"/>
          <w:b/>
          <w:bCs/>
          <w:color w:val="2E74B5"/>
          <w:sz w:val="22"/>
          <w:szCs w:val="22"/>
        </w:rPr>
        <w:t xml:space="preserve">ational </w:t>
      </w:r>
      <w:r w:rsidR="00053425">
        <w:rPr>
          <w:rFonts w:ascii="Calibri" w:eastAsia="Times New Roman" w:hAnsi="Calibri" w:cs="Calibri"/>
          <w:b/>
          <w:bCs/>
          <w:color w:val="2E74B5"/>
          <w:sz w:val="22"/>
          <w:szCs w:val="22"/>
        </w:rPr>
        <w:t xml:space="preserve">and </w:t>
      </w:r>
      <w:r w:rsidR="00A80F45">
        <w:rPr>
          <w:rFonts w:ascii="Calibri" w:eastAsia="Times New Roman" w:hAnsi="Calibri" w:cs="Calibri"/>
          <w:b/>
          <w:bCs/>
          <w:color w:val="2E74B5"/>
          <w:sz w:val="22"/>
          <w:szCs w:val="22"/>
        </w:rPr>
        <w:t>r</w:t>
      </w:r>
      <w:r w:rsidR="00053425">
        <w:rPr>
          <w:rFonts w:ascii="Calibri" w:eastAsia="Times New Roman" w:hAnsi="Calibri" w:cs="Calibri"/>
          <w:b/>
          <w:bCs/>
          <w:color w:val="2E74B5"/>
          <w:sz w:val="22"/>
          <w:szCs w:val="22"/>
        </w:rPr>
        <w:t xml:space="preserve">egional </w:t>
      </w:r>
      <w:r w:rsidR="00A80F45">
        <w:rPr>
          <w:rFonts w:ascii="Calibri" w:eastAsia="Times New Roman" w:hAnsi="Calibri" w:cs="Calibri"/>
          <w:b/>
          <w:bCs/>
          <w:color w:val="2E74B5"/>
          <w:sz w:val="22"/>
          <w:szCs w:val="22"/>
        </w:rPr>
        <w:t>l</w:t>
      </w:r>
      <w:r w:rsidR="00053425">
        <w:rPr>
          <w:rFonts w:ascii="Calibri" w:eastAsia="Times New Roman" w:hAnsi="Calibri" w:cs="Calibri"/>
          <w:b/>
          <w:bCs/>
          <w:color w:val="2E74B5"/>
          <w:sz w:val="22"/>
          <w:szCs w:val="22"/>
        </w:rPr>
        <w:t xml:space="preserve">evel </w:t>
      </w:r>
      <w:r w:rsidR="00A80F45">
        <w:rPr>
          <w:rFonts w:ascii="Calibri" w:eastAsia="Times New Roman" w:hAnsi="Calibri" w:cs="Calibri"/>
          <w:b/>
          <w:bCs/>
          <w:color w:val="2E74B5"/>
          <w:sz w:val="22"/>
          <w:szCs w:val="22"/>
        </w:rPr>
        <w:t>p</w:t>
      </w:r>
      <w:r w:rsidRPr="002E1A3F">
        <w:rPr>
          <w:rFonts w:ascii="Calibri" w:eastAsia="Times New Roman" w:hAnsi="Calibri" w:cs="Calibri"/>
          <w:b/>
          <w:bCs/>
          <w:color w:val="2E74B5"/>
          <w:sz w:val="22"/>
          <w:szCs w:val="22"/>
        </w:rPr>
        <w:t xml:space="preserve">roject </w:t>
      </w:r>
      <w:r w:rsidR="00A80F45">
        <w:rPr>
          <w:rFonts w:ascii="Calibri" w:eastAsia="Times New Roman" w:hAnsi="Calibri" w:cs="Calibri"/>
          <w:b/>
          <w:bCs/>
          <w:color w:val="2E74B5"/>
          <w:sz w:val="22"/>
          <w:szCs w:val="22"/>
        </w:rPr>
        <w:t>f</w:t>
      </w:r>
      <w:r w:rsidRPr="002E1A3F">
        <w:rPr>
          <w:rFonts w:ascii="Calibri" w:eastAsia="Times New Roman" w:hAnsi="Calibri" w:cs="Calibri"/>
          <w:b/>
          <w:bCs/>
          <w:color w:val="2E74B5"/>
          <w:sz w:val="22"/>
          <w:szCs w:val="22"/>
        </w:rPr>
        <w:t xml:space="preserve">acilitation, and </w:t>
      </w:r>
      <w:r w:rsidR="00A80F45">
        <w:rPr>
          <w:rFonts w:ascii="Calibri" w:eastAsia="Times New Roman" w:hAnsi="Calibri" w:cs="Calibri"/>
          <w:b/>
          <w:bCs/>
          <w:color w:val="2E74B5"/>
          <w:sz w:val="22"/>
          <w:szCs w:val="22"/>
        </w:rPr>
        <w:t>m</w:t>
      </w:r>
      <w:r w:rsidRPr="002E1A3F">
        <w:rPr>
          <w:rFonts w:ascii="Calibri" w:eastAsia="Times New Roman" w:hAnsi="Calibri" w:cs="Calibri"/>
          <w:b/>
          <w:bCs/>
          <w:color w:val="2E74B5"/>
          <w:sz w:val="22"/>
          <w:szCs w:val="22"/>
        </w:rPr>
        <w:t xml:space="preserve">onitoring and </w:t>
      </w:r>
      <w:r w:rsidR="00A80F45">
        <w:rPr>
          <w:rFonts w:ascii="Calibri" w:eastAsia="Times New Roman" w:hAnsi="Calibri" w:cs="Calibri"/>
          <w:b/>
          <w:bCs/>
          <w:color w:val="2E74B5"/>
          <w:sz w:val="22"/>
          <w:szCs w:val="22"/>
        </w:rPr>
        <w:t>e</w:t>
      </w:r>
      <w:r w:rsidRPr="002E1A3F">
        <w:rPr>
          <w:rFonts w:ascii="Calibri" w:eastAsia="Times New Roman" w:hAnsi="Calibri" w:cs="Calibri"/>
          <w:b/>
          <w:bCs/>
          <w:color w:val="2E74B5"/>
          <w:sz w:val="22"/>
          <w:szCs w:val="22"/>
        </w:rPr>
        <w:t>valuation (</w:t>
      </w:r>
      <w:r w:rsidRPr="006C70A5">
        <w:rPr>
          <w:rFonts w:ascii="Calibri" w:eastAsia="Times New Roman" w:hAnsi="Calibri" w:cs="Calibri"/>
          <w:b/>
          <w:bCs/>
          <w:i/>
          <w:color w:val="2E74B5"/>
          <w:sz w:val="22"/>
          <w:szCs w:val="22"/>
        </w:rPr>
        <w:t>Total: US$</w:t>
      </w:r>
      <w:r w:rsidR="00412B1B" w:rsidRPr="006C70A5">
        <w:rPr>
          <w:rFonts w:ascii="Calibri" w:eastAsia="Times New Roman" w:hAnsi="Calibri" w:cs="Calibri"/>
          <w:b/>
          <w:bCs/>
          <w:i/>
          <w:color w:val="2E74B5"/>
          <w:sz w:val="22"/>
          <w:szCs w:val="22"/>
        </w:rPr>
        <w:t>1</w:t>
      </w:r>
      <w:r w:rsidR="00C84BCD" w:rsidRPr="006C70A5">
        <w:rPr>
          <w:rFonts w:ascii="Calibri" w:eastAsia="Times New Roman" w:hAnsi="Calibri" w:cs="Calibri"/>
          <w:b/>
          <w:bCs/>
          <w:i/>
          <w:color w:val="2E74B5"/>
          <w:sz w:val="22"/>
          <w:szCs w:val="22"/>
        </w:rPr>
        <w:t>2</w:t>
      </w:r>
      <w:r w:rsidR="00412B1B" w:rsidRPr="006C70A5">
        <w:rPr>
          <w:rFonts w:ascii="Calibri" w:eastAsia="Times New Roman" w:hAnsi="Calibri" w:cs="Calibri"/>
          <w:b/>
          <w:bCs/>
          <w:i/>
          <w:color w:val="2E74B5"/>
          <w:sz w:val="22"/>
          <w:szCs w:val="22"/>
        </w:rPr>
        <w:t>.5</w:t>
      </w:r>
      <w:r w:rsidRPr="006C70A5">
        <w:rPr>
          <w:rFonts w:ascii="Calibri" w:eastAsia="Times New Roman" w:hAnsi="Calibri" w:cs="Calibri"/>
          <w:b/>
          <w:bCs/>
          <w:i/>
          <w:color w:val="2E74B5"/>
          <w:sz w:val="22"/>
          <w:szCs w:val="22"/>
        </w:rPr>
        <w:t xml:space="preserve"> million </w:t>
      </w:r>
      <w:r w:rsidR="00263D9A" w:rsidRPr="006C70A5">
        <w:rPr>
          <w:rFonts w:ascii="Calibri" w:eastAsia="Times New Roman" w:hAnsi="Calibri" w:cs="Calibri"/>
          <w:b/>
          <w:bCs/>
          <w:i/>
          <w:color w:val="2E74B5"/>
          <w:sz w:val="22"/>
          <w:szCs w:val="22"/>
        </w:rPr>
        <w:t xml:space="preserve">equivalent </w:t>
      </w:r>
      <w:r w:rsidRPr="006C70A5">
        <w:rPr>
          <w:rFonts w:ascii="Calibri" w:eastAsia="Times New Roman" w:hAnsi="Calibri" w:cs="Calibri"/>
          <w:b/>
          <w:bCs/>
          <w:i/>
          <w:color w:val="2E74B5"/>
          <w:sz w:val="22"/>
          <w:szCs w:val="22"/>
        </w:rPr>
        <w:t>IDA</w:t>
      </w:r>
      <w:r w:rsidRPr="002E1A3F">
        <w:rPr>
          <w:rFonts w:ascii="Calibri" w:eastAsia="Times New Roman" w:hAnsi="Calibri" w:cs="Calibri"/>
          <w:b/>
          <w:bCs/>
          <w:color w:val="2E74B5"/>
          <w:sz w:val="22"/>
          <w:szCs w:val="22"/>
        </w:rPr>
        <w:t>)</w:t>
      </w:r>
    </w:p>
    <w:p w14:paraId="291108F5" w14:textId="77777777" w:rsidR="006F24FC" w:rsidRPr="00775276" w:rsidRDefault="00B00100">
      <w:pPr>
        <w:tabs>
          <w:tab w:val="left" w:pos="0"/>
          <w:tab w:val="left" w:pos="720"/>
        </w:tabs>
        <w:spacing w:before="120" w:after="120"/>
        <w:jc w:val="both"/>
        <w:rPr>
          <w:rFonts w:ascii="Calibri" w:eastAsia="Calibri" w:hAnsi="Calibri" w:cs="Calibri"/>
          <w:bCs/>
          <w:spacing w:val="-1"/>
          <w:sz w:val="22"/>
          <w:szCs w:val="22"/>
        </w:rPr>
      </w:pPr>
      <w:r w:rsidRPr="00775276">
        <w:rPr>
          <w:rFonts w:ascii="Calibri" w:eastAsia="Times New Roman" w:hAnsi="Calibri" w:cs="Calibri"/>
          <w:b/>
          <w:bCs/>
          <w:i/>
          <w:color w:val="2E74B5"/>
          <w:sz w:val="22"/>
          <w:szCs w:val="22"/>
        </w:rPr>
        <w:t>Sub-component 3.1: Regional-level project facilitation and monitoring and evaluation (</w:t>
      </w:r>
      <w:r w:rsidR="00E87B23">
        <w:rPr>
          <w:rFonts w:ascii="Calibri" w:eastAsia="Times New Roman" w:hAnsi="Calibri" w:cs="Calibri"/>
          <w:b/>
          <w:bCs/>
          <w:i/>
          <w:color w:val="2E74B5"/>
          <w:sz w:val="22"/>
          <w:szCs w:val="22"/>
        </w:rPr>
        <w:t xml:space="preserve">Total: </w:t>
      </w:r>
      <w:r w:rsidRPr="00775276">
        <w:rPr>
          <w:rFonts w:ascii="Calibri" w:eastAsia="Times New Roman" w:hAnsi="Calibri" w:cs="Calibri"/>
          <w:b/>
          <w:bCs/>
          <w:i/>
          <w:color w:val="2E74B5"/>
          <w:sz w:val="22"/>
          <w:szCs w:val="22"/>
        </w:rPr>
        <w:t>US$</w:t>
      </w:r>
      <w:r w:rsidR="00002A89">
        <w:rPr>
          <w:rFonts w:ascii="Calibri" w:eastAsia="Times New Roman" w:hAnsi="Calibri" w:cs="Calibri"/>
          <w:b/>
          <w:bCs/>
          <w:i/>
          <w:color w:val="2E74B5"/>
          <w:sz w:val="22"/>
          <w:szCs w:val="22"/>
        </w:rPr>
        <w:t>5</w:t>
      </w:r>
      <w:r w:rsidRPr="00775276">
        <w:rPr>
          <w:rFonts w:ascii="Calibri" w:eastAsia="Times New Roman" w:hAnsi="Calibri" w:cs="Calibri"/>
          <w:b/>
          <w:bCs/>
          <w:i/>
          <w:color w:val="2E74B5"/>
          <w:sz w:val="22"/>
          <w:szCs w:val="22"/>
        </w:rPr>
        <w:t xml:space="preserve"> million</w:t>
      </w:r>
      <w:r w:rsidR="00DC2918">
        <w:rPr>
          <w:rFonts w:ascii="Calibri" w:eastAsia="Times New Roman" w:hAnsi="Calibri" w:cs="Calibri"/>
          <w:b/>
          <w:bCs/>
          <w:i/>
          <w:color w:val="2E74B5"/>
          <w:sz w:val="22"/>
          <w:szCs w:val="22"/>
        </w:rPr>
        <w:t xml:space="preserve"> </w:t>
      </w:r>
      <w:r w:rsidR="00D66BD8">
        <w:rPr>
          <w:rFonts w:ascii="Calibri" w:eastAsia="Times New Roman" w:hAnsi="Calibri" w:cs="Calibri"/>
          <w:b/>
          <w:bCs/>
          <w:i/>
          <w:color w:val="2E74B5"/>
          <w:sz w:val="22"/>
          <w:szCs w:val="22"/>
        </w:rPr>
        <w:t xml:space="preserve">equivalent </w:t>
      </w:r>
      <w:r w:rsidR="00DC2918">
        <w:rPr>
          <w:rFonts w:ascii="Calibri" w:eastAsia="Times New Roman" w:hAnsi="Calibri" w:cs="Calibri"/>
          <w:b/>
          <w:bCs/>
          <w:i/>
          <w:color w:val="2E74B5"/>
          <w:sz w:val="22"/>
          <w:szCs w:val="22"/>
        </w:rPr>
        <w:t>IDA</w:t>
      </w:r>
      <w:r w:rsidRPr="00775276">
        <w:rPr>
          <w:rFonts w:ascii="Calibri" w:eastAsia="Times New Roman" w:hAnsi="Calibri" w:cs="Calibri"/>
          <w:b/>
          <w:bCs/>
          <w:i/>
          <w:color w:val="2E74B5"/>
          <w:sz w:val="22"/>
          <w:szCs w:val="22"/>
        </w:rPr>
        <w:t>)</w:t>
      </w:r>
      <w:r w:rsidRPr="00775276">
        <w:rPr>
          <w:rFonts w:ascii="Calibri" w:eastAsia="Calibri" w:hAnsi="Calibri" w:cs="Calibri"/>
          <w:b/>
          <w:bCs/>
          <w:spacing w:val="-1"/>
          <w:sz w:val="22"/>
          <w:szCs w:val="22"/>
        </w:rPr>
        <w:t xml:space="preserve"> </w:t>
      </w:r>
    </w:p>
    <w:p w14:paraId="0D916E48" w14:textId="61BAAA43" w:rsidR="009A230D" w:rsidRPr="008E2709" w:rsidRDefault="00B00100" w:rsidP="008E2709">
      <w:pPr>
        <w:widowControl/>
        <w:numPr>
          <w:ilvl w:val="0"/>
          <w:numId w:val="7"/>
        </w:numPr>
        <w:tabs>
          <w:tab w:val="left" w:pos="0"/>
          <w:tab w:val="left" w:pos="720"/>
        </w:tabs>
        <w:autoSpaceDE/>
        <w:autoSpaceDN/>
        <w:adjustRightInd/>
        <w:ind w:left="0" w:firstLine="0"/>
        <w:jc w:val="both"/>
        <w:rPr>
          <w:rFonts w:ascii="Calibri" w:eastAsia="Times New Roman" w:hAnsi="Calibri" w:cs="Calibri"/>
          <w:b/>
          <w:i/>
          <w:color w:val="2E74B5"/>
          <w:sz w:val="22"/>
          <w:szCs w:val="22"/>
        </w:rPr>
      </w:pPr>
      <w:r w:rsidRPr="00775276">
        <w:rPr>
          <w:rFonts w:ascii="Calibri" w:eastAsia="Calibri" w:hAnsi="Calibri" w:cs="Calibri"/>
          <w:bCs/>
          <w:spacing w:val="-1"/>
          <w:sz w:val="22"/>
          <w:szCs w:val="22"/>
        </w:rPr>
        <w:t>Through a regional IDA grant of US$</w:t>
      </w:r>
      <w:r w:rsidR="00C31165">
        <w:rPr>
          <w:rFonts w:ascii="Calibri" w:eastAsia="Calibri" w:hAnsi="Calibri" w:cs="Calibri"/>
          <w:bCs/>
          <w:spacing w:val="-1"/>
          <w:sz w:val="22"/>
          <w:szCs w:val="22"/>
        </w:rPr>
        <w:t>5</w:t>
      </w:r>
      <w:r w:rsidRPr="00775276">
        <w:rPr>
          <w:rFonts w:ascii="Calibri" w:eastAsia="Calibri" w:hAnsi="Calibri" w:cs="Calibri"/>
          <w:bCs/>
          <w:spacing w:val="-1"/>
          <w:sz w:val="22"/>
          <w:szCs w:val="22"/>
        </w:rPr>
        <w:t xml:space="preserve"> million, Sub-component 3.1 will fund the AAU, </w:t>
      </w:r>
      <w:r w:rsidR="002D753C" w:rsidRPr="002D753C">
        <w:rPr>
          <w:rFonts w:ascii="Calibri" w:eastAsia="Calibri" w:hAnsi="Calibri" w:cs="Calibri"/>
          <w:bCs/>
          <w:spacing w:val="-1"/>
          <w:sz w:val="22"/>
          <w:szCs w:val="22"/>
        </w:rPr>
        <w:t>which is the RFU for the ACE I and the First ACE Impact projects,</w:t>
      </w:r>
      <w:r w:rsidR="002D753C">
        <w:rPr>
          <w:rFonts w:ascii="Calibri" w:eastAsia="Calibri" w:hAnsi="Calibri" w:cs="Calibri"/>
          <w:bCs/>
          <w:spacing w:val="-1"/>
          <w:sz w:val="22"/>
          <w:szCs w:val="22"/>
        </w:rPr>
        <w:t xml:space="preserve"> to enable it to fully</w:t>
      </w:r>
      <w:r w:rsidR="002D753C" w:rsidRPr="002D753C">
        <w:rPr>
          <w:rFonts w:ascii="Calibri" w:eastAsia="Calibri" w:hAnsi="Calibri" w:cs="Calibri"/>
          <w:bCs/>
          <w:spacing w:val="-1"/>
          <w:sz w:val="22"/>
          <w:szCs w:val="22"/>
        </w:rPr>
        <w:t xml:space="preserve"> serve as the RFU for the proposed Second </w:t>
      </w:r>
      <w:r w:rsidR="00BB4A89">
        <w:rPr>
          <w:rFonts w:ascii="Calibri" w:eastAsia="Calibri" w:hAnsi="Calibri" w:cs="Calibri"/>
          <w:bCs/>
          <w:spacing w:val="-1"/>
          <w:sz w:val="22"/>
          <w:szCs w:val="22"/>
        </w:rPr>
        <w:t>ACE Impact Project</w:t>
      </w:r>
      <w:r w:rsidR="002D753C" w:rsidRPr="002D753C">
        <w:rPr>
          <w:rFonts w:ascii="Calibri" w:eastAsia="Calibri" w:hAnsi="Calibri" w:cs="Calibri"/>
          <w:bCs/>
          <w:spacing w:val="-1"/>
          <w:sz w:val="22"/>
          <w:szCs w:val="22"/>
        </w:rPr>
        <w:t xml:space="preserve">. The RFU will facilitate the regional activities and support the centers under the </w:t>
      </w:r>
      <w:r w:rsidR="00557336">
        <w:rPr>
          <w:rFonts w:ascii="Calibri" w:eastAsia="Calibri" w:hAnsi="Calibri" w:cs="Calibri"/>
          <w:bCs/>
          <w:spacing w:val="-1"/>
          <w:sz w:val="22"/>
          <w:szCs w:val="22"/>
        </w:rPr>
        <w:t xml:space="preserve">proposed </w:t>
      </w:r>
      <w:r w:rsidR="002D753C" w:rsidRPr="002D753C">
        <w:rPr>
          <w:rFonts w:ascii="Calibri" w:eastAsia="Calibri" w:hAnsi="Calibri" w:cs="Calibri"/>
          <w:bCs/>
          <w:spacing w:val="-1"/>
          <w:sz w:val="22"/>
          <w:szCs w:val="22"/>
        </w:rPr>
        <w:t>project</w:t>
      </w:r>
      <w:r w:rsidR="00557336">
        <w:rPr>
          <w:rFonts w:ascii="Calibri" w:eastAsia="Calibri" w:hAnsi="Calibri" w:cs="Calibri"/>
          <w:bCs/>
          <w:spacing w:val="-1"/>
          <w:sz w:val="22"/>
          <w:szCs w:val="22"/>
        </w:rPr>
        <w:t>,</w:t>
      </w:r>
      <w:r w:rsidR="002D753C" w:rsidRPr="002D753C">
        <w:rPr>
          <w:rFonts w:ascii="Calibri" w:eastAsia="Calibri" w:hAnsi="Calibri" w:cs="Calibri"/>
          <w:bCs/>
          <w:spacing w:val="-1"/>
          <w:sz w:val="22"/>
          <w:szCs w:val="22"/>
        </w:rPr>
        <w:t xml:space="preserve"> including</w:t>
      </w:r>
      <w:r w:rsidRPr="00775276">
        <w:rPr>
          <w:rFonts w:ascii="Calibri" w:eastAsia="Calibri" w:hAnsi="Calibri" w:cs="Calibri"/>
          <w:bCs/>
          <w:spacing w:val="-1"/>
          <w:sz w:val="22"/>
          <w:szCs w:val="22"/>
        </w:rPr>
        <w:t xml:space="preserve"> M&amp;E activities such as development of an online M&amp;E database platform, verification of results, benchmarking of ACE host universities, and graduate tracer studies; site supervision visits of ACEs by independent experts; communications, safeguards support, capacity-building; and knowledge-sharing and networking among ACEs and governments. The RFU will also liaise with ongoing regional and national initiatives in order to strengthen the ACE regional networks, including through digital networking platforms. </w:t>
      </w:r>
    </w:p>
    <w:p w14:paraId="1F407A61" w14:textId="77777777" w:rsidR="0035169D" w:rsidRDefault="0035169D" w:rsidP="008E2709">
      <w:pPr>
        <w:widowControl/>
        <w:tabs>
          <w:tab w:val="left" w:pos="0"/>
          <w:tab w:val="left" w:pos="720"/>
        </w:tabs>
        <w:autoSpaceDE/>
        <w:autoSpaceDN/>
        <w:adjustRightInd/>
        <w:jc w:val="both"/>
        <w:rPr>
          <w:rFonts w:ascii="Calibri" w:eastAsia="Times New Roman" w:hAnsi="Calibri" w:cs="Calibri"/>
          <w:b/>
          <w:bCs/>
          <w:i/>
          <w:color w:val="2E74B5"/>
          <w:sz w:val="22"/>
          <w:szCs w:val="22"/>
        </w:rPr>
      </w:pPr>
    </w:p>
    <w:p w14:paraId="07A393E3" w14:textId="77777777" w:rsidR="009C5FCE" w:rsidRPr="00DA1F5E" w:rsidRDefault="00B00100" w:rsidP="008E2709">
      <w:pPr>
        <w:tabs>
          <w:tab w:val="left" w:pos="0"/>
          <w:tab w:val="left" w:pos="720"/>
        </w:tabs>
        <w:jc w:val="both"/>
        <w:rPr>
          <w:rFonts w:ascii="Calibri" w:eastAsia="Times New Roman" w:hAnsi="Calibri" w:cs="Calibri"/>
          <w:b/>
          <w:bCs/>
          <w:i/>
          <w:color w:val="2E74B5"/>
          <w:sz w:val="22"/>
          <w:szCs w:val="22"/>
        </w:rPr>
      </w:pPr>
      <w:r w:rsidRPr="00775276">
        <w:rPr>
          <w:rFonts w:ascii="Calibri" w:eastAsia="Times New Roman" w:hAnsi="Calibri" w:cs="Calibri"/>
          <w:b/>
          <w:bCs/>
          <w:i/>
          <w:color w:val="2E74B5"/>
          <w:sz w:val="22"/>
          <w:szCs w:val="22"/>
        </w:rPr>
        <w:t>Sub-component 3.2: National-level project facilitation (</w:t>
      </w:r>
      <w:r w:rsidR="0067016F" w:rsidRPr="00DA1F5E">
        <w:rPr>
          <w:rFonts w:ascii="Calibri" w:eastAsia="Times New Roman" w:hAnsi="Calibri" w:cs="Calibri"/>
          <w:b/>
          <w:bCs/>
          <w:i/>
          <w:color w:val="2E74B5"/>
          <w:sz w:val="22"/>
          <w:szCs w:val="22"/>
        </w:rPr>
        <w:t xml:space="preserve">Total: </w:t>
      </w:r>
      <w:r w:rsidRPr="00DA1F5E">
        <w:rPr>
          <w:rFonts w:ascii="Calibri" w:eastAsia="Times New Roman" w:hAnsi="Calibri" w:cs="Calibri"/>
          <w:b/>
          <w:bCs/>
          <w:i/>
          <w:color w:val="2E74B5"/>
          <w:sz w:val="22"/>
          <w:szCs w:val="22"/>
        </w:rPr>
        <w:t>US</w:t>
      </w:r>
      <w:r w:rsidRPr="00B361D8">
        <w:rPr>
          <w:rFonts w:ascii="Calibri" w:eastAsia="Times New Roman" w:hAnsi="Calibri" w:cs="Calibri"/>
          <w:b/>
          <w:bCs/>
          <w:i/>
          <w:color w:val="2E74B5"/>
          <w:sz w:val="22"/>
          <w:szCs w:val="22"/>
        </w:rPr>
        <w:t>$</w:t>
      </w:r>
      <w:r w:rsidR="001E7498">
        <w:rPr>
          <w:rFonts w:ascii="Calibri" w:eastAsia="Times New Roman" w:hAnsi="Calibri" w:cs="Calibri"/>
          <w:b/>
          <w:bCs/>
          <w:i/>
          <w:color w:val="2E74B5"/>
          <w:sz w:val="22"/>
          <w:szCs w:val="22"/>
        </w:rPr>
        <w:t>7</w:t>
      </w:r>
      <w:r w:rsidR="001D7696" w:rsidRPr="00B361D8">
        <w:rPr>
          <w:rFonts w:ascii="Calibri" w:eastAsia="Times New Roman" w:hAnsi="Calibri" w:cs="Calibri"/>
          <w:b/>
          <w:bCs/>
          <w:i/>
          <w:color w:val="2E74B5"/>
          <w:sz w:val="22"/>
          <w:szCs w:val="22"/>
        </w:rPr>
        <w:t>.5</w:t>
      </w:r>
      <w:r w:rsidRPr="00B361D8">
        <w:rPr>
          <w:rFonts w:ascii="Calibri" w:eastAsia="Times New Roman" w:hAnsi="Calibri" w:cs="Calibri"/>
          <w:b/>
          <w:bCs/>
          <w:i/>
          <w:color w:val="2E74B5"/>
          <w:sz w:val="22"/>
          <w:szCs w:val="22"/>
        </w:rPr>
        <w:t xml:space="preserve"> million</w:t>
      </w:r>
      <w:r w:rsidR="008D5006" w:rsidRPr="00B361D8">
        <w:rPr>
          <w:rFonts w:ascii="Calibri" w:eastAsia="Times New Roman" w:hAnsi="Calibri" w:cs="Calibri"/>
          <w:b/>
          <w:bCs/>
          <w:i/>
          <w:color w:val="2E74B5"/>
          <w:sz w:val="22"/>
          <w:szCs w:val="22"/>
        </w:rPr>
        <w:t xml:space="preserve"> </w:t>
      </w:r>
      <w:r w:rsidR="00DA1F5E" w:rsidRPr="00B361D8">
        <w:rPr>
          <w:rFonts w:ascii="Calibri" w:eastAsia="Times New Roman" w:hAnsi="Calibri" w:cs="Calibri"/>
          <w:b/>
          <w:bCs/>
          <w:i/>
          <w:color w:val="2E74B5"/>
          <w:sz w:val="22"/>
          <w:szCs w:val="22"/>
        </w:rPr>
        <w:t xml:space="preserve">equivalent </w:t>
      </w:r>
      <w:r w:rsidR="001D7696" w:rsidRPr="00B361D8">
        <w:rPr>
          <w:rFonts w:ascii="Calibri" w:eastAsia="Times New Roman" w:hAnsi="Calibri" w:cs="Calibri"/>
          <w:b/>
          <w:bCs/>
          <w:i/>
          <w:color w:val="2E74B5"/>
          <w:sz w:val="22"/>
          <w:szCs w:val="22"/>
        </w:rPr>
        <w:t>IDA)</w:t>
      </w:r>
    </w:p>
    <w:p w14:paraId="296D2B3B" w14:textId="77777777" w:rsidR="0035169D" w:rsidRDefault="00B00100" w:rsidP="008E2709">
      <w:pPr>
        <w:widowControl/>
        <w:numPr>
          <w:ilvl w:val="0"/>
          <w:numId w:val="7"/>
        </w:numPr>
        <w:tabs>
          <w:tab w:val="left" w:pos="0"/>
          <w:tab w:val="left" w:pos="720"/>
        </w:tabs>
        <w:autoSpaceDE/>
        <w:autoSpaceDN/>
        <w:adjustRightInd/>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This </w:t>
      </w:r>
      <w:r w:rsidR="00B34DF0">
        <w:rPr>
          <w:rFonts w:ascii="Calibri" w:eastAsia="Calibri" w:hAnsi="Calibri" w:cs="Times New Roman"/>
          <w:color w:val="auto"/>
          <w:sz w:val="22"/>
          <w:szCs w:val="22"/>
        </w:rPr>
        <w:t>sub-</w:t>
      </w:r>
      <w:r w:rsidRPr="002E1A3F">
        <w:rPr>
          <w:rFonts w:ascii="Calibri" w:eastAsia="Calibri" w:hAnsi="Calibri" w:cs="Times New Roman"/>
          <w:color w:val="auto"/>
          <w:sz w:val="22"/>
          <w:szCs w:val="22"/>
        </w:rPr>
        <w:t>component will finance project implementation support at the national level, specifically in Nigeria, where the Second ACE Impact</w:t>
      </w:r>
      <w:r w:rsidR="00B34DF0">
        <w:rPr>
          <w:rFonts w:ascii="Calibri" w:eastAsia="Calibri" w:hAnsi="Calibri" w:cs="Times New Roman"/>
          <w:color w:val="auto"/>
          <w:sz w:val="22"/>
          <w:szCs w:val="22"/>
        </w:rPr>
        <w:t xml:space="preserve"> Project</w:t>
      </w:r>
      <w:r w:rsidRPr="002E1A3F">
        <w:rPr>
          <w:rFonts w:ascii="Calibri" w:eastAsia="Calibri" w:hAnsi="Calibri" w:cs="Times New Roman"/>
          <w:color w:val="auto"/>
          <w:sz w:val="22"/>
          <w:szCs w:val="22"/>
        </w:rPr>
        <w:t xml:space="preserve"> investment exceed</w:t>
      </w:r>
      <w:r w:rsidR="00E323E8">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US$25 million</w:t>
      </w:r>
      <w:r w:rsidR="00E323E8">
        <w:rPr>
          <w:rFonts w:ascii="Calibri" w:eastAsia="Calibri" w:hAnsi="Calibri" w:cs="Times New Roman"/>
          <w:color w:val="auto"/>
          <w:sz w:val="22"/>
          <w:szCs w:val="22"/>
        </w:rPr>
        <w:t xml:space="preserve"> (17 ACEs) and in </w:t>
      </w:r>
      <w:r w:rsidR="00B34DF0">
        <w:rPr>
          <w:rFonts w:ascii="Calibri" w:eastAsia="Calibri" w:hAnsi="Calibri" w:cs="Times New Roman"/>
          <w:color w:val="auto"/>
          <w:sz w:val="22"/>
          <w:szCs w:val="22"/>
        </w:rPr>
        <w:t>T</w:t>
      </w:r>
      <w:r w:rsidR="00E323E8">
        <w:rPr>
          <w:rFonts w:ascii="Calibri" w:eastAsia="Calibri" w:hAnsi="Calibri" w:cs="Times New Roman"/>
          <w:color w:val="auto"/>
          <w:sz w:val="22"/>
          <w:szCs w:val="22"/>
        </w:rPr>
        <w:t xml:space="preserve">he </w:t>
      </w:r>
      <w:r w:rsidR="00E323E8">
        <w:rPr>
          <w:rFonts w:ascii="Calibri" w:eastAsia="Calibri" w:hAnsi="Calibri" w:cs="Times New Roman"/>
          <w:color w:val="auto"/>
          <w:sz w:val="22"/>
          <w:szCs w:val="22"/>
        </w:rPr>
        <w:lastRenderedPageBreak/>
        <w:t xml:space="preserve">Gambia, where the Emerging center needs additional support from </w:t>
      </w:r>
      <w:r w:rsidR="00D73FC1">
        <w:rPr>
          <w:rFonts w:ascii="Calibri" w:eastAsia="Calibri" w:hAnsi="Calibri" w:cs="Times New Roman"/>
          <w:color w:val="auto"/>
          <w:sz w:val="22"/>
          <w:szCs w:val="22"/>
        </w:rPr>
        <w:t>a coordinating agency</w:t>
      </w:r>
      <w:r w:rsidRPr="002E1A3F">
        <w:rPr>
          <w:rFonts w:ascii="Calibri" w:eastAsia="Calibri" w:hAnsi="Calibri" w:cs="Times New Roman"/>
          <w:color w:val="auto"/>
          <w:sz w:val="22"/>
          <w:szCs w:val="22"/>
        </w:rPr>
        <w:t xml:space="preserve">. </w:t>
      </w:r>
      <w:r w:rsidR="00A22026">
        <w:rPr>
          <w:rFonts w:ascii="Calibri" w:eastAsia="Calibri" w:hAnsi="Calibri" w:cs="Times New Roman"/>
          <w:color w:val="auto"/>
          <w:sz w:val="22"/>
          <w:szCs w:val="22"/>
        </w:rPr>
        <w:t>Nigeria</w:t>
      </w:r>
      <w:r w:rsidR="002B33F7">
        <w:rPr>
          <w:rFonts w:ascii="Calibri" w:eastAsia="Calibri" w:hAnsi="Calibri" w:cs="Times New Roman"/>
          <w:color w:val="auto"/>
          <w:sz w:val="22"/>
          <w:szCs w:val="22"/>
        </w:rPr>
        <w:t xml:space="preserve"> will receive US$</w:t>
      </w:r>
      <w:r w:rsidR="00AF1074">
        <w:rPr>
          <w:rFonts w:ascii="Calibri" w:eastAsia="Calibri" w:hAnsi="Calibri" w:cs="Times New Roman"/>
          <w:color w:val="auto"/>
          <w:sz w:val="22"/>
          <w:szCs w:val="22"/>
        </w:rPr>
        <w:t>6</w:t>
      </w:r>
      <w:r w:rsidR="002B33F7">
        <w:rPr>
          <w:rFonts w:ascii="Calibri" w:eastAsia="Calibri" w:hAnsi="Calibri" w:cs="Times New Roman"/>
          <w:color w:val="auto"/>
          <w:sz w:val="22"/>
          <w:szCs w:val="22"/>
        </w:rPr>
        <w:t xml:space="preserve"> million </w:t>
      </w:r>
      <w:r w:rsidR="00A22026">
        <w:rPr>
          <w:rFonts w:ascii="Calibri" w:eastAsia="Calibri" w:hAnsi="Calibri" w:cs="Times New Roman"/>
          <w:color w:val="auto"/>
          <w:sz w:val="22"/>
          <w:szCs w:val="22"/>
        </w:rPr>
        <w:t>and The Gambia US</w:t>
      </w:r>
      <w:r w:rsidR="001E7498">
        <w:rPr>
          <w:rFonts w:ascii="Calibri" w:eastAsia="Calibri" w:hAnsi="Calibri" w:cs="Times New Roman"/>
          <w:color w:val="auto"/>
          <w:sz w:val="22"/>
          <w:szCs w:val="22"/>
        </w:rPr>
        <w:t>$</w:t>
      </w:r>
      <w:r w:rsidR="00A22026">
        <w:rPr>
          <w:rFonts w:ascii="Calibri" w:eastAsia="Calibri" w:hAnsi="Calibri" w:cs="Times New Roman"/>
          <w:color w:val="auto"/>
          <w:sz w:val="22"/>
          <w:szCs w:val="22"/>
        </w:rPr>
        <w:t>1.5 million under this sub-component.</w:t>
      </w:r>
      <w:r w:rsidR="00E413CD">
        <w:rPr>
          <w:rFonts w:ascii="Calibri" w:eastAsia="Calibri" w:hAnsi="Calibri" w:cs="Times New Roman"/>
          <w:color w:val="auto"/>
          <w:sz w:val="22"/>
          <w:szCs w:val="22"/>
        </w:rPr>
        <w:t xml:space="preserve"> The</w:t>
      </w:r>
      <w:r w:rsidRPr="002E1A3F">
        <w:rPr>
          <w:rFonts w:ascii="Calibri" w:eastAsia="Calibri" w:hAnsi="Calibri" w:cs="Times New Roman"/>
          <w:color w:val="auto"/>
          <w:sz w:val="22"/>
          <w:szCs w:val="22"/>
        </w:rPr>
        <w:t xml:space="preserve"> National Universities Commission</w:t>
      </w:r>
      <w:r w:rsidR="00D73FC1">
        <w:rPr>
          <w:rFonts w:ascii="Calibri" w:eastAsia="Calibri" w:hAnsi="Calibri" w:cs="Times New Roman"/>
          <w:color w:val="auto"/>
          <w:sz w:val="22"/>
          <w:szCs w:val="22"/>
        </w:rPr>
        <w:t xml:space="preserve"> (NUC)</w:t>
      </w:r>
      <w:r w:rsidRPr="002E1A3F">
        <w:rPr>
          <w:rFonts w:ascii="Calibri" w:eastAsia="Calibri" w:hAnsi="Calibri" w:cs="Times New Roman"/>
          <w:color w:val="auto"/>
          <w:sz w:val="22"/>
          <w:szCs w:val="22"/>
        </w:rPr>
        <w:t xml:space="preserve"> </w:t>
      </w:r>
      <w:r w:rsidR="00E413CD">
        <w:rPr>
          <w:rFonts w:ascii="Calibri" w:eastAsia="Calibri" w:hAnsi="Calibri" w:cs="Times New Roman"/>
          <w:color w:val="auto"/>
          <w:sz w:val="22"/>
          <w:szCs w:val="22"/>
        </w:rPr>
        <w:t xml:space="preserve">of Nigeria </w:t>
      </w:r>
      <w:r w:rsidR="00CB6541">
        <w:rPr>
          <w:rFonts w:ascii="Calibri" w:eastAsia="Calibri" w:hAnsi="Calibri" w:cs="Times New Roman"/>
          <w:color w:val="auto"/>
          <w:sz w:val="22"/>
          <w:szCs w:val="22"/>
        </w:rPr>
        <w:t xml:space="preserve">and the </w:t>
      </w:r>
      <w:r w:rsidR="008E6906">
        <w:rPr>
          <w:rFonts w:ascii="Calibri" w:eastAsia="Calibri" w:hAnsi="Calibri" w:cs="Times New Roman"/>
          <w:color w:val="auto"/>
          <w:sz w:val="22"/>
          <w:szCs w:val="22"/>
        </w:rPr>
        <w:t>P</w:t>
      </w:r>
      <w:r w:rsidR="00271A89">
        <w:rPr>
          <w:rFonts w:ascii="Calibri" w:eastAsia="Calibri" w:hAnsi="Calibri" w:cs="Times New Roman"/>
          <w:color w:val="auto"/>
          <w:sz w:val="22"/>
          <w:szCs w:val="22"/>
        </w:rPr>
        <w:t>roject Coordina</w:t>
      </w:r>
      <w:r w:rsidR="000A2662">
        <w:rPr>
          <w:rFonts w:ascii="Calibri" w:eastAsia="Calibri" w:hAnsi="Calibri" w:cs="Times New Roman"/>
          <w:color w:val="auto"/>
          <w:sz w:val="22"/>
          <w:szCs w:val="22"/>
        </w:rPr>
        <w:t>t</w:t>
      </w:r>
      <w:r w:rsidR="00777513">
        <w:rPr>
          <w:rFonts w:ascii="Calibri" w:eastAsia="Calibri" w:hAnsi="Calibri" w:cs="Times New Roman"/>
          <w:color w:val="auto"/>
          <w:sz w:val="22"/>
          <w:szCs w:val="22"/>
        </w:rPr>
        <w:t>ion</w:t>
      </w:r>
      <w:r w:rsidR="000A2662">
        <w:rPr>
          <w:rFonts w:ascii="Calibri" w:eastAsia="Calibri" w:hAnsi="Calibri" w:cs="Times New Roman"/>
          <w:color w:val="auto"/>
          <w:sz w:val="22"/>
          <w:szCs w:val="22"/>
        </w:rPr>
        <w:t xml:space="preserve"> Unit (PCU-Gambia), </w:t>
      </w:r>
      <w:r w:rsidRPr="002E1A3F">
        <w:rPr>
          <w:rFonts w:ascii="Calibri" w:eastAsia="Calibri" w:hAnsi="Calibri" w:cs="Times New Roman"/>
          <w:color w:val="auto"/>
          <w:sz w:val="22"/>
          <w:szCs w:val="22"/>
        </w:rPr>
        <w:t>will serve as the national</w:t>
      </w:r>
      <w:r w:rsidR="00B34DF0">
        <w:rPr>
          <w:rFonts w:ascii="Calibri" w:eastAsia="Calibri" w:hAnsi="Calibri" w:cs="Times New Roman"/>
          <w:color w:val="auto"/>
          <w:sz w:val="22"/>
          <w:szCs w:val="22"/>
        </w:rPr>
        <w:t>-</w:t>
      </w:r>
      <w:r w:rsidRPr="002E1A3F">
        <w:rPr>
          <w:rFonts w:ascii="Calibri" w:eastAsia="Calibri" w:hAnsi="Calibri" w:cs="Times New Roman"/>
          <w:color w:val="auto"/>
          <w:sz w:val="22"/>
          <w:szCs w:val="22"/>
        </w:rPr>
        <w:t>level facilitator</w:t>
      </w:r>
      <w:r w:rsidR="003D31B0">
        <w:rPr>
          <w:rFonts w:ascii="Calibri" w:eastAsia="Calibri" w:hAnsi="Calibri" w:cs="Times New Roman"/>
          <w:color w:val="auto"/>
          <w:sz w:val="22"/>
          <w:szCs w:val="22"/>
        </w:rPr>
        <w:t xml:space="preserve"> in Nigeria</w:t>
      </w:r>
      <w:r w:rsidR="004E0497">
        <w:rPr>
          <w:rFonts w:ascii="Calibri" w:eastAsia="Calibri" w:hAnsi="Calibri" w:cs="Times New Roman"/>
          <w:color w:val="auto"/>
          <w:sz w:val="22"/>
          <w:szCs w:val="22"/>
        </w:rPr>
        <w:t xml:space="preserve"> and </w:t>
      </w:r>
      <w:r w:rsidR="00933CEE">
        <w:rPr>
          <w:rFonts w:ascii="Calibri" w:eastAsia="Calibri" w:hAnsi="Calibri" w:cs="Times New Roman"/>
          <w:color w:val="auto"/>
          <w:sz w:val="22"/>
          <w:szCs w:val="22"/>
        </w:rPr>
        <w:t>T</w:t>
      </w:r>
      <w:r w:rsidR="004E0497">
        <w:rPr>
          <w:rFonts w:ascii="Calibri" w:eastAsia="Calibri" w:hAnsi="Calibri" w:cs="Times New Roman"/>
          <w:color w:val="auto"/>
          <w:sz w:val="22"/>
          <w:szCs w:val="22"/>
        </w:rPr>
        <w:t>he Gambia, respectively</w:t>
      </w:r>
      <w:r w:rsidR="00AF57B3">
        <w:rPr>
          <w:rFonts w:ascii="Calibri" w:eastAsia="Calibri" w:hAnsi="Calibri" w:cs="Times New Roman"/>
          <w:color w:val="auto"/>
          <w:sz w:val="22"/>
          <w:szCs w:val="22"/>
        </w:rPr>
        <w:t xml:space="preserve">. The NUC has </w:t>
      </w:r>
      <w:r w:rsidRPr="002E1A3F">
        <w:rPr>
          <w:rFonts w:ascii="Calibri" w:eastAsia="Calibri" w:hAnsi="Calibri" w:cs="Times New Roman"/>
          <w:color w:val="auto"/>
          <w:sz w:val="22"/>
          <w:szCs w:val="22"/>
        </w:rPr>
        <w:t xml:space="preserve">played </w:t>
      </w:r>
      <w:r w:rsidR="006F2F83">
        <w:rPr>
          <w:rFonts w:ascii="Calibri" w:eastAsia="Calibri" w:hAnsi="Calibri" w:cs="Times New Roman"/>
          <w:color w:val="auto"/>
          <w:sz w:val="22"/>
          <w:szCs w:val="22"/>
        </w:rPr>
        <w:t xml:space="preserve">this role </w:t>
      </w:r>
      <w:r w:rsidRPr="002E1A3F">
        <w:rPr>
          <w:rFonts w:ascii="Calibri" w:eastAsia="Calibri" w:hAnsi="Calibri" w:cs="Times New Roman"/>
          <w:color w:val="auto"/>
          <w:sz w:val="22"/>
          <w:szCs w:val="22"/>
        </w:rPr>
        <w:t xml:space="preserve">successfully under </w:t>
      </w:r>
      <w:r w:rsidR="00BB4A89">
        <w:rPr>
          <w:rFonts w:ascii="Calibri" w:eastAsia="Calibri" w:hAnsi="Calibri" w:cs="Times New Roman"/>
          <w:color w:val="auto"/>
          <w:sz w:val="22"/>
          <w:szCs w:val="22"/>
        </w:rPr>
        <w:t xml:space="preserve">the </w:t>
      </w:r>
      <w:r w:rsidRPr="002E1A3F">
        <w:rPr>
          <w:rFonts w:ascii="Calibri" w:eastAsia="Calibri" w:hAnsi="Calibri" w:cs="Times New Roman"/>
          <w:color w:val="auto"/>
          <w:sz w:val="22"/>
          <w:szCs w:val="22"/>
        </w:rPr>
        <w:t>ACE I</w:t>
      </w:r>
      <w:r w:rsidR="00BB4A89">
        <w:rPr>
          <w:rFonts w:ascii="Calibri" w:eastAsia="Calibri" w:hAnsi="Calibri" w:cs="Times New Roman"/>
          <w:color w:val="auto"/>
          <w:sz w:val="22"/>
          <w:szCs w:val="22"/>
        </w:rPr>
        <w:t xml:space="preserve"> Project</w:t>
      </w:r>
      <w:r w:rsidRPr="002E1A3F">
        <w:rPr>
          <w:rFonts w:ascii="Calibri" w:eastAsia="Calibri" w:hAnsi="Calibri" w:cs="Times New Roman"/>
          <w:color w:val="auto"/>
          <w:sz w:val="22"/>
          <w:szCs w:val="22"/>
        </w:rPr>
        <w:t xml:space="preserve">.  </w:t>
      </w:r>
      <w:r w:rsidR="000A71A8">
        <w:rPr>
          <w:rFonts w:ascii="Calibri" w:eastAsia="Calibri" w:hAnsi="Calibri" w:cs="Times New Roman"/>
          <w:color w:val="auto"/>
          <w:sz w:val="22"/>
          <w:szCs w:val="22"/>
        </w:rPr>
        <w:t>The PCU-Gambia is currently</w:t>
      </w:r>
      <w:r w:rsidR="00F727A7">
        <w:rPr>
          <w:rFonts w:ascii="Calibri" w:eastAsia="Calibri" w:hAnsi="Calibri" w:cs="Times New Roman"/>
          <w:color w:val="auto"/>
          <w:sz w:val="22"/>
          <w:szCs w:val="22"/>
        </w:rPr>
        <w:t xml:space="preserve"> managing a couple of other World Bank project</w:t>
      </w:r>
      <w:r w:rsidR="00A25B82">
        <w:rPr>
          <w:rFonts w:ascii="Calibri" w:eastAsia="Calibri" w:hAnsi="Calibri" w:cs="Times New Roman"/>
          <w:color w:val="auto"/>
          <w:sz w:val="22"/>
          <w:szCs w:val="22"/>
        </w:rPr>
        <w:t>s</w:t>
      </w:r>
      <w:r w:rsidR="00F727A7">
        <w:rPr>
          <w:rFonts w:ascii="Calibri" w:eastAsia="Calibri" w:hAnsi="Calibri" w:cs="Times New Roman"/>
          <w:color w:val="auto"/>
          <w:sz w:val="22"/>
          <w:szCs w:val="22"/>
        </w:rPr>
        <w:t xml:space="preserve">, including the </w:t>
      </w:r>
      <w:r w:rsidR="00BB4A89">
        <w:rPr>
          <w:rFonts w:ascii="Calibri" w:eastAsia="Calibri" w:hAnsi="Calibri" w:cs="Times New Roman"/>
          <w:color w:val="auto"/>
          <w:sz w:val="22"/>
          <w:szCs w:val="22"/>
        </w:rPr>
        <w:t>ACE I Project</w:t>
      </w:r>
      <w:r w:rsidR="004271E9">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Performance of these national</w:t>
      </w:r>
      <w:r w:rsidR="00B34DF0">
        <w:rPr>
          <w:rFonts w:ascii="Calibri" w:eastAsia="Calibri" w:hAnsi="Calibri" w:cs="Times New Roman"/>
          <w:color w:val="auto"/>
          <w:sz w:val="22"/>
          <w:szCs w:val="22"/>
        </w:rPr>
        <w:t>-</w:t>
      </w:r>
      <w:r w:rsidRPr="002E1A3F">
        <w:rPr>
          <w:rFonts w:ascii="Calibri" w:eastAsia="Calibri" w:hAnsi="Calibri" w:cs="Times New Roman"/>
          <w:color w:val="auto"/>
          <w:sz w:val="22"/>
          <w:szCs w:val="22"/>
        </w:rPr>
        <w:t>level facilitation agencies will be measured by the degree to which the ACE Impact centers in the respective countries achieve the project objectives</w:t>
      </w:r>
      <w:r w:rsidR="00856746">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including </w:t>
      </w:r>
      <w:r w:rsidR="00991295">
        <w:rPr>
          <w:rFonts w:ascii="Calibri" w:eastAsia="Calibri" w:hAnsi="Calibri" w:cs="Times New Roman"/>
          <w:color w:val="auto"/>
          <w:sz w:val="22"/>
          <w:szCs w:val="22"/>
        </w:rPr>
        <w:t>adherence</w:t>
      </w:r>
      <w:r w:rsidR="006B3055">
        <w:rPr>
          <w:rFonts w:ascii="Calibri" w:eastAsia="Calibri" w:hAnsi="Calibri" w:cs="Times New Roman"/>
          <w:color w:val="auto"/>
          <w:sz w:val="22"/>
          <w:szCs w:val="22"/>
        </w:rPr>
        <w:t xml:space="preserve"> to</w:t>
      </w:r>
      <w:r w:rsidRPr="002E1A3F">
        <w:rPr>
          <w:rFonts w:ascii="Calibri" w:eastAsia="Calibri" w:hAnsi="Calibri" w:cs="Times New Roman"/>
          <w:color w:val="auto"/>
          <w:sz w:val="22"/>
          <w:szCs w:val="22"/>
        </w:rPr>
        <w:t xml:space="preserve"> fiduciary, safeguard and anti-corruption guidelines. The activities will include supervision and training related to</w:t>
      </w:r>
      <w:r w:rsidR="00DA78BC">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educational, research, implementation, fiduciary and safeguards aspects</w:t>
      </w:r>
      <w:r w:rsidR="00856746">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as well as national M&amp;E and minor TA.</w:t>
      </w:r>
      <w:r w:rsidR="002F18C9">
        <w:rPr>
          <w:rFonts w:ascii="Calibri" w:eastAsia="Calibri" w:hAnsi="Calibri" w:cs="Times New Roman"/>
          <w:color w:val="auto"/>
          <w:sz w:val="22"/>
          <w:szCs w:val="22"/>
        </w:rPr>
        <w:t xml:space="preserve"> In the case of </w:t>
      </w:r>
      <w:r w:rsidR="002311F3">
        <w:rPr>
          <w:rFonts w:ascii="Calibri" w:eastAsia="Calibri" w:hAnsi="Calibri" w:cs="Times New Roman"/>
          <w:color w:val="auto"/>
          <w:sz w:val="22"/>
          <w:szCs w:val="22"/>
        </w:rPr>
        <w:t>T</w:t>
      </w:r>
      <w:r w:rsidR="002F18C9">
        <w:rPr>
          <w:rFonts w:ascii="Calibri" w:eastAsia="Calibri" w:hAnsi="Calibri" w:cs="Times New Roman"/>
          <w:color w:val="auto"/>
          <w:sz w:val="22"/>
          <w:szCs w:val="22"/>
        </w:rPr>
        <w:t>he Gambia, the PCU</w:t>
      </w:r>
      <w:r w:rsidR="002816DE">
        <w:rPr>
          <w:rFonts w:ascii="Calibri" w:eastAsia="Calibri" w:hAnsi="Calibri" w:cs="Times New Roman"/>
          <w:color w:val="auto"/>
          <w:sz w:val="22"/>
          <w:szCs w:val="22"/>
        </w:rPr>
        <w:t>’s</w:t>
      </w:r>
      <w:r w:rsidR="00A901EB">
        <w:rPr>
          <w:rFonts w:ascii="Calibri" w:eastAsia="Calibri" w:hAnsi="Calibri" w:cs="Times New Roman"/>
          <w:color w:val="auto"/>
          <w:sz w:val="22"/>
          <w:szCs w:val="22"/>
        </w:rPr>
        <w:t xml:space="preserve"> key role </w:t>
      </w:r>
      <w:r w:rsidR="005C3D45">
        <w:rPr>
          <w:rFonts w:ascii="Calibri" w:eastAsia="Calibri" w:hAnsi="Calibri" w:cs="Times New Roman"/>
          <w:color w:val="auto"/>
          <w:sz w:val="22"/>
          <w:szCs w:val="22"/>
        </w:rPr>
        <w:t xml:space="preserve">will </w:t>
      </w:r>
      <w:r w:rsidR="00A901EB">
        <w:rPr>
          <w:rFonts w:ascii="Calibri" w:eastAsia="Calibri" w:hAnsi="Calibri" w:cs="Times New Roman"/>
          <w:color w:val="auto"/>
          <w:sz w:val="22"/>
          <w:szCs w:val="22"/>
        </w:rPr>
        <w:t xml:space="preserve">be to provide fiduciary support to the </w:t>
      </w:r>
      <w:r w:rsidR="002816DE">
        <w:rPr>
          <w:rFonts w:ascii="Calibri" w:eastAsia="Calibri" w:hAnsi="Calibri" w:cs="Times New Roman"/>
          <w:color w:val="auto"/>
          <w:sz w:val="22"/>
          <w:szCs w:val="22"/>
        </w:rPr>
        <w:t xml:space="preserve">participating institution in </w:t>
      </w:r>
      <w:r w:rsidR="002311F3">
        <w:rPr>
          <w:rFonts w:ascii="Calibri" w:eastAsia="Calibri" w:hAnsi="Calibri" w:cs="Times New Roman"/>
          <w:color w:val="auto"/>
          <w:sz w:val="22"/>
          <w:szCs w:val="22"/>
        </w:rPr>
        <w:t>T</w:t>
      </w:r>
      <w:r w:rsidR="002816DE">
        <w:rPr>
          <w:rFonts w:ascii="Calibri" w:eastAsia="Calibri" w:hAnsi="Calibri" w:cs="Times New Roman"/>
          <w:color w:val="auto"/>
          <w:sz w:val="22"/>
          <w:szCs w:val="22"/>
        </w:rPr>
        <w:t xml:space="preserve">he Gambia. </w:t>
      </w:r>
    </w:p>
    <w:p w14:paraId="5C449B2A" w14:textId="77777777" w:rsidR="002E1A3F" w:rsidRPr="00BF7B75" w:rsidRDefault="00B00100" w:rsidP="008E2709">
      <w:pPr>
        <w:widowControl/>
        <w:tabs>
          <w:tab w:val="left" w:pos="0"/>
          <w:tab w:val="left" w:pos="720"/>
        </w:tabs>
        <w:autoSpaceDE/>
        <w:autoSpaceDN/>
        <w:adjustRightInd/>
        <w:jc w:val="both"/>
        <w:rPr>
          <w:rFonts w:ascii="Calibri" w:eastAsia="Times New Roman" w:hAnsi="Calibri" w:cs="Calibri"/>
          <w:b/>
          <w:color w:val="2E74B5"/>
          <w:sz w:val="22"/>
          <w:szCs w:val="22"/>
        </w:rPr>
      </w:pPr>
      <w:r w:rsidRPr="00B22FEF">
        <w:rPr>
          <w:rFonts w:ascii="Calibri" w:eastAsia="Times New Roman" w:hAnsi="Calibri" w:cs="Calibri"/>
          <w:b/>
          <w:color w:val="2E74B5"/>
          <w:sz w:val="22"/>
          <w:szCs w:val="22"/>
        </w:rPr>
        <w:t xml:space="preserve">Unallocated (Total: </w:t>
      </w:r>
      <w:r w:rsidRPr="006C70A5">
        <w:rPr>
          <w:rFonts w:ascii="Calibri" w:eastAsia="Times New Roman" w:hAnsi="Calibri" w:cs="Calibri"/>
          <w:b/>
          <w:i/>
          <w:color w:val="2E74B5"/>
          <w:sz w:val="22"/>
          <w:szCs w:val="22"/>
        </w:rPr>
        <w:t>US$</w:t>
      </w:r>
      <w:r w:rsidR="00F857E1" w:rsidRPr="006C70A5">
        <w:rPr>
          <w:rFonts w:ascii="Calibri" w:eastAsia="Times New Roman" w:hAnsi="Calibri" w:cs="Calibri"/>
          <w:b/>
          <w:i/>
          <w:color w:val="2E74B5"/>
          <w:sz w:val="22"/>
          <w:szCs w:val="22"/>
        </w:rPr>
        <w:t>1</w:t>
      </w:r>
      <w:r w:rsidR="00B22784" w:rsidRPr="006C70A5">
        <w:rPr>
          <w:rFonts w:ascii="Calibri" w:eastAsia="Times New Roman" w:hAnsi="Calibri" w:cs="Calibri"/>
          <w:b/>
          <w:i/>
          <w:color w:val="2E74B5"/>
          <w:sz w:val="22"/>
          <w:szCs w:val="22"/>
        </w:rPr>
        <w:t>5</w:t>
      </w:r>
      <w:r w:rsidR="00F857E1" w:rsidRPr="006C70A5">
        <w:rPr>
          <w:rFonts w:ascii="Calibri" w:eastAsia="Times New Roman" w:hAnsi="Calibri" w:cs="Calibri"/>
          <w:b/>
          <w:i/>
          <w:color w:val="2E74B5"/>
          <w:sz w:val="22"/>
          <w:szCs w:val="22"/>
        </w:rPr>
        <w:t>.7</w:t>
      </w:r>
      <w:r w:rsidRPr="006C70A5">
        <w:rPr>
          <w:rFonts w:ascii="Calibri" w:eastAsia="Times New Roman" w:hAnsi="Calibri" w:cs="Calibri"/>
          <w:b/>
          <w:i/>
          <w:color w:val="2E74B5"/>
          <w:sz w:val="22"/>
          <w:szCs w:val="22"/>
        </w:rPr>
        <w:t xml:space="preserve"> million equivalent </w:t>
      </w:r>
      <w:r w:rsidR="001076E7" w:rsidRPr="006C70A5">
        <w:rPr>
          <w:rFonts w:ascii="Calibri" w:eastAsia="Times New Roman" w:hAnsi="Calibri" w:cs="Calibri"/>
          <w:b/>
          <w:i/>
          <w:color w:val="2E74B5"/>
          <w:sz w:val="22"/>
          <w:szCs w:val="22"/>
        </w:rPr>
        <w:t>IDA</w:t>
      </w:r>
      <w:r w:rsidRPr="00BF7B75">
        <w:rPr>
          <w:rFonts w:ascii="Calibri" w:eastAsia="Times New Roman" w:hAnsi="Calibri" w:cs="Calibri"/>
          <w:b/>
          <w:color w:val="2E74B5"/>
          <w:sz w:val="22"/>
          <w:szCs w:val="22"/>
        </w:rPr>
        <w:t>)</w:t>
      </w:r>
    </w:p>
    <w:p w14:paraId="4F017F8F" w14:textId="77777777" w:rsidR="002E1A3F" w:rsidRPr="009F4A64"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
          <w:spacing w:val="-1"/>
          <w:sz w:val="22"/>
          <w:szCs w:val="22"/>
        </w:rPr>
      </w:pPr>
      <w:bookmarkStart w:id="101" w:name="_Hlk1941006"/>
      <w:r w:rsidRPr="002E1A3F">
        <w:rPr>
          <w:rFonts w:ascii="Calibri" w:eastAsia="Calibri" w:hAnsi="Calibri" w:cs="Calibri"/>
          <w:b/>
          <w:bCs/>
          <w:spacing w:val="-1"/>
          <w:sz w:val="22"/>
          <w:szCs w:val="22"/>
        </w:rPr>
        <w:t>An amount of US$</w:t>
      </w:r>
      <w:r w:rsidRPr="00F857E1">
        <w:rPr>
          <w:rFonts w:ascii="Calibri" w:eastAsia="Calibri" w:hAnsi="Calibri" w:cs="Calibri"/>
          <w:b/>
          <w:bCs/>
          <w:spacing w:val="-1"/>
          <w:sz w:val="22"/>
          <w:szCs w:val="22"/>
        </w:rPr>
        <w:t>1</w:t>
      </w:r>
      <w:r w:rsidR="000923B8">
        <w:rPr>
          <w:rFonts w:ascii="Calibri" w:eastAsia="Calibri" w:hAnsi="Calibri" w:cs="Calibri"/>
          <w:b/>
          <w:bCs/>
          <w:spacing w:val="-1"/>
          <w:sz w:val="22"/>
          <w:szCs w:val="22"/>
        </w:rPr>
        <w:t>5</w:t>
      </w:r>
      <w:r w:rsidRPr="00F857E1">
        <w:rPr>
          <w:rFonts w:ascii="Calibri" w:eastAsia="Calibri" w:hAnsi="Calibri" w:cs="Calibri"/>
          <w:b/>
          <w:bCs/>
          <w:spacing w:val="-1"/>
          <w:sz w:val="22"/>
          <w:szCs w:val="22"/>
        </w:rPr>
        <w:t>.</w:t>
      </w:r>
      <w:r w:rsidR="00F857E1">
        <w:rPr>
          <w:rFonts w:ascii="Calibri" w:eastAsia="Calibri" w:hAnsi="Calibri" w:cs="Calibri"/>
          <w:b/>
          <w:bCs/>
          <w:spacing w:val="-1"/>
          <w:sz w:val="22"/>
          <w:szCs w:val="22"/>
        </w:rPr>
        <w:t>7</w:t>
      </w:r>
      <w:r w:rsidRPr="00F857E1">
        <w:rPr>
          <w:rFonts w:ascii="Calibri" w:eastAsia="Calibri" w:hAnsi="Calibri" w:cs="Calibri"/>
          <w:b/>
          <w:bCs/>
          <w:spacing w:val="-1"/>
          <w:sz w:val="22"/>
          <w:szCs w:val="22"/>
        </w:rPr>
        <w:t xml:space="preserve"> million will be</w:t>
      </w:r>
      <w:r w:rsidRPr="002E1A3F">
        <w:rPr>
          <w:rFonts w:ascii="Calibri" w:eastAsia="Calibri" w:hAnsi="Calibri" w:cs="Calibri"/>
          <w:b/>
          <w:bCs/>
          <w:spacing w:val="-1"/>
          <w:sz w:val="22"/>
          <w:szCs w:val="22"/>
        </w:rPr>
        <w:t xml:space="preserve"> designated as unal</w:t>
      </w:r>
      <w:r w:rsidRPr="002E1A3F">
        <w:rPr>
          <w:rFonts w:ascii="Calibri" w:eastAsia="Calibri" w:hAnsi="Calibri" w:cs="Calibri"/>
          <w:b/>
          <w:spacing w:val="-1"/>
          <w:sz w:val="22"/>
          <w:szCs w:val="22"/>
        </w:rPr>
        <w:t>l</w:t>
      </w:r>
      <w:r w:rsidRPr="002E1A3F">
        <w:rPr>
          <w:rFonts w:ascii="Calibri" w:eastAsia="Calibri" w:hAnsi="Calibri" w:cs="Calibri"/>
          <w:b/>
          <w:bCs/>
          <w:spacing w:val="-1"/>
          <w:sz w:val="22"/>
          <w:szCs w:val="22"/>
        </w:rPr>
        <w:t xml:space="preserve">ocated funds. </w:t>
      </w:r>
      <w:r w:rsidRPr="002E1A3F">
        <w:rPr>
          <w:rFonts w:ascii="Calibri" w:eastAsia="Calibri" w:hAnsi="Calibri" w:cs="Calibri"/>
          <w:bCs/>
          <w:spacing w:val="-1"/>
          <w:sz w:val="22"/>
          <w:szCs w:val="22"/>
        </w:rPr>
        <w:t xml:space="preserve">At the mid-term review (MTR) of the ACE I </w:t>
      </w:r>
      <w:r w:rsidR="00BB4A89">
        <w:rPr>
          <w:rFonts w:ascii="Calibri" w:eastAsia="Calibri" w:hAnsi="Calibri" w:cs="Calibri"/>
          <w:bCs/>
          <w:spacing w:val="-1"/>
          <w:sz w:val="22"/>
          <w:szCs w:val="22"/>
        </w:rPr>
        <w:t>P</w:t>
      </w:r>
      <w:r w:rsidR="0052316B" w:rsidRPr="002E1A3F">
        <w:rPr>
          <w:rFonts w:ascii="Calibri" w:eastAsia="Calibri" w:hAnsi="Calibri" w:cs="Calibri"/>
          <w:bCs/>
          <w:spacing w:val="-1"/>
          <w:sz w:val="22"/>
          <w:szCs w:val="22"/>
        </w:rPr>
        <w:t>roject</w:t>
      </w:r>
      <w:r w:rsidR="0052316B">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a restructuring of the project was necessary in order to </w:t>
      </w:r>
      <w:r w:rsidR="007C7777">
        <w:rPr>
          <w:rFonts w:ascii="Calibri" w:eastAsia="Calibri" w:hAnsi="Calibri" w:cs="Calibri"/>
          <w:bCs/>
          <w:spacing w:val="-1"/>
          <w:sz w:val="22"/>
          <w:szCs w:val="22"/>
        </w:rPr>
        <w:t>re</w:t>
      </w:r>
      <w:r w:rsidRPr="002E1A3F">
        <w:rPr>
          <w:rFonts w:ascii="Calibri" w:eastAsia="Calibri" w:hAnsi="Calibri" w:cs="Calibri"/>
          <w:bCs/>
          <w:spacing w:val="-1"/>
          <w:sz w:val="22"/>
          <w:szCs w:val="22"/>
        </w:rPr>
        <w:t>allocate funding from less-performing centers to better-performing ACEs in the same country. In th</w:t>
      </w:r>
      <w:r w:rsidR="00B34DF0">
        <w:rPr>
          <w:rFonts w:ascii="Calibri" w:eastAsia="Calibri" w:hAnsi="Calibri" w:cs="Calibri"/>
          <w:bCs/>
          <w:spacing w:val="-1"/>
          <w:sz w:val="22"/>
          <w:szCs w:val="22"/>
        </w:rPr>
        <w:t>is</w:t>
      </w:r>
      <w:r w:rsidRPr="002E1A3F">
        <w:rPr>
          <w:rFonts w:ascii="Calibri" w:eastAsia="Calibri" w:hAnsi="Calibri" w:cs="Calibri"/>
          <w:bCs/>
          <w:spacing w:val="-1"/>
          <w:sz w:val="22"/>
          <w:szCs w:val="22"/>
        </w:rPr>
        <w:t xml:space="preserve"> case where there </w:t>
      </w:r>
      <w:r w:rsidR="00CF2D28">
        <w:rPr>
          <w:rFonts w:ascii="Calibri" w:eastAsia="Calibri" w:hAnsi="Calibri" w:cs="Calibri"/>
          <w:bCs/>
          <w:spacing w:val="-1"/>
          <w:sz w:val="22"/>
          <w:szCs w:val="22"/>
        </w:rPr>
        <w:t>was</w:t>
      </w:r>
      <w:r w:rsidRPr="002E1A3F">
        <w:rPr>
          <w:rFonts w:ascii="Calibri" w:eastAsia="Calibri" w:hAnsi="Calibri" w:cs="Calibri"/>
          <w:bCs/>
          <w:spacing w:val="-1"/>
          <w:sz w:val="22"/>
          <w:szCs w:val="22"/>
        </w:rPr>
        <w:t xml:space="preserve"> one ACE I center</w:t>
      </w:r>
      <w:r w:rsidR="00CF2D28">
        <w:rPr>
          <w:rFonts w:ascii="Calibri" w:eastAsia="Calibri" w:hAnsi="Calibri" w:cs="Calibri"/>
          <w:bCs/>
          <w:spacing w:val="-1"/>
          <w:sz w:val="22"/>
          <w:szCs w:val="22"/>
        </w:rPr>
        <w:t xml:space="preserve"> in a country</w:t>
      </w:r>
      <w:r w:rsidR="00A16F39">
        <w:rPr>
          <w:rFonts w:ascii="Calibri" w:eastAsia="Calibri" w:hAnsi="Calibri" w:cs="Calibri"/>
          <w:bCs/>
          <w:spacing w:val="-1"/>
          <w:sz w:val="22"/>
          <w:szCs w:val="22"/>
        </w:rPr>
        <w:t xml:space="preserve"> and the center was low performing</w:t>
      </w:r>
      <w:r w:rsidR="00D058D0">
        <w:rPr>
          <w:rFonts w:ascii="Calibri" w:eastAsia="Calibri" w:hAnsi="Calibri" w:cs="Calibri"/>
          <w:bCs/>
          <w:spacing w:val="-1"/>
          <w:sz w:val="22"/>
          <w:szCs w:val="22"/>
        </w:rPr>
        <w:t>,</w:t>
      </w:r>
      <w:r w:rsidRPr="002E1A3F">
        <w:rPr>
          <w:rFonts w:ascii="Calibri" w:eastAsia="Calibri" w:hAnsi="Calibri" w:cs="Calibri"/>
          <w:bCs/>
          <w:spacing w:val="-1"/>
          <w:sz w:val="22"/>
          <w:szCs w:val="22"/>
        </w:rPr>
        <w:t xml:space="preserve"> a partial cancellation of funds took place due to low performance. This process was difficult. To avoid removing or cancelling funds from poor performing centers, a varying amount of each country’s funding envelope will remain unallocated. The funds will remain within each country. These unallocated funds will be allocated during project implementation to either: (i) centers and host universities that are producing strong results to further improve overall impact; or (ii) unforeseen but necessary activities critical for the achievement of the PDO. Following an evaluation of the performance of ACE centers at </w:t>
      </w:r>
      <w:r w:rsidR="00D058D0">
        <w:rPr>
          <w:rFonts w:ascii="Calibri" w:eastAsia="Calibri" w:hAnsi="Calibri" w:cs="Calibri"/>
          <w:bCs/>
          <w:spacing w:val="-1"/>
          <w:sz w:val="22"/>
          <w:szCs w:val="22"/>
        </w:rPr>
        <w:t xml:space="preserve">the </w:t>
      </w:r>
      <w:r w:rsidR="00B34DF0">
        <w:rPr>
          <w:rFonts w:ascii="Calibri" w:eastAsia="Calibri" w:hAnsi="Calibri" w:cs="Calibri"/>
          <w:bCs/>
          <w:spacing w:val="-1"/>
          <w:sz w:val="22"/>
          <w:szCs w:val="22"/>
        </w:rPr>
        <w:t>MTR</w:t>
      </w:r>
      <w:r w:rsidRPr="002E1A3F">
        <w:rPr>
          <w:rFonts w:ascii="Calibri" w:eastAsia="Calibri" w:hAnsi="Calibri" w:cs="Calibri"/>
          <w:bCs/>
          <w:spacing w:val="-1"/>
          <w:sz w:val="22"/>
          <w:szCs w:val="22"/>
        </w:rPr>
        <w:t>, the World Bank in discussion with governments will decide which ACE centers will receive the unallocated funding within each country’s funding envelope.</w:t>
      </w:r>
    </w:p>
    <w:bookmarkEnd w:id="101"/>
    <w:p w14:paraId="078780F9" w14:textId="77777777" w:rsidR="00D87F23" w:rsidRPr="002E1A3F" w:rsidRDefault="00D87F23" w:rsidP="002E1A3F">
      <w:pPr>
        <w:tabs>
          <w:tab w:val="left" w:pos="0"/>
          <w:tab w:val="left" w:pos="720"/>
        </w:tabs>
        <w:spacing w:after="240"/>
        <w:jc w:val="both"/>
        <w:rPr>
          <w:rFonts w:ascii="Calibri" w:eastAsia="Calibri" w:hAnsi="Calibri" w:cs="Calibri"/>
          <w:b/>
          <w:spacing w:val="-1"/>
          <w:sz w:val="22"/>
          <w:szCs w:val="22"/>
        </w:rPr>
        <w:sectPr w:rsidR="00D87F23" w:rsidRPr="002E1A3F" w:rsidSect="006C70A5">
          <w:headerReference w:type="default" r:id="rId29"/>
          <w:footerReference w:type="default" r:id="rId30"/>
          <w:footerReference w:type="first" r:id="rId31"/>
          <w:pgSz w:w="12240" w:h="15840"/>
          <w:pgMar w:top="1670" w:right="1440" w:bottom="1440" w:left="1440" w:header="0" w:footer="0" w:gutter="0"/>
          <w:cols w:space="720"/>
          <w:docGrid w:linePitch="360"/>
        </w:sectPr>
      </w:pPr>
    </w:p>
    <w:bookmarkEnd w:id="98"/>
    <w:p w14:paraId="746B72C5" w14:textId="77777777" w:rsidR="002E1A3F" w:rsidRDefault="00B00100" w:rsidP="002E1A3F">
      <w:pPr>
        <w:keepNext/>
        <w:keepLines/>
        <w:tabs>
          <w:tab w:val="left" w:pos="0"/>
          <w:tab w:val="left" w:pos="720"/>
        </w:tabs>
        <w:spacing w:after="120"/>
        <w:jc w:val="center"/>
        <w:rPr>
          <w:rFonts w:ascii="Calibri" w:eastAsia="Calibri" w:hAnsi="Calibri" w:cs="Calibri"/>
          <w:b/>
          <w:i/>
          <w:spacing w:val="-1"/>
          <w:sz w:val="22"/>
          <w:szCs w:val="22"/>
        </w:rPr>
      </w:pPr>
      <w:r w:rsidRPr="00064BFD">
        <w:rPr>
          <w:rFonts w:ascii="Calibri" w:eastAsia="Calibri" w:hAnsi="Calibri" w:cs="Calibri"/>
          <w:b/>
          <w:spacing w:val="-1"/>
          <w:sz w:val="22"/>
          <w:szCs w:val="22"/>
        </w:rPr>
        <w:lastRenderedPageBreak/>
        <w:t xml:space="preserve">Table </w:t>
      </w:r>
      <w:r w:rsidR="008945EB">
        <w:rPr>
          <w:rFonts w:ascii="Calibri" w:eastAsia="Calibri" w:hAnsi="Calibri" w:cs="Calibri"/>
          <w:b/>
          <w:spacing w:val="-1"/>
          <w:sz w:val="22"/>
          <w:szCs w:val="22"/>
        </w:rPr>
        <w:t>4</w:t>
      </w:r>
      <w:r w:rsidRPr="00064BFD">
        <w:rPr>
          <w:rFonts w:ascii="Calibri" w:eastAsia="Calibri,Times New Roman" w:hAnsi="Calibri" w:cs="Calibri"/>
          <w:b/>
          <w:spacing w:val="-1"/>
          <w:sz w:val="22"/>
          <w:szCs w:val="22"/>
        </w:rPr>
        <w:t xml:space="preserve">. </w:t>
      </w:r>
      <w:r w:rsidRPr="00064BFD">
        <w:rPr>
          <w:rFonts w:ascii="Calibri" w:eastAsia="Calibri,Times New Roman" w:hAnsi="Calibri" w:cs="Calibri"/>
          <w:b/>
          <w:i/>
          <w:spacing w:val="-1"/>
          <w:sz w:val="22"/>
          <w:szCs w:val="22"/>
        </w:rPr>
        <w:t xml:space="preserve">IDA </w:t>
      </w:r>
      <w:r w:rsidRPr="00064BFD">
        <w:rPr>
          <w:rFonts w:ascii="Calibri" w:eastAsia="Calibri" w:hAnsi="Calibri" w:cs="Calibri"/>
          <w:b/>
          <w:i/>
          <w:spacing w:val="-1"/>
          <w:sz w:val="22"/>
          <w:szCs w:val="22"/>
        </w:rPr>
        <w:t xml:space="preserve">Funding </w:t>
      </w:r>
      <w:r w:rsidR="0086053A">
        <w:rPr>
          <w:rFonts w:ascii="Calibri" w:eastAsia="Calibri" w:hAnsi="Calibri" w:cs="Calibri"/>
          <w:b/>
          <w:i/>
          <w:spacing w:val="-1"/>
          <w:sz w:val="22"/>
          <w:szCs w:val="22"/>
        </w:rPr>
        <w:t>A</w:t>
      </w:r>
      <w:r w:rsidRPr="00064BFD">
        <w:rPr>
          <w:rFonts w:ascii="Calibri" w:eastAsia="Calibri" w:hAnsi="Calibri" w:cs="Calibri"/>
          <w:b/>
          <w:i/>
          <w:spacing w:val="-1"/>
          <w:sz w:val="22"/>
          <w:szCs w:val="22"/>
        </w:rPr>
        <w:t xml:space="preserve">llocation for </w:t>
      </w:r>
      <w:r w:rsidR="0086053A">
        <w:rPr>
          <w:rFonts w:ascii="Calibri" w:eastAsia="Calibri" w:hAnsi="Calibri" w:cs="Calibri"/>
          <w:b/>
          <w:i/>
          <w:spacing w:val="-1"/>
          <w:sz w:val="22"/>
          <w:szCs w:val="22"/>
        </w:rPr>
        <w:t>P</w:t>
      </w:r>
      <w:r w:rsidRPr="00064BFD">
        <w:rPr>
          <w:rFonts w:ascii="Calibri" w:eastAsia="Calibri" w:hAnsi="Calibri" w:cs="Calibri"/>
          <w:b/>
          <w:i/>
          <w:spacing w:val="-1"/>
          <w:sz w:val="22"/>
          <w:szCs w:val="22"/>
        </w:rPr>
        <w:t xml:space="preserve">articipating </w:t>
      </w:r>
      <w:r w:rsidR="0086053A">
        <w:rPr>
          <w:rFonts w:ascii="Calibri" w:eastAsia="Calibri" w:hAnsi="Calibri" w:cs="Calibri"/>
          <w:b/>
          <w:i/>
          <w:spacing w:val="-1"/>
          <w:sz w:val="22"/>
          <w:szCs w:val="22"/>
        </w:rPr>
        <w:t>C</w:t>
      </w:r>
      <w:r w:rsidRPr="00064BFD">
        <w:rPr>
          <w:rFonts w:ascii="Calibri" w:eastAsia="Calibri" w:hAnsi="Calibri" w:cs="Calibri"/>
          <w:b/>
          <w:i/>
          <w:spacing w:val="-1"/>
          <w:sz w:val="22"/>
          <w:szCs w:val="22"/>
        </w:rPr>
        <w:t xml:space="preserve">ountries </w:t>
      </w:r>
      <w:r w:rsidR="0086053A">
        <w:rPr>
          <w:rFonts w:ascii="Calibri" w:eastAsia="Calibri" w:hAnsi="Calibri" w:cs="Calibri"/>
          <w:b/>
          <w:i/>
          <w:spacing w:val="-1"/>
          <w:sz w:val="22"/>
          <w:szCs w:val="22"/>
        </w:rPr>
        <w:t>S</w:t>
      </w:r>
      <w:r w:rsidRPr="00064BFD">
        <w:rPr>
          <w:rFonts w:ascii="Calibri" w:eastAsia="Calibri" w:hAnsi="Calibri" w:cs="Calibri"/>
          <w:b/>
          <w:i/>
          <w:spacing w:val="-1"/>
          <w:sz w:val="22"/>
          <w:szCs w:val="22"/>
        </w:rPr>
        <w:t xml:space="preserve">howing </w:t>
      </w:r>
      <w:r w:rsidR="0086053A">
        <w:rPr>
          <w:rFonts w:ascii="Calibri" w:eastAsia="Calibri" w:hAnsi="Calibri" w:cs="Calibri"/>
          <w:b/>
          <w:i/>
          <w:spacing w:val="-1"/>
          <w:sz w:val="22"/>
          <w:szCs w:val="22"/>
        </w:rPr>
        <w:t>E</w:t>
      </w:r>
      <w:r w:rsidRPr="00064BFD">
        <w:rPr>
          <w:rFonts w:ascii="Calibri" w:eastAsia="Calibri" w:hAnsi="Calibri" w:cs="Calibri"/>
          <w:b/>
          <w:i/>
          <w:spacing w:val="-1"/>
          <w:sz w:val="22"/>
          <w:szCs w:val="22"/>
        </w:rPr>
        <w:t xml:space="preserve">stimated </w:t>
      </w:r>
      <w:r w:rsidR="0086053A">
        <w:rPr>
          <w:rFonts w:ascii="Calibri" w:eastAsia="Calibri" w:hAnsi="Calibri" w:cs="Calibri"/>
          <w:b/>
          <w:i/>
          <w:spacing w:val="-1"/>
          <w:sz w:val="22"/>
          <w:szCs w:val="22"/>
        </w:rPr>
        <w:t>B</w:t>
      </w:r>
      <w:r w:rsidRPr="00064BFD">
        <w:rPr>
          <w:rFonts w:ascii="Calibri" w:eastAsia="Calibri" w:hAnsi="Calibri" w:cs="Calibri"/>
          <w:b/>
          <w:i/>
          <w:spacing w:val="-1"/>
          <w:sz w:val="22"/>
          <w:szCs w:val="22"/>
        </w:rPr>
        <w:t xml:space="preserve">reakdown by </w:t>
      </w:r>
      <w:r w:rsidR="00911323" w:rsidRPr="00064BFD">
        <w:rPr>
          <w:rFonts w:ascii="Calibri" w:eastAsia="Calibri" w:hAnsi="Calibri" w:cs="Calibri"/>
          <w:b/>
          <w:i/>
          <w:spacing w:val="-1"/>
          <w:sz w:val="22"/>
          <w:szCs w:val="22"/>
        </w:rPr>
        <w:t>C</w:t>
      </w:r>
      <w:r w:rsidRPr="00064BFD">
        <w:rPr>
          <w:rFonts w:ascii="Calibri" w:eastAsia="Calibri" w:hAnsi="Calibri" w:cs="Calibri"/>
          <w:b/>
          <w:i/>
          <w:spacing w:val="-1"/>
          <w:sz w:val="22"/>
          <w:szCs w:val="22"/>
        </w:rPr>
        <w:t>omponents/</w:t>
      </w:r>
      <w:r w:rsidR="00911323" w:rsidRPr="00064BFD">
        <w:rPr>
          <w:rFonts w:ascii="Calibri" w:eastAsia="Calibri" w:hAnsi="Calibri" w:cs="Calibri"/>
          <w:b/>
          <w:i/>
          <w:spacing w:val="-1"/>
          <w:sz w:val="22"/>
          <w:szCs w:val="22"/>
        </w:rPr>
        <w:t>S</w:t>
      </w:r>
      <w:r w:rsidRPr="00064BFD">
        <w:rPr>
          <w:rFonts w:ascii="Calibri" w:eastAsia="Calibri" w:hAnsi="Calibri" w:cs="Calibri"/>
          <w:b/>
          <w:i/>
          <w:spacing w:val="-1"/>
          <w:sz w:val="22"/>
          <w:szCs w:val="22"/>
        </w:rPr>
        <w:t xml:space="preserve">ub-components (US$ million equivalent) </w:t>
      </w:r>
    </w:p>
    <w:tbl>
      <w:tblPr>
        <w:tblW w:w="141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92"/>
        <w:gridCol w:w="843"/>
        <w:gridCol w:w="757"/>
        <w:gridCol w:w="818"/>
        <w:gridCol w:w="540"/>
        <w:gridCol w:w="984"/>
        <w:gridCol w:w="540"/>
        <w:gridCol w:w="990"/>
        <w:gridCol w:w="1170"/>
        <w:gridCol w:w="900"/>
        <w:gridCol w:w="810"/>
        <w:gridCol w:w="810"/>
        <w:gridCol w:w="900"/>
        <w:gridCol w:w="810"/>
        <w:gridCol w:w="1086"/>
        <w:gridCol w:w="1080"/>
      </w:tblGrid>
      <w:tr w:rsidR="000C3959" w14:paraId="7926E4F7" w14:textId="77777777" w:rsidTr="00A01C2F">
        <w:trPr>
          <w:trHeight w:val="367"/>
          <w:jc w:val="center"/>
        </w:trPr>
        <w:tc>
          <w:tcPr>
            <w:tcW w:w="1092" w:type="dxa"/>
            <w:vMerge w:val="restart"/>
            <w:shd w:val="clear" w:color="000000" w:fill="D0CECE"/>
            <w:vAlign w:val="center"/>
            <w:hideMark/>
          </w:tcPr>
          <w:p w14:paraId="591EF71C"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Participating Countries and the RFU</w:t>
            </w:r>
          </w:p>
        </w:tc>
        <w:tc>
          <w:tcPr>
            <w:tcW w:w="843" w:type="dxa"/>
            <w:vMerge w:val="restart"/>
            <w:shd w:val="clear" w:color="000000" w:fill="D0CECE"/>
            <w:vAlign w:val="center"/>
            <w:hideMark/>
          </w:tcPr>
          <w:p w14:paraId="13FADDA4"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 </w:t>
            </w:r>
          </w:p>
          <w:p w14:paraId="1A15A8B5"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 </w:t>
            </w:r>
          </w:p>
          <w:p w14:paraId="4BF5F036"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 </w:t>
            </w:r>
          </w:p>
          <w:p w14:paraId="350D13E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Total Funding</w:t>
            </w:r>
          </w:p>
          <w:p w14:paraId="51C10E9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76595486"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5C0C962F"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 </w:t>
            </w:r>
          </w:p>
          <w:p w14:paraId="69EA6C80"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 </w:t>
            </w:r>
          </w:p>
          <w:p w14:paraId="61516C20"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b/>
                <w:bCs/>
                <w:sz w:val="16"/>
                <w:szCs w:val="16"/>
              </w:rPr>
              <w:t> </w:t>
            </w:r>
          </w:p>
        </w:tc>
        <w:tc>
          <w:tcPr>
            <w:tcW w:w="1575" w:type="dxa"/>
            <w:gridSpan w:val="2"/>
            <w:shd w:val="clear" w:color="000000" w:fill="D0CECE"/>
            <w:vAlign w:val="center"/>
            <w:hideMark/>
          </w:tcPr>
          <w:p w14:paraId="0BADEA9C"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Source</w:t>
            </w:r>
          </w:p>
        </w:tc>
        <w:tc>
          <w:tcPr>
            <w:tcW w:w="10620" w:type="dxa"/>
            <w:gridSpan w:val="12"/>
            <w:shd w:val="clear" w:color="000000" w:fill="D0CECE"/>
            <w:vAlign w:val="center"/>
          </w:tcPr>
          <w:p w14:paraId="2A0E142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w:t>
            </w:r>
            <w:r>
              <w:rPr>
                <w:rFonts w:ascii="Calibri" w:eastAsia="Times New Roman" w:hAnsi="Calibri" w:cs="Calibri"/>
                <w:b/>
                <w:bCs/>
                <w:sz w:val="16"/>
                <w:szCs w:val="16"/>
              </w:rPr>
              <w:t>C</w:t>
            </w:r>
            <w:r w:rsidRPr="002E1A3F">
              <w:rPr>
                <w:rFonts w:ascii="Calibri" w:eastAsia="Times New Roman" w:hAnsi="Calibri" w:cs="Calibri"/>
                <w:b/>
                <w:bCs/>
                <w:sz w:val="16"/>
                <w:szCs w:val="16"/>
              </w:rPr>
              <w:t>omponents</w:t>
            </w:r>
          </w:p>
        </w:tc>
      </w:tr>
      <w:tr w:rsidR="000C3959" w14:paraId="06B4DB90" w14:textId="77777777" w:rsidTr="00A01C2F">
        <w:trPr>
          <w:trHeight w:val="980"/>
          <w:jc w:val="center"/>
        </w:trPr>
        <w:tc>
          <w:tcPr>
            <w:tcW w:w="1092" w:type="dxa"/>
            <w:vMerge/>
            <w:vAlign w:val="center"/>
            <w:hideMark/>
          </w:tcPr>
          <w:p w14:paraId="642AD3A9" w14:textId="77777777" w:rsidR="00DE79C8" w:rsidRPr="002E1A3F" w:rsidRDefault="00DE79C8" w:rsidP="00A01C2F">
            <w:pPr>
              <w:widowControl/>
              <w:autoSpaceDE/>
              <w:autoSpaceDN/>
              <w:adjustRightInd/>
              <w:rPr>
                <w:rFonts w:ascii="Calibri" w:eastAsia="Times New Roman" w:hAnsi="Calibri" w:cs="Calibri"/>
                <w:b/>
                <w:bCs/>
                <w:sz w:val="16"/>
                <w:szCs w:val="16"/>
              </w:rPr>
            </w:pPr>
          </w:p>
        </w:tc>
        <w:tc>
          <w:tcPr>
            <w:tcW w:w="843" w:type="dxa"/>
            <w:vMerge/>
            <w:shd w:val="clear" w:color="000000" w:fill="D0CECE"/>
            <w:vAlign w:val="center"/>
            <w:hideMark/>
          </w:tcPr>
          <w:p w14:paraId="5A06E504" w14:textId="77777777" w:rsidR="00DE79C8" w:rsidRPr="002E1A3F" w:rsidRDefault="00DE79C8" w:rsidP="00A01C2F">
            <w:pPr>
              <w:rPr>
                <w:rFonts w:ascii="Calibri" w:eastAsia="Times New Roman" w:hAnsi="Calibri" w:cs="Calibri"/>
                <w:b/>
                <w:bCs/>
                <w:sz w:val="16"/>
                <w:szCs w:val="16"/>
              </w:rPr>
            </w:pPr>
          </w:p>
        </w:tc>
        <w:tc>
          <w:tcPr>
            <w:tcW w:w="757" w:type="dxa"/>
            <w:shd w:val="clear" w:color="000000" w:fill="D0CECE"/>
            <w:vAlign w:val="center"/>
            <w:hideMark/>
          </w:tcPr>
          <w:p w14:paraId="558CB68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IDA Credit/ Grant</w:t>
            </w:r>
          </w:p>
        </w:tc>
        <w:tc>
          <w:tcPr>
            <w:tcW w:w="818" w:type="dxa"/>
            <w:shd w:val="clear" w:color="000000" w:fill="D0CECE"/>
            <w:vAlign w:val="center"/>
            <w:hideMark/>
          </w:tcPr>
          <w:p w14:paraId="1242237F"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AFD Credit</w:t>
            </w:r>
          </w:p>
          <w:p w14:paraId="0E586E32"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 </w:t>
            </w:r>
          </w:p>
        </w:tc>
        <w:tc>
          <w:tcPr>
            <w:tcW w:w="5124" w:type="dxa"/>
            <w:gridSpan w:val="6"/>
            <w:shd w:val="clear" w:color="000000" w:fill="D0CECE"/>
            <w:vAlign w:val="center"/>
            <w:hideMark/>
          </w:tcPr>
          <w:p w14:paraId="71882A56"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Component 1 </w:t>
            </w:r>
          </w:p>
          <w:p w14:paraId="0FCD0B99"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New and Renewal ACEs (</w:t>
            </w:r>
            <w:r w:rsidRPr="002E1A3F">
              <w:rPr>
                <w:rFonts w:ascii="Calibri" w:eastAsia="Times New Roman" w:hAnsi="Calibri" w:cs="Calibri"/>
                <w:b/>
                <w:bCs/>
                <w:i/>
                <w:iCs/>
                <w:sz w:val="16"/>
                <w:szCs w:val="16"/>
              </w:rPr>
              <w:t>ACE Impact centers</w:t>
            </w:r>
            <w:r w:rsidRPr="002E1A3F">
              <w:rPr>
                <w:rFonts w:ascii="Calibri" w:eastAsia="Times New Roman" w:hAnsi="Calibri" w:cs="Calibri"/>
                <w:b/>
                <w:bCs/>
                <w:sz w:val="16"/>
                <w:szCs w:val="16"/>
              </w:rPr>
              <w:t>)</w:t>
            </w:r>
          </w:p>
        </w:tc>
        <w:tc>
          <w:tcPr>
            <w:tcW w:w="3330" w:type="dxa"/>
            <w:gridSpan w:val="4"/>
            <w:shd w:val="clear" w:color="000000" w:fill="D0CECE"/>
            <w:vAlign w:val="center"/>
            <w:hideMark/>
          </w:tcPr>
          <w:p w14:paraId="4842A4D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Component 2</w:t>
            </w:r>
          </w:p>
          <w:p w14:paraId="3FBB28D8"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Regional partnerships &amp; Scholarships</w:t>
            </w:r>
          </w:p>
        </w:tc>
        <w:tc>
          <w:tcPr>
            <w:tcW w:w="1086" w:type="dxa"/>
            <w:shd w:val="clear" w:color="000000" w:fill="D0CECE"/>
            <w:vAlign w:val="center"/>
            <w:hideMark/>
          </w:tcPr>
          <w:p w14:paraId="0A1AC4A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Component 3 Natl. </w:t>
            </w:r>
            <w:r w:rsidR="00F84421">
              <w:rPr>
                <w:rFonts w:ascii="Calibri" w:eastAsia="Times New Roman" w:hAnsi="Calibri" w:cs="Calibri"/>
                <w:b/>
                <w:bCs/>
                <w:sz w:val="16"/>
                <w:szCs w:val="16"/>
              </w:rPr>
              <w:t>&amp; Reg.</w:t>
            </w:r>
            <w:r w:rsidRPr="002E1A3F">
              <w:rPr>
                <w:rFonts w:ascii="Calibri" w:eastAsia="Times New Roman" w:hAnsi="Calibri" w:cs="Calibri"/>
                <w:b/>
                <w:bCs/>
                <w:sz w:val="16"/>
                <w:szCs w:val="16"/>
              </w:rPr>
              <w:t xml:space="preserve"> level facilitation &amp; M&amp;E</w:t>
            </w:r>
          </w:p>
        </w:tc>
        <w:tc>
          <w:tcPr>
            <w:tcW w:w="1080" w:type="dxa"/>
            <w:shd w:val="clear" w:color="000000" w:fill="D0CECE"/>
            <w:vAlign w:val="center"/>
            <w:hideMark/>
          </w:tcPr>
          <w:p w14:paraId="3FF720DF"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Unallocated</w:t>
            </w:r>
          </w:p>
        </w:tc>
      </w:tr>
      <w:tr w:rsidR="000C3959" w14:paraId="0C796E6A" w14:textId="77777777" w:rsidTr="00A01C2F">
        <w:trPr>
          <w:trHeight w:val="686"/>
          <w:jc w:val="center"/>
        </w:trPr>
        <w:tc>
          <w:tcPr>
            <w:tcW w:w="1092" w:type="dxa"/>
            <w:vMerge/>
            <w:vAlign w:val="center"/>
            <w:hideMark/>
          </w:tcPr>
          <w:p w14:paraId="6357E0E7" w14:textId="77777777" w:rsidR="00DE79C8" w:rsidRPr="002E1A3F" w:rsidRDefault="00DE79C8" w:rsidP="00A01C2F">
            <w:pPr>
              <w:widowControl/>
              <w:autoSpaceDE/>
              <w:autoSpaceDN/>
              <w:adjustRightInd/>
              <w:rPr>
                <w:rFonts w:ascii="Calibri" w:eastAsia="Times New Roman" w:hAnsi="Calibri" w:cs="Calibri"/>
                <w:b/>
                <w:bCs/>
                <w:sz w:val="16"/>
                <w:szCs w:val="16"/>
              </w:rPr>
            </w:pPr>
          </w:p>
        </w:tc>
        <w:tc>
          <w:tcPr>
            <w:tcW w:w="843" w:type="dxa"/>
            <w:vMerge/>
            <w:shd w:val="clear" w:color="000000" w:fill="D0CECE"/>
            <w:vAlign w:val="center"/>
            <w:hideMark/>
          </w:tcPr>
          <w:p w14:paraId="3D5BE399" w14:textId="77777777" w:rsidR="00DE79C8" w:rsidRPr="002E1A3F" w:rsidRDefault="00DE79C8" w:rsidP="00A01C2F">
            <w:pPr>
              <w:rPr>
                <w:rFonts w:ascii="Calibri" w:eastAsia="Times New Roman" w:hAnsi="Calibri" w:cs="Calibri"/>
                <w:b/>
                <w:bCs/>
                <w:sz w:val="16"/>
                <w:szCs w:val="16"/>
              </w:rPr>
            </w:pPr>
          </w:p>
        </w:tc>
        <w:tc>
          <w:tcPr>
            <w:tcW w:w="757" w:type="dxa"/>
            <w:vMerge w:val="restart"/>
            <w:shd w:val="clear" w:color="000000" w:fill="D0CECE"/>
            <w:vAlign w:val="center"/>
            <w:hideMark/>
          </w:tcPr>
          <w:p w14:paraId="09372AB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Total Funding</w:t>
            </w:r>
          </w:p>
          <w:p w14:paraId="246E88EC"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3F87826D"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4CA36E62"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sz w:val="22"/>
                <w:szCs w:val="22"/>
              </w:rPr>
              <w:t> </w:t>
            </w:r>
          </w:p>
          <w:p w14:paraId="34CE76D3"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6FB15298"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818" w:type="dxa"/>
            <w:vMerge w:val="restart"/>
            <w:shd w:val="clear" w:color="000000" w:fill="D0CECE"/>
            <w:vAlign w:val="center"/>
            <w:hideMark/>
          </w:tcPr>
          <w:p w14:paraId="00BA782D"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Total Funding</w:t>
            </w:r>
          </w:p>
          <w:p w14:paraId="0CA0F9A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1695D143"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0C89BDAA"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1B3DD513"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2E23FF7A"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sz w:val="22"/>
                <w:szCs w:val="22"/>
              </w:rPr>
              <w:t> </w:t>
            </w:r>
          </w:p>
        </w:tc>
        <w:tc>
          <w:tcPr>
            <w:tcW w:w="1524" w:type="dxa"/>
            <w:gridSpan w:val="2"/>
            <w:shd w:val="clear" w:color="000000" w:fill="D0CECE"/>
            <w:vAlign w:val="center"/>
            <w:hideMark/>
          </w:tcPr>
          <w:p w14:paraId="360CA4AE"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Sub-comp. 1.1</w:t>
            </w:r>
            <w:r w:rsidRPr="002E1A3F">
              <w:rPr>
                <w:rFonts w:ascii="Calibri" w:eastAsia="Times New Roman" w:hAnsi="Calibri" w:cs="Calibri"/>
                <w:b/>
                <w:bCs/>
                <w:sz w:val="16"/>
                <w:szCs w:val="16"/>
              </w:rPr>
              <w:t> </w:t>
            </w:r>
          </w:p>
          <w:p w14:paraId="1E166FA2" w14:textId="77777777" w:rsidR="00DE79C8" w:rsidRPr="002E1A3F" w:rsidRDefault="00B00100" w:rsidP="00A01C2F">
            <w:pPr>
              <w:jc w:val="center"/>
              <w:rPr>
                <w:rFonts w:ascii="Calibri" w:eastAsia="Times New Roman" w:hAnsi="Calibri" w:cs="Calibri"/>
                <w:b/>
                <w:bCs/>
                <w:sz w:val="16"/>
                <w:szCs w:val="16"/>
              </w:rPr>
            </w:pPr>
            <w:r>
              <w:rPr>
                <w:rFonts w:ascii="Calibri" w:eastAsia="Times New Roman" w:hAnsi="Calibri" w:cs="Calibri"/>
                <w:b/>
                <w:bCs/>
                <w:sz w:val="16"/>
                <w:szCs w:val="16"/>
              </w:rPr>
              <w:t>New ACEs</w:t>
            </w:r>
            <w:r w:rsidRPr="002E1A3F">
              <w:rPr>
                <w:rFonts w:ascii="Calibri" w:eastAsia="Times New Roman" w:hAnsi="Calibri" w:cs="Calibri"/>
                <w:b/>
                <w:bCs/>
                <w:sz w:val="16"/>
                <w:szCs w:val="16"/>
              </w:rPr>
              <w:t> </w:t>
            </w:r>
          </w:p>
        </w:tc>
        <w:tc>
          <w:tcPr>
            <w:tcW w:w="2700" w:type="dxa"/>
            <w:gridSpan w:val="3"/>
            <w:shd w:val="clear" w:color="000000" w:fill="D0CECE"/>
            <w:vAlign w:val="center"/>
            <w:hideMark/>
          </w:tcPr>
          <w:p w14:paraId="5DC54F8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Sub-comp. 1.2</w:t>
            </w:r>
          </w:p>
          <w:p w14:paraId="7587BD6F"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ACE I Renewals </w:t>
            </w:r>
          </w:p>
        </w:tc>
        <w:tc>
          <w:tcPr>
            <w:tcW w:w="900" w:type="dxa"/>
            <w:vMerge w:val="restart"/>
            <w:shd w:val="clear" w:color="000000" w:fill="D0CECE"/>
            <w:vAlign w:val="center"/>
            <w:hideMark/>
          </w:tcPr>
          <w:p w14:paraId="737B46A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Comp. 1 Total </w:t>
            </w:r>
          </w:p>
          <w:p w14:paraId="5B52744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w:t>
            </w:r>
            <w:r>
              <w:rPr>
                <w:rFonts w:ascii="Calibri" w:eastAsia="Times New Roman" w:hAnsi="Calibri" w:cs="Calibri"/>
                <w:b/>
                <w:bCs/>
                <w:sz w:val="16"/>
                <w:szCs w:val="16"/>
              </w:rPr>
              <w:t>l</w:t>
            </w:r>
            <w:r w:rsidRPr="002E1A3F">
              <w:rPr>
                <w:rFonts w:ascii="Calibri" w:eastAsia="Times New Roman" w:hAnsi="Calibri" w:cs="Calibri"/>
                <w:b/>
                <w:bCs/>
                <w:sz w:val="16"/>
                <w:szCs w:val="16"/>
              </w:rPr>
              <w:t>l</w:t>
            </w:r>
            <w:r>
              <w:rPr>
                <w:rFonts w:ascii="Calibri" w:eastAsia="Times New Roman" w:hAnsi="Calibri" w:cs="Calibri"/>
                <w:b/>
                <w:bCs/>
                <w:sz w:val="16"/>
                <w:szCs w:val="16"/>
              </w:rPr>
              <w:t>ion</w:t>
            </w:r>
            <w:r w:rsidRPr="002E1A3F">
              <w:rPr>
                <w:rFonts w:ascii="Calibri" w:eastAsia="Times New Roman" w:hAnsi="Calibri" w:cs="Calibri"/>
                <w:b/>
                <w:bCs/>
                <w:sz w:val="16"/>
                <w:szCs w:val="16"/>
              </w:rPr>
              <w:t>)</w:t>
            </w:r>
          </w:p>
          <w:p w14:paraId="054361CC"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050B83B7"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25C8A43A"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p w14:paraId="1D510702"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1620" w:type="dxa"/>
            <w:gridSpan w:val="2"/>
            <w:shd w:val="clear" w:color="000000" w:fill="D0CECE"/>
            <w:vAlign w:val="center"/>
            <w:hideMark/>
          </w:tcPr>
          <w:p w14:paraId="4886AB92"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Sub-comp 2.1 Emerging Centers</w:t>
            </w:r>
          </w:p>
        </w:tc>
        <w:tc>
          <w:tcPr>
            <w:tcW w:w="900" w:type="dxa"/>
            <w:shd w:val="clear" w:color="000000" w:fill="D0CECE"/>
            <w:vAlign w:val="center"/>
            <w:hideMark/>
          </w:tcPr>
          <w:p w14:paraId="7170E3B1"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Sub-comp 2.2 PASET RSIF </w:t>
            </w:r>
          </w:p>
        </w:tc>
        <w:tc>
          <w:tcPr>
            <w:tcW w:w="810" w:type="dxa"/>
            <w:vMerge w:val="restart"/>
            <w:shd w:val="clear" w:color="000000" w:fill="D0CECE"/>
            <w:vAlign w:val="center"/>
            <w:hideMark/>
          </w:tcPr>
          <w:p w14:paraId="12DBED79"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Comp. 2 Total  </w:t>
            </w:r>
          </w:p>
          <w:p w14:paraId="1A31EB4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081C2F6E"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3C54559E"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0A657341"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71034AD2"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1086" w:type="dxa"/>
            <w:vMerge w:val="restart"/>
            <w:shd w:val="clear" w:color="000000" w:fill="D0CECE"/>
            <w:vAlign w:val="center"/>
            <w:hideMark/>
          </w:tcPr>
          <w:p w14:paraId="265A3BB3"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Comp. 3 </w:t>
            </w:r>
          </w:p>
          <w:p w14:paraId="6EB0FA9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lang w:val="fr-FR"/>
              </w:rPr>
              <w:t xml:space="preserve">Total  </w:t>
            </w:r>
          </w:p>
          <w:p w14:paraId="168A9EBE"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lang w:val="fr-FR"/>
              </w:rPr>
              <w:t>(US$ million)</w:t>
            </w:r>
          </w:p>
          <w:p w14:paraId="5EF8ACDF"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050CDCA7"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5979ACE3"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1080" w:type="dxa"/>
            <w:vMerge w:val="restart"/>
            <w:shd w:val="clear" w:color="000000" w:fill="D0CECE"/>
            <w:vAlign w:val="center"/>
            <w:hideMark/>
          </w:tcPr>
          <w:p w14:paraId="2BEA5F7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Unallocated</w:t>
            </w:r>
          </w:p>
          <w:p w14:paraId="595D8B1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Total  </w:t>
            </w:r>
          </w:p>
          <w:p w14:paraId="74AD9492"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42298D1D"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4F1776EA"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5239BFA1"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r>
      <w:tr w:rsidR="000C3959" w14:paraId="25E75A30" w14:textId="77777777" w:rsidTr="00A01C2F">
        <w:trPr>
          <w:trHeight w:val="1268"/>
          <w:jc w:val="center"/>
        </w:trPr>
        <w:tc>
          <w:tcPr>
            <w:tcW w:w="1092" w:type="dxa"/>
            <w:vMerge/>
            <w:vAlign w:val="center"/>
            <w:hideMark/>
          </w:tcPr>
          <w:p w14:paraId="298D93B4" w14:textId="77777777" w:rsidR="00DE79C8" w:rsidRPr="002E1A3F" w:rsidRDefault="00DE79C8" w:rsidP="00A01C2F">
            <w:pPr>
              <w:widowControl/>
              <w:autoSpaceDE/>
              <w:autoSpaceDN/>
              <w:adjustRightInd/>
              <w:rPr>
                <w:rFonts w:ascii="Calibri" w:eastAsia="Times New Roman" w:hAnsi="Calibri" w:cs="Calibri"/>
                <w:b/>
                <w:bCs/>
                <w:sz w:val="16"/>
                <w:szCs w:val="16"/>
              </w:rPr>
            </w:pPr>
          </w:p>
        </w:tc>
        <w:tc>
          <w:tcPr>
            <w:tcW w:w="843" w:type="dxa"/>
            <w:vMerge/>
            <w:shd w:val="clear" w:color="000000" w:fill="D0CECE"/>
            <w:hideMark/>
          </w:tcPr>
          <w:p w14:paraId="376826E6" w14:textId="77777777" w:rsidR="00DE79C8" w:rsidRPr="002E1A3F" w:rsidRDefault="00DE79C8" w:rsidP="00A01C2F">
            <w:pPr>
              <w:widowControl/>
              <w:autoSpaceDE/>
              <w:autoSpaceDN/>
              <w:adjustRightInd/>
              <w:rPr>
                <w:rFonts w:ascii="Calibri" w:eastAsia="Times New Roman" w:hAnsi="Calibri" w:cs="Calibri"/>
                <w:sz w:val="22"/>
                <w:szCs w:val="22"/>
              </w:rPr>
            </w:pPr>
          </w:p>
        </w:tc>
        <w:tc>
          <w:tcPr>
            <w:tcW w:w="757" w:type="dxa"/>
            <w:vMerge/>
            <w:shd w:val="clear" w:color="000000" w:fill="D0CECE"/>
            <w:hideMark/>
          </w:tcPr>
          <w:p w14:paraId="31A91C79" w14:textId="77777777" w:rsidR="00DE79C8" w:rsidRPr="002E1A3F" w:rsidRDefault="00DE79C8" w:rsidP="00A01C2F">
            <w:pPr>
              <w:rPr>
                <w:rFonts w:ascii="Calibri" w:eastAsia="Times New Roman" w:hAnsi="Calibri" w:cs="Calibri"/>
                <w:sz w:val="22"/>
                <w:szCs w:val="22"/>
              </w:rPr>
            </w:pPr>
          </w:p>
        </w:tc>
        <w:tc>
          <w:tcPr>
            <w:tcW w:w="818" w:type="dxa"/>
            <w:vMerge/>
            <w:shd w:val="clear" w:color="000000" w:fill="D0CECE"/>
            <w:hideMark/>
          </w:tcPr>
          <w:p w14:paraId="3FB61C68" w14:textId="77777777" w:rsidR="00DE79C8" w:rsidRPr="002E1A3F" w:rsidRDefault="00DE79C8" w:rsidP="00A01C2F">
            <w:pPr>
              <w:widowControl/>
              <w:autoSpaceDE/>
              <w:autoSpaceDN/>
              <w:adjustRightInd/>
              <w:rPr>
                <w:rFonts w:ascii="Calibri" w:eastAsia="Times New Roman" w:hAnsi="Calibri" w:cs="Calibri"/>
                <w:sz w:val="22"/>
                <w:szCs w:val="22"/>
              </w:rPr>
            </w:pPr>
          </w:p>
        </w:tc>
        <w:tc>
          <w:tcPr>
            <w:tcW w:w="540" w:type="dxa"/>
            <w:shd w:val="clear" w:color="000000" w:fill="D0CECE"/>
            <w:vAlign w:val="center"/>
            <w:hideMark/>
          </w:tcPr>
          <w:p w14:paraId="486CA27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No. of ACEs</w:t>
            </w:r>
          </w:p>
        </w:tc>
        <w:tc>
          <w:tcPr>
            <w:tcW w:w="984" w:type="dxa"/>
            <w:shd w:val="clear" w:color="000000" w:fill="D0CECE"/>
            <w:vAlign w:val="center"/>
            <w:hideMark/>
          </w:tcPr>
          <w:p w14:paraId="0AA088A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Amount</w:t>
            </w:r>
          </w:p>
          <w:p w14:paraId="4BA7C3C3"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7E0E0027"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7A28E315"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 </w:t>
            </w:r>
          </w:p>
        </w:tc>
        <w:tc>
          <w:tcPr>
            <w:tcW w:w="540" w:type="dxa"/>
            <w:shd w:val="clear" w:color="000000" w:fill="D0CECE"/>
            <w:vAlign w:val="center"/>
            <w:hideMark/>
          </w:tcPr>
          <w:p w14:paraId="0D9C93D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No. of ACEs</w:t>
            </w:r>
          </w:p>
        </w:tc>
        <w:tc>
          <w:tcPr>
            <w:tcW w:w="990" w:type="dxa"/>
            <w:shd w:val="clear" w:color="000000" w:fill="D0CECE"/>
            <w:vAlign w:val="center"/>
            <w:hideMark/>
          </w:tcPr>
          <w:p w14:paraId="4AE078A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Amount</w:t>
            </w:r>
          </w:p>
          <w:p w14:paraId="20812E1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16D28552"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25516785"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1170" w:type="dxa"/>
            <w:shd w:val="clear" w:color="000000" w:fill="D0CECE"/>
            <w:vAlign w:val="center"/>
            <w:hideMark/>
          </w:tcPr>
          <w:p w14:paraId="3EFD0CC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Add-on (*COENGG)</w:t>
            </w:r>
          </w:p>
          <w:p w14:paraId="0CE0996C"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Amount </w:t>
            </w:r>
          </w:p>
          <w:p w14:paraId="1F6A7743"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526E1390"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900" w:type="dxa"/>
            <w:vMerge/>
            <w:shd w:val="clear" w:color="000000" w:fill="D0CECE"/>
            <w:hideMark/>
          </w:tcPr>
          <w:p w14:paraId="63F16D6D" w14:textId="77777777" w:rsidR="00DE79C8" w:rsidRPr="002E1A3F" w:rsidRDefault="00DE79C8" w:rsidP="00A01C2F">
            <w:pPr>
              <w:rPr>
                <w:rFonts w:ascii="Calibri" w:eastAsia="Times New Roman" w:hAnsi="Calibri" w:cs="Calibri"/>
                <w:sz w:val="22"/>
                <w:szCs w:val="22"/>
              </w:rPr>
            </w:pPr>
          </w:p>
        </w:tc>
        <w:tc>
          <w:tcPr>
            <w:tcW w:w="810" w:type="dxa"/>
            <w:shd w:val="clear" w:color="000000" w:fill="D0CECE"/>
            <w:vAlign w:val="center"/>
            <w:hideMark/>
          </w:tcPr>
          <w:p w14:paraId="3FFFE0F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xml:space="preserve">No. of Centers </w:t>
            </w:r>
          </w:p>
        </w:tc>
        <w:tc>
          <w:tcPr>
            <w:tcW w:w="810" w:type="dxa"/>
            <w:shd w:val="clear" w:color="000000" w:fill="D0CECE"/>
            <w:vAlign w:val="center"/>
            <w:hideMark/>
          </w:tcPr>
          <w:p w14:paraId="56653812"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Amount</w:t>
            </w:r>
          </w:p>
          <w:p w14:paraId="0424DF1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158E181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 </w:t>
            </w:r>
          </w:p>
          <w:p w14:paraId="073F1BCD" w14:textId="77777777" w:rsidR="00DE79C8" w:rsidRPr="002E1A3F" w:rsidRDefault="00B00100" w:rsidP="00A01C2F">
            <w:pPr>
              <w:jc w:val="center"/>
              <w:rPr>
                <w:rFonts w:ascii="Calibri" w:eastAsia="Times New Roman" w:hAnsi="Calibri" w:cs="Calibri"/>
                <w:b/>
                <w:bCs/>
                <w:sz w:val="16"/>
                <w:szCs w:val="16"/>
              </w:rPr>
            </w:pPr>
            <w:r w:rsidRPr="002E1A3F">
              <w:rPr>
                <w:rFonts w:ascii="Calibri" w:eastAsia="Times New Roman" w:hAnsi="Calibri" w:cs="Calibri"/>
                <w:b/>
                <w:bCs/>
                <w:sz w:val="16"/>
                <w:szCs w:val="16"/>
              </w:rPr>
              <w:t> </w:t>
            </w:r>
          </w:p>
        </w:tc>
        <w:tc>
          <w:tcPr>
            <w:tcW w:w="900" w:type="dxa"/>
            <w:shd w:val="clear" w:color="000000" w:fill="D0CECE"/>
            <w:vAlign w:val="center"/>
            <w:hideMark/>
          </w:tcPr>
          <w:p w14:paraId="1B1A3B1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Amount</w:t>
            </w:r>
          </w:p>
          <w:p w14:paraId="585A0DB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(US$ million)</w:t>
            </w:r>
          </w:p>
          <w:p w14:paraId="11CC1074" w14:textId="77777777" w:rsidR="00DE79C8" w:rsidRPr="002E1A3F" w:rsidRDefault="00B00100" w:rsidP="00A01C2F">
            <w:pPr>
              <w:widowControl/>
              <w:autoSpaceDE/>
              <w:autoSpaceDN/>
              <w:adjustRightInd/>
              <w:rPr>
                <w:rFonts w:ascii="Calibri" w:eastAsia="Times New Roman" w:hAnsi="Calibri" w:cs="Calibri"/>
                <w:sz w:val="22"/>
                <w:szCs w:val="22"/>
              </w:rPr>
            </w:pPr>
            <w:r w:rsidRPr="002E1A3F">
              <w:rPr>
                <w:rFonts w:ascii="Calibri" w:eastAsia="Times New Roman" w:hAnsi="Calibri" w:cs="Calibri"/>
                <w:sz w:val="22"/>
                <w:szCs w:val="22"/>
              </w:rPr>
              <w:t> </w:t>
            </w:r>
          </w:p>
          <w:p w14:paraId="5C9FDAC0" w14:textId="77777777" w:rsidR="00DE79C8" w:rsidRPr="002E1A3F" w:rsidRDefault="00B00100" w:rsidP="00A01C2F">
            <w:pPr>
              <w:rPr>
                <w:rFonts w:ascii="Calibri" w:eastAsia="Times New Roman" w:hAnsi="Calibri" w:cs="Calibri"/>
                <w:b/>
                <w:bCs/>
                <w:sz w:val="16"/>
                <w:szCs w:val="16"/>
              </w:rPr>
            </w:pPr>
            <w:r w:rsidRPr="002E1A3F">
              <w:rPr>
                <w:rFonts w:ascii="Calibri" w:eastAsia="Times New Roman" w:hAnsi="Calibri" w:cs="Calibri"/>
                <w:sz w:val="22"/>
                <w:szCs w:val="22"/>
              </w:rPr>
              <w:t> </w:t>
            </w:r>
          </w:p>
        </w:tc>
        <w:tc>
          <w:tcPr>
            <w:tcW w:w="810" w:type="dxa"/>
            <w:vMerge/>
            <w:shd w:val="clear" w:color="000000" w:fill="D0CECE"/>
            <w:hideMark/>
          </w:tcPr>
          <w:p w14:paraId="7B97E2D2" w14:textId="77777777" w:rsidR="00DE79C8" w:rsidRPr="002E1A3F" w:rsidRDefault="00DE79C8" w:rsidP="00A01C2F">
            <w:pPr>
              <w:rPr>
                <w:rFonts w:ascii="Calibri" w:eastAsia="Times New Roman" w:hAnsi="Calibri" w:cs="Calibri"/>
                <w:sz w:val="22"/>
                <w:szCs w:val="22"/>
              </w:rPr>
            </w:pPr>
          </w:p>
        </w:tc>
        <w:tc>
          <w:tcPr>
            <w:tcW w:w="1086" w:type="dxa"/>
            <w:vMerge/>
            <w:shd w:val="clear" w:color="000000" w:fill="D0CECE"/>
            <w:vAlign w:val="center"/>
            <w:hideMark/>
          </w:tcPr>
          <w:p w14:paraId="0CE581C9" w14:textId="77777777" w:rsidR="00DE79C8" w:rsidRPr="002E1A3F" w:rsidRDefault="00DE79C8" w:rsidP="00A01C2F">
            <w:pPr>
              <w:rPr>
                <w:rFonts w:ascii="Calibri" w:eastAsia="Times New Roman" w:hAnsi="Calibri" w:cs="Calibri"/>
                <w:b/>
                <w:bCs/>
                <w:sz w:val="16"/>
                <w:szCs w:val="16"/>
              </w:rPr>
            </w:pPr>
          </w:p>
        </w:tc>
        <w:tc>
          <w:tcPr>
            <w:tcW w:w="1080" w:type="dxa"/>
            <w:vMerge/>
            <w:shd w:val="clear" w:color="000000" w:fill="D0CECE"/>
            <w:vAlign w:val="center"/>
            <w:hideMark/>
          </w:tcPr>
          <w:p w14:paraId="5BB0BA49" w14:textId="77777777" w:rsidR="00DE79C8" w:rsidRPr="002E1A3F" w:rsidRDefault="00DE79C8" w:rsidP="00A01C2F">
            <w:pPr>
              <w:rPr>
                <w:rFonts w:ascii="Calibri" w:eastAsia="Times New Roman" w:hAnsi="Calibri" w:cs="Calibri"/>
                <w:b/>
                <w:bCs/>
                <w:sz w:val="16"/>
                <w:szCs w:val="16"/>
              </w:rPr>
            </w:pPr>
          </w:p>
        </w:tc>
      </w:tr>
      <w:tr w:rsidR="000C3959" w14:paraId="6831823C" w14:textId="77777777" w:rsidTr="00A01C2F">
        <w:trPr>
          <w:trHeight w:val="282"/>
          <w:jc w:val="center"/>
        </w:trPr>
        <w:tc>
          <w:tcPr>
            <w:tcW w:w="1092" w:type="dxa"/>
            <w:shd w:val="clear" w:color="auto" w:fill="auto"/>
            <w:vAlign w:val="center"/>
            <w:hideMark/>
          </w:tcPr>
          <w:p w14:paraId="377BAAD8"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Benin</w:t>
            </w:r>
          </w:p>
        </w:tc>
        <w:tc>
          <w:tcPr>
            <w:tcW w:w="843" w:type="dxa"/>
            <w:shd w:val="clear" w:color="auto" w:fill="auto"/>
            <w:vAlign w:val="center"/>
            <w:hideMark/>
          </w:tcPr>
          <w:p w14:paraId="1E55FE48"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17.2</w:t>
            </w:r>
          </w:p>
        </w:tc>
        <w:tc>
          <w:tcPr>
            <w:tcW w:w="757" w:type="dxa"/>
            <w:shd w:val="clear" w:color="auto" w:fill="auto"/>
            <w:vAlign w:val="center"/>
            <w:hideMark/>
          </w:tcPr>
          <w:p w14:paraId="6408D38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6</w:t>
            </w:r>
          </w:p>
        </w:tc>
        <w:tc>
          <w:tcPr>
            <w:tcW w:w="818" w:type="dxa"/>
            <w:shd w:val="clear" w:color="auto" w:fill="auto"/>
            <w:vAlign w:val="center"/>
            <w:hideMark/>
          </w:tcPr>
          <w:p w14:paraId="41A7541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11.2</w:t>
            </w:r>
          </w:p>
        </w:tc>
        <w:tc>
          <w:tcPr>
            <w:tcW w:w="540" w:type="dxa"/>
            <w:shd w:val="clear" w:color="auto" w:fill="auto"/>
            <w:vAlign w:val="center"/>
            <w:hideMark/>
          </w:tcPr>
          <w:p w14:paraId="4B5271E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p>
        </w:tc>
        <w:tc>
          <w:tcPr>
            <w:tcW w:w="984" w:type="dxa"/>
            <w:shd w:val="clear" w:color="auto" w:fill="auto"/>
            <w:vAlign w:val="center"/>
            <w:hideMark/>
          </w:tcPr>
          <w:p w14:paraId="34E808C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6</w:t>
            </w:r>
          </w:p>
        </w:tc>
        <w:tc>
          <w:tcPr>
            <w:tcW w:w="540" w:type="dxa"/>
            <w:shd w:val="clear" w:color="auto" w:fill="auto"/>
            <w:vAlign w:val="center"/>
            <w:hideMark/>
          </w:tcPr>
          <w:p w14:paraId="44A48E2F"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1</w:t>
            </w:r>
          </w:p>
        </w:tc>
        <w:tc>
          <w:tcPr>
            <w:tcW w:w="990" w:type="dxa"/>
            <w:shd w:val="clear" w:color="auto" w:fill="auto"/>
            <w:vAlign w:val="center"/>
            <w:hideMark/>
          </w:tcPr>
          <w:p w14:paraId="77EF7225"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4</w:t>
            </w:r>
          </w:p>
        </w:tc>
        <w:tc>
          <w:tcPr>
            <w:tcW w:w="1170" w:type="dxa"/>
            <w:shd w:val="clear" w:color="auto" w:fill="auto"/>
            <w:vAlign w:val="center"/>
            <w:hideMark/>
          </w:tcPr>
          <w:p w14:paraId="37FAE3D0"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4</w:t>
            </w:r>
          </w:p>
        </w:tc>
        <w:tc>
          <w:tcPr>
            <w:tcW w:w="900" w:type="dxa"/>
            <w:shd w:val="clear" w:color="auto" w:fill="F2F2F2" w:themeFill="background1" w:themeFillShade="F2"/>
            <w:vAlign w:val="center"/>
            <w:hideMark/>
          </w:tcPr>
          <w:p w14:paraId="2F026B7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14</w:t>
            </w:r>
          </w:p>
        </w:tc>
        <w:tc>
          <w:tcPr>
            <w:tcW w:w="810" w:type="dxa"/>
            <w:shd w:val="clear" w:color="auto" w:fill="auto"/>
            <w:vAlign w:val="center"/>
            <w:hideMark/>
          </w:tcPr>
          <w:p w14:paraId="0AE1AA52"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auto"/>
            <w:vAlign w:val="center"/>
            <w:hideMark/>
          </w:tcPr>
          <w:p w14:paraId="0E4FC975"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auto"/>
            <w:vAlign w:val="center"/>
            <w:hideMark/>
          </w:tcPr>
          <w:p w14:paraId="25F053CA"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2</w:t>
            </w:r>
          </w:p>
        </w:tc>
        <w:tc>
          <w:tcPr>
            <w:tcW w:w="810" w:type="dxa"/>
            <w:shd w:val="clear" w:color="auto" w:fill="F2F2F2" w:themeFill="background1" w:themeFillShade="F2"/>
            <w:vAlign w:val="center"/>
            <w:hideMark/>
          </w:tcPr>
          <w:p w14:paraId="0FCB2E66"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2</w:t>
            </w:r>
          </w:p>
        </w:tc>
        <w:tc>
          <w:tcPr>
            <w:tcW w:w="1086" w:type="dxa"/>
            <w:shd w:val="clear" w:color="auto" w:fill="F2F2F2" w:themeFill="background1" w:themeFillShade="F2"/>
            <w:vAlign w:val="center"/>
            <w:hideMark/>
          </w:tcPr>
          <w:p w14:paraId="00BFB382"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1080" w:type="dxa"/>
            <w:shd w:val="clear" w:color="auto" w:fill="F2F2F2" w:themeFill="background1" w:themeFillShade="F2"/>
            <w:vAlign w:val="center"/>
            <w:hideMark/>
          </w:tcPr>
          <w:p w14:paraId="55563B65"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1</w:t>
            </w:r>
            <w:r>
              <w:rPr>
                <w:rFonts w:ascii="Calibri" w:eastAsia="Times New Roman" w:hAnsi="Calibri" w:cs="Calibri"/>
                <w:sz w:val="16"/>
                <w:szCs w:val="16"/>
              </w:rPr>
              <w:t>.2</w:t>
            </w:r>
          </w:p>
        </w:tc>
      </w:tr>
      <w:tr w:rsidR="000C3959" w14:paraId="63313E84" w14:textId="77777777" w:rsidTr="00A01C2F">
        <w:trPr>
          <w:trHeight w:val="282"/>
          <w:jc w:val="center"/>
        </w:trPr>
        <w:tc>
          <w:tcPr>
            <w:tcW w:w="1092" w:type="dxa"/>
            <w:shd w:val="clear" w:color="auto" w:fill="auto"/>
            <w:vAlign w:val="center"/>
            <w:hideMark/>
          </w:tcPr>
          <w:p w14:paraId="4E5E165B"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The Gambia</w:t>
            </w:r>
          </w:p>
        </w:tc>
        <w:tc>
          <w:tcPr>
            <w:tcW w:w="843" w:type="dxa"/>
            <w:shd w:val="clear" w:color="auto" w:fill="auto"/>
            <w:vAlign w:val="center"/>
            <w:hideMark/>
          </w:tcPr>
          <w:p w14:paraId="0A8C83BE"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12</w:t>
            </w:r>
          </w:p>
        </w:tc>
        <w:tc>
          <w:tcPr>
            <w:tcW w:w="757" w:type="dxa"/>
            <w:shd w:val="clear" w:color="auto" w:fill="auto"/>
            <w:vAlign w:val="center"/>
            <w:hideMark/>
          </w:tcPr>
          <w:p w14:paraId="4BA6CBF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12</w:t>
            </w:r>
          </w:p>
        </w:tc>
        <w:tc>
          <w:tcPr>
            <w:tcW w:w="818" w:type="dxa"/>
            <w:shd w:val="clear" w:color="auto" w:fill="auto"/>
            <w:vAlign w:val="center"/>
            <w:hideMark/>
          </w:tcPr>
          <w:p w14:paraId="58EBA88F"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540" w:type="dxa"/>
            <w:shd w:val="clear" w:color="auto" w:fill="auto"/>
            <w:vAlign w:val="center"/>
            <w:hideMark/>
          </w:tcPr>
          <w:p w14:paraId="63AE4A0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984" w:type="dxa"/>
            <w:shd w:val="clear" w:color="auto" w:fill="auto"/>
            <w:vAlign w:val="center"/>
            <w:hideMark/>
          </w:tcPr>
          <w:p w14:paraId="305A740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540" w:type="dxa"/>
            <w:shd w:val="clear" w:color="auto" w:fill="auto"/>
            <w:vAlign w:val="center"/>
            <w:hideMark/>
          </w:tcPr>
          <w:p w14:paraId="19217AE6"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90" w:type="dxa"/>
            <w:shd w:val="clear" w:color="auto" w:fill="auto"/>
            <w:vAlign w:val="center"/>
            <w:hideMark/>
          </w:tcPr>
          <w:p w14:paraId="34747AEF"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1170" w:type="dxa"/>
            <w:shd w:val="clear" w:color="auto" w:fill="auto"/>
            <w:vAlign w:val="center"/>
            <w:hideMark/>
          </w:tcPr>
          <w:p w14:paraId="739CF132"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F2F2F2" w:themeFill="background1" w:themeFillShade="F2"/>
            <w:vAlign w:val="center"/>
            <w:hideMark/>
          </w:tcPr>
          <w:p w14:paraId="66DE0B3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810" w:type="dxa"/>
            <w:shd w:val="clear" w:color="auto" w:fill="auto"/>
            <w:vAlign w:val="center"/>
            <w:hideMark/>
          </w:tcPr>
          <w:p w14:paraId="6F612727"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1</w:t>
            </w:r>
          </w:p>
        </w:tc>
        <w:tc>
          <w:tcPr>
            <w:tcW w:w="810" w:type="dxa"/>
            <w:shd w:val="clear" w:color="auto" w:fill="auto"/>
            <w:vAlign w:val="center"/>
            <w:hideMark/>
          </w:tcPr>
          <w:p w14:paraId="7D27EBC4"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9</w:t>
            </w:r>
          </w:p>
        </w:tc>
        <w:tc>
          <w:tcPr>
            <w:tcW w:w="900" w:type="dxa"/>
            <w:shd w:val="clear" w:color="auto" w:fill="auto"/>
            <w:vAlign w:val="center"/>
            <w:hideMark/>
          </w:tcPr>
          <w:p w14:paraId="7F8CADEB"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F2F2F2" w:themeFill="background1" w:themeFillShade="F2"/>
            <w:vAlign w:val="center"/>
            <w:hideMark/>
          </w:tcPr>
          <w:p w14:paraId="52F909F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9</w:t>
            </w:r>
          </w:p>
        </w:tc>
        <w:tc>
          <w:tcPr>
            <w:tcW w:w="1086" w:type="dxa"/>
            <w:shd w:val="clear" w:color="auto" w:fill="F2F2F2" w:themeFill="background1" w:themeFillShade="F2"/>
            <w:vAlign w:val="center"/>
            <w:hideMark/>
          </w:tcPr>
          <w:p w14:paraId="3700B48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1.5</w:t>
            </w:r>
          </w:p>
        </w:tc>
        <w:tc>
          <w:tcPr>
            <w:tcW w:w="1080" w:type="dxa"/>
            <w:shd w:val="clear" w:color="auto" w:fill="F2F2F2" w:themeFill="background1" w:themeFillShade="F2"/>
            <w:vAlign w:val="center"/>
            <w:hideMark/>
          </w:tcPr>
          <w:p w14:paraId="311A90C9"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1</w:t>
            </w:r>
            <w:r w:rsidRPr="002E1A3F">
              <w:rPr>
                <w:rFonts w:ascii="Calibri" w:eastAsia="Times New Roman" w:hAnsi="Calibri" w:cs="Calibri"/>
                <w:sz w:val="16"/>
                <w:szCs w:val="16"/>
              </w:rPr>
              <w:t>.5</w:t>
            </w:r>
          </w:p>
        </w:tc>
      </w:tr>
      <w:tr w:rsidR="000C3959" w14:paraId="621AEDAB" w14:textId="77777777" w:rsidTr="00A01C2F">
        <w:trPr>
          <w:trHeight w:val="282"/>
          <w:jc w:val="center"/>
        </w:trPr>
        <w:tc>
          <w:tcPr>
            <w:tcW w:w="1092" w:type="dxa"/>
            <w:shd w:val="clear" w:color="auto" w:fill="auto"/>
            <w:vAlign w:val="center"/>
            <w:hideMark/>
          </w:tcPr>
          <w:p w14:paraId="73384370"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Niger</w:t>
            </w:r>
          </w:p>
        </w:tc>
        <w:tc>
          <w:tcPr>
            <w:tcW w:w="843" w:type="dxa"/>
            <w:shd w:val="clear" w:color="auto" w:fill="auto"/>
            <w:vAlign w:val="center"/>
            <w:hideMark/>
          </w:tcPr>
          <w:p w14:paraId="508018B2"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15</w:t>
            </w:r>
          </w:p>
        </w:tc>
        <w:tc>
          <w:tcPr>
            <w:tcW w:w="757" w:type="dxa"/>
            <w:shd w:val="clear" w:color="auto" w:fill="auto"/>
            <w:vAlign w:val="center"/>
            <w:hideMark/>
          </w:tcPr>
          <w:p w14:paraId="5D404BFD"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15</w:t>
            </w:r>
          </w:p>
        </w:tc>
        <w:tc>
          <w:tcPr>
            <w:tcW w:w="818" w:type="dxa"/>
            <w:shd w:val="clear" w:color="auto" w:fill="auto"/>
            <w:vAlign w:val="center"/>
            <w:hideMark/>
          </w:tcPr>
          <w:p w14:paraId="06B01543"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540" w:type="dxa"/>
            <w:shd w:val="clear" w:color="auto" w:fill="auto"/>
            <w:vAlign w:val="center"/>
            <w:hideMark/>
          </w:tcPr>
          <w:p w14:paraId="2C2C517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p>
        </w:tc>
        <w:tc>
          <w:tcPr>
            <w:tcW w:w="984" w:type="dxa"/>
            <w:shd w:val="clear" w:color="auto" w:fill="auto"/>
            <w:vAlign w:val="center"/>
            <w:hideMark/>
          </w:tcPr>
          <w:p w14:paraId="3B3EA09E"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5</w:t>
            </w:r>
          </w:p>
        </w:tc>
        <w:tc>
          <w:tcPr>
            <w:tcW w:w="540" w:type="dxa"/>
            <w:shd w:val="clear" w:color="auto" w:fill="auto"/>
            <w:vAlign w:val="center"/>
            <w:hideMark/>
          </w:tcPr>
          <w:p w14:paraId="6CA4AB6E"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90" w:type="dxa"/>
            <w:shd w:val="clear" w:color="auto" w:fill="auto"/>
            <w:vAlign w:val="center"/>
            <w:hideMark/>
          </w:tcPr>
          <w:p w14:paraId="04519998"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1170" w:type="dxa"/>
            <w:shd w:val="clear" w:color="auto" w:fill="auto"/>
            <w:vAlign w:val="center"/>
            <w:hideMark/>
          </w:tcPr>
          <w:p w14:paraId="497E0ECC"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F2F2F2" w:themeFill="background1" w:themeFillShade="F2"/>
            <w:vAlign w:val="center"/>
            <w:hideMark/>
          </w:tcPr>
          <w:p w14:paraId="040A72E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5</w:t>
            </w:r>
          </w:p>
        </w:tc>
        <w:tc>
          <w:tcPr>
            <w:tcW w:w="810" w:type="dxa"/>
            <w:shd w:val="clear" w:color="auto" w:fill="auto"/>
            <w:vAlign w:val="center"/>
            <w:hideMark/>
          </w:tcPr>
          <w:p w14:paraId="1FE652F2"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2</w:t>
            </w:r>
          </w:p>
        </w:tc>
        <w:tc>
          <w:tcPr>
            <w:tcW w:w="810" w:type="dxa"/>
            <w:shd w:val="clear" w:color="auto" w:fill="auto"/>
            <w:vAlign w:val="center"/>
            <w:hideMark/>
          </w:tcPr>
          <w:p w14:paraId="6208D7A4"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9</w:t>
            </w:r>
          </w:p>
        </w:tc>
        <w:tc>
          <w:tcPr>
            <w:tcW w:w="900" w:type="dxa"/>
            <w:shd w:val="clear" w:color="auto" w:fill="auto"/>
            <w:vAlign w:val="center"/>
            <w:hideMark/>
          </w:tcPr>
          <w:p w14:paraId="0845A498"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F2F2F2" w:themeFill="background1" w:themeFillShade="F2"/>
            <w:vAlign w:val="center"/>
            <w:hideMark/>
          </w:tcPr>
          <w:p w14:paraId="72C811E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9</w:t>
            </w:r>
          </w:p>
        </w:tc>
        <w:tc>
          <w:tcPr>
            <w:tcW w:w="1086" w:type="dxa"/>
            <w:shd w:val="clear" w:color="auto" w:fill="F2F2F2" w:themeFill="background1" w:themeFillShade="F2"/>
            <w:vAlign w:val="center"/>
            <w:hideMark/>
          </w:tcPr>
          <w:p w14:paraId="00642EC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1080" w:type="dxa"/>
            <w:shd w:val="clear" w:color="auto" w:fill="F2F2F2" w:themeFill="background1" w:themeFillShade="F2"/>
            <w:vAlign w:val="center"/>
            <w:hideMark/>
          </w:tcPr>
          <w:p w14:paraId="1E634A02"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1</w:t>
            </w:r>
          </w:p>
        </w:tc>
      </w:tr>
      <w:tr w:rsidR="000C3959" w14:paraId="19D3646B" w14:textId="77777777" w:rsidTr="00A01C2F">
        <w:trPr>
          <w:trHeight w:val="282"/>
          <w:jc w:val="center"/>
        </w:trPr>
        <w:tc>
          <w:tcPr>
            <w:tcW w:w="1092" w:type="dxa"/>
            <w:shd w:val="clear" w:color="auto" w:fill="auto"/>
            <w:vAlign w:val="center"/>
            <w:hideMark/>
          </w:tcPr>
          <w:p w14:paraId="3E1C912A"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Nigeria</w:t>
            </w:r>
          </w:p>
        </w:tc>
        <w:tc>
          <w:tcPr>
            <w:tcW w:w="843" w:type="dxa"/>
            <w:shd w:val="clear" w:color="auto" w:fill="auto"/>
            <w:vAlign w:val="center"/>
            <w:hideMark/>
          </w:tcPr>
          <w:p w14:paraId="68F9BC24"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115</w:t>
            </w:r>
          </w:p>
        </w:tc>
        <w:tc>
          <w:tcPr>
            <w:tcW w:w="757" w:type="dxa"/>
            <w:shd w:val="clear" w:color="auto" w:fill="auto"/>
            <w:vAlign w:val="center"/>
            <w:hideMark/>
          </w:tcPr>
          <w:p w14:paraId="4FB3A0A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7</w:t>
            </w:r>
            <w:r>
              <w:rPr>
                <w:rFonts w:ascii="Calibri" w:eastAsia="Times New Roman" w:hAnsi="Calibri" w:cs="Calibri"/>
                <w:b/>
                <w:bCs/>
                <w:sz w:val="16"/>
                <w:szCs w:val="16"/>
              </w:rPr>
              <w:t>5</w:t>
            </w:r>
          </w:p>
        </w:tc>
        <w:tc>
          <w:tcPr>
            <w:tcW w:w="818" w:type="dxa"/>
            <w:shd w:val="clear" w:color="auto" w:fill="auto"/>
            <w:vAlign w:val="center"/>
            <w:hideMark/>
          </w:tcPr>
          <w:p w14:paraId="3926C58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4</w:t>
            </w:r>
            <w:r>
              <w:rPr>
                <w:rFonts w:ascii="Calibri" w:eastAsia="Times New Roman" w:hAnsi="Calibri" w:cs="Calibri"/>
                <w:b/>
                <w:bCs/>
                <w:sz w:val="16"/>
                <w:szCs w:val="16"/>
              </w:rPr>
              <w:t>0</w:t>
            </w:r>
          </w:p>
        </w:tc>
        <w:tc>
          <w:tcPr>
            <w:tcW w:w="540" w:type="dxa"/>
            <w:shd w:val="clear" w:color="auto" w:fill="auto"/>
            <w:vAlign w:val="center"/>
            <w:hideMark/>
          </w:tcPr>
          <w:p w14:paraId="1F7512AE"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10</w:t>
            </w:r>
          </w:p>
        </w:tc>
        <w:tc>
          <w:tcPr>
            <w:tcW w:w="984" w:type="dxa"/>
            <w:shd w:val="clear" w:color="auto" w:fill="auto"/>
            <w:vAlign w:val="center"/>
            <w:hideMark/>
          </w:tcPr>
          <w:p w14:paraId="695A64FD"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60</w:t>
            </w:r>
          </w:p>
        </w:tc>
        <w:tc>
          <w:tcPr>
            <w:tcW w:w="540" w:type="dxa"/>
            <w:shd w:val="clear" w:color="auto" w:fill="auto"/>
            <w:vAlign w:val="center"/>
            <w:hideMark/>
          </w:tcPr>
          <w:p w14:paraId="4BE13E90"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7</w:t>
            </w:r>
          </w:p>
        </w:tc>
        <w:tc>
          <w:tcPr>
            <w:tcW w:w="990" w:type="dxa"/>
            <w:shd w:val="clear" w:color="auto" w:fill="auto"/>
            <w:vAlign w:val="center"/>
            <w:hideMark/>
          </w:tcPr>
          <w:p w14:paraId="1B29EF6F"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35</w:t>
            </w:r>
          </w:p>
        </w:tc>
        <w:tc>
          <w:tcPr>
            <w:tcW w:w="1170" w:type="dxa"/>
            <w:shd w:val="clear" w:color="auto" w:fill="auto"/>
            <w:vAlign w:val="center"/>
            <w:hideMark/>
          </w:tcPr>
          <w:p w14:paraId="32D335FD"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0</w:t>
            </w:r>
          </w:p>
        </w:tc>
        <w:tc>
          <w:tcPr>
            <w:tcW w:w="900" w:type="dxa"/>
            <w:shd w:val="clear" w:color="auto" w:fill="F2F2F2" w:themeFill="background1" w:themeFillShade="F2"/>
            <w:vAlign w:val="center"/>
            <w:hideMark/>
          </w:tcPr>
          <w:p w14:paraId="6BCAFB61"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9</w:t>
            </w:r>
            <w:r w:rsidRPr="002E1A3F">
              <w:rPr>
                <w:rFonts w:ascii="Calibri" w:eastAsia="Times New Roman" w:hAnsi="Calibri" w:cs="Calibri"/>
                <w:b/>
                <w:bCs/>
                <w:sz w:val="16"/>
                <w:szCs w:val="16"/>
              </w:rPr>
              <w:t>5</w:t>
            </w:r>
          </w:p>
        </w:tc>
        <w:tc>
          <w:tcPr>
            <w:tcW w:w="810" w:type="dxa"/>
            <w:shd w:val="clear" w:color="auto" w:fill="auto"/>
            <w:vAlign w:val="center"/>
            <w:hideMark/>
          </w:tcPr>
          <w:p w14:paraId="651ABB96"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auto"/>
            <w:vAlign w:val="center"/>
            <w:hideMark/>
          </w:tcPr>
          <w:p w14:paraId="4D9B535E"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auto"/>
            <w:vAlign w:val="center"/>
            <w:hideMark/>
          </w:tcPr>
          <w:p w14:paraId="5ADA09E0"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4</w:t>
            </w:r>
          </w:p>
        </w:tc>
        <w:tc>
          <w:tcPr>
            <w:tcW w:w="810" w:type="dxa"/>
            <w:shd w:val="clear" w:color="auto" w:fill="F2F2F2" w:themeFill="background1" w:themeFillShade="F2"/>
            <w:vAlign w:val="center"/>
            <w:hideMark/>
          </w:tcPr>
          <w:p w14:paraId="79B9B036"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4</w:t>
            </w:r>
          </w:p>
        </w:tc>
        <w:tc>
          <w:tcPr>
            <w:tcW w:w="1086" w:type="dxa"/>
            <w:shd w:val="clear" w:color="auto" w:fill="F2F2F2" w:themeFill="background1" w:themeFillShade="F2"/>
            <w:vAlign w:val="center"/>
            <w:hideMark/>
          </w:tcPr>
          <w:p w14:paraId="63A9FFA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6</w:t>
            </w:r>
          </w:p>
        </w:tc>
        <w:tc>
          <w:tcPr>
            <w:tcW w:w="1080" w:type="dxa"/>
            <w:shd w:val="clear" w:color="auto" w:fill="F2F2F2" w:themeFill="background1" w:themeFillShade="F2"/>
            <w:vAlign w:val="center"/>
            <w:hideMark/>
          </w:tcPr>
          <w:p w14:paraId="0BC18336"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10</w:t>
            </w:r>
          </w:p>
        </w:tc>
      </w:tr>
      <w:tr w:rsidR="000C3959" w14:paraId="7FBFB834" w14:textId="77777777" w:rsidTr="00A01C2F">
        <w:trPr>
          <w:trHeight w:val="282"/>
          <w:jc w:val="center"/>
        </w:trPr>
        <w:tc>
          <w:tcPr>
            <w:tcW w:w="1092" w:type="dxa"/>
            <w:shd w:val="clear" w:color="auto" w:fill="auto"/>
            <w:vAlign w:val="center"/>
            <w:hideMark/>
          </w:tcPr>
          <w:p w14:paraId="5DC02061"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Togo</w:t>
            </w:r>
          </w:p>
        </w:tc>
        <w:tc>
          <w:tcPr>
            <w:tcW w:w="843" w:type="dxa"/>
            <w:shd w:val="clear" w:color="auto" w:fill="auto"/>
            <w:vAlign w:val="center"/>
            <w:hideMark/>
          </w:tcPr>
          <w:p w14:paraId="2EA71C54"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18</w:t>
            </w:r>
          </w:p>
        </w:tc>
        <w:tc>
          <w:tcPr>
            <w:tcW w:w="757" w:type="dxa"/>
            <w:shd w:val="clear" w:color="auto" w:fill="auto"/>
            <w:vAlign w:val="center"/>
            <w:hideMark/>
          </w:tcPr>
          <w:p w14:paraId="5BF69C5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18</w:t>
            </w:r>
          </w:p>
        </w:tc>
        <w:tc>
          <w:tcPr>
            <w:tcW w:w="818" w:type="dxa"/>
            <w:shd w:val="clear" w:color="auto" w:fill="auto"/>
            <w:vAlign w:val="center"/>
            <w:hideMark/>
          </w:tcPr>
          <w:p w14:paraId="1ED920BC"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540" w:type="dxa"/>
            <w:shd w:val="clear" w:color="auto" w:fill="auto"/>
            <w:vAlign w:val="center"/>
            <w:hideMark/>
          </w:tcPr>
          <w:p w14:paraId="0AC97F5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2</w:t>
            </w:r>
          </w:p>
        </w:tc>
        <w:tc>
          <w:tcPr>
            <w:tcW w:w="984" w:type="dxa"/>
            <w:shd w:val="clear" w:color="auto" w:fill="auto"/>
            <w:vAlign w:val="center"/>
            <w:hideMark/>
          </w:tcPr>
          <w:p w14:paraId="6F26616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r w:rsidR="002A3993">
              <w:rPr>
                <w:rFonts w:ascii="Calibri" w:eastAsia="Times New Roman" w:hAnsi="Calibri" w:cs="Calibri"/>
                <w:b/>
                <w:bCs/>
                <w:sz w:val="16"/>
                <w:szCs w:val="16"/>
              </w:rPr>
              <w:t>2</w:t>
            </w:r>
          </w:p>
        </w:tc>
        <w:tc>
          <w:tcPr>
            <w:tcW w:w="540" w:type="dxa"/>
            <w:shd w:val="clear" w:color="auto" w:fill="auto"/>
            <w:vAlign w:val="center"/>
            <w:hideMark/>
          </w:tcPr>
          <w:p w14:paraId="2E7291FE"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1</w:t>
            </w:r>
          </w:p>
        </w:tc>
        <w:tc>
          <w:tcPr>
            <w:tcW w:w="990" w:type="dxa"/>
            <w:shd w:val="clear" w:color="auto" w:fill="auto"/>
            <w:vAlign w:val="center"/>
            <w:hideMark/>
          </w:tcPr>
          <w:p w14:paraId="7C578953"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4</w:t>
            </w:r>
          </w:p>
        </w:tc>
        <w:tc>
          <w:tcPr>
            <w:tcW w:w="1170" w:type="dxa"/>
            <w:shd w:val="clear" w:color="auto" w:fill="auto"/>
            <w:vAlign w:val="center"/>
            <w:hideMark/>
          </w:tcPr>
          <w:p w14:paraId="453C1D01"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F2F2F2" w:themeFill="background1" w:themeFillShade="F2"/>
            <w:vAlign w:val="center"/>
            <w:hideMark/>
          </w:tcPr>
          <w:p w14:paraId="2E317FEA"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r w:rsidR="006275BD">
              <w:rPr>
                <w:rFonts w:ascii="Calibri" w:eastAsia="Times New Roman" w:hAnsi="Calibri" w:cs="Calibri"/>
                <w:b/>
                <w:bCs/>
                <w:sz w:val="16"/>
                <w:szCs w:val="16"/>
              </w:rPr>
              <w:t>6</w:t>
            </w:r>
          </w:p>
        </w:tc>
        <w:tc>
          <w:tcPr>
            <w:tcW w:w="810" w:type="dxa"/>
            <w:shd w:val="clear" w:color="auto" w:fill="auto"/>
            <w:vAlign w:val="center"/>
            <w:hideMark/>
          </w:tcPr>
          <w:p w14:paraId="3C04F199"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auto"/>
            <w:vAlign w:val="center"/>
            <w:hideMark/>
          </w:tcPr>
          <w:p w14:paraId="24B56043"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900" w:type="dxa"/>
            <w:shd w:val="clear" w:color="auto" w:fill="auto"/>
            <w:vAlign w:val="center"/>
            <w:hideMark/>
          </w:tcPr>
          <w:p w14:paraId="5D3AB079"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0</w:t>
            </w:r>
          </w:p>
        </w:tc>
        <w:tc>
          <w:tcPr>
            <w:tcW w:w="810" w:type="dxa"/>
            <w:shd w:val="clear" w:color="auto" w:fill="F2F2F2" w:themeFill="background1" w:themeFillShade="F2"/>
            <w:vAlign w:val="center"/>
            <w:hideMark/>
          </w:tcPr>
          <w:p w14:paraId="2F90EC66"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1086" w:type="dxa"/>
            <w:shd w:val="clear" w:color="auto" w:fill="F2F2F2" w:themeFill="background1" w:themeFillShade="F2"/>
            <w:vAlign w:val="center"/>
            <w:hideMark/>
          </w:tcPr>
          <w:p w14:paraId="65C9C1BF"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0</w:t>
            </w:r>
          </w:p>
        </w:tc>
        <w:tc>
          <w:tcPr>
            <w:tcW w:w="1080" w:type="dxa"/>
            <w:shd w:val="clear" w:color="auto" w:fill="F2F2F2" w:themeFill="background1" w:themeFillShade="F2"/>
            <w:vAlign w:val="center"/>
            <w:hideMark/>
          </w:tcPr>
          <w:p w14:paraId="081A9B2D" w14:textId="77777777" w:rsidR="00DE79C8" w:rsidRPr="002E1A3F" w:rsidRDefault="00B00100" w:rsidP="00A01C2F">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2</w:t>
            </w:r>
          </w:p>
        </w:tc>
      </w:tr>
      <w:tr w:rsidR="000C3959" w14:paraId="5FD510AA" w14:textId="77777777" w:rsidTr="00A01C2F">
        <w:trPr>
          <w:trHeight w:val="282"/>
          <w:jc w:val="center"/>
        </w:trPr>
        <w:tc>
          <w:tcPr>
            <w:tcW w:w="1092" w:type="dxa"/>
            <w:shd w:val="clear" w:color="auto" w:fill="auto"/>
            <w:vAlign w:val="center"/>
            <w:hideMark/>
          </w:tcPr>
          <w:p w14:paraId="790A9F32" w14:textId="77777777" w:rsidR="00DE79C8" w:rsidRPr="002E1A3F" w:rsidRDefault="00B00100" w:rsidP="00A01C2F">
            <w:pPr>
              <w:widowControl/>
              <w:autoSpaceDE/>
              <w:autoSpaceDN/>
              <w:adjustRightInd/>
              <w:rPr>
                <w:rFonts w:ascii="Calibri" w:eastAsia="Times New Roman" w:hAnsi="Calibri" w:cs="Calibri"/>
                <w:b/>
                <w:bCs/>
                <w:sz w:val="16"/>
                <w:szCs w:val="16"/>
              </w:rPr>
            </w:pPr>
            <w:r>
              <w:rPr>
                <w:rFonts w:ascii="Calibri" w:eastAsia="Times New Roman" w:hAnsi="Calibri" w:cs="Calibri"/>
                <w:b/>
                <w:bCs/>
                <w:sz w:val="16"/>
                <w:szCs w:val="16"/>
              </w:rPr>
              <w:t>AAU</w:t>
            </w:r>
          </w:p>
        </w:tc>
        <w:tc>
          <w:tcPr>
            <w:tcW w:w="843" w:type="dxa"/>
            <w:shd w:val="clear" w:color="auto" w:fill="auto"/>
            <w:vAlign w:val="center"/>
            <w:hideMark/>
          </w:tcPr>
          <w:p w14:paraId="278A2831"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Pr>
                <w:rFonts w:ascii="Calibri" w:eastAsia="Times New Roman" w:hAnsi="Calibri" w:cs="Calibri"/>
                <w:b/>
                <w:bCs/>
                <w:sz w:val="16"/>
                <w:szCs w:val="16"/>
              </w:rPr>
              <w:t>5</w:t>
            </w:r>
          </w:p>
        </w:tc>
        <w:tc>
          <w:tcPr>
            <w:tcW w:w="757" w:type="dxa"/>
            <w:shd w:val="clear" w:color="auto" w:fill="auto"/>
            <w:vAlign w:val="center"/>
            <w:hideMark/>
          </w:tcPr>
          <w:p w14:paraId="7A34B058"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5</w:t>
            </w:r>
          </w:p>
        </w:tc>
        <w:tc>
          <w:tcPr>
            <w:tcW w:w="818" w:type="dxa"/>
            <w:shd w:val="clear" w:color="auto" w:fill="auto"/>
            <w:vAlign w:val="center"/>
          </w:tcPr>
          <w:p w14:paraId="525E2A49"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540" w:type="dxa"/>
            <w:shd w:val="clear" w:color="auto" w:fill="auto"/>
            <w:vAlign w:val="center"/>
          </w:tcPr>
          <w:p w14:paraId="0189185A"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984" w:type="dxa"/>
            <w:shd w:val="clear" w:color="auto" w:fill="auto"/>
            <w:vAlign w:val="center"/>
          </w:tcPr>
          <w:p w14:paraId="0377E268"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540" w:type="dxa"/>
            <w:shd w:val="clear" w:color="auto" w:fill="auto"/>
            <w:vAlign w:val="center"/>
          </w:tcPr>
          <w:p w14:paraId="29355B9E"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990" w:type="dxa"/>
            <w:shd w:val="clear" w:color="auto" w:fill="auto"/>
            <w:vAlign w:val="center"/>
          </w:tcPr>
          <w:p w14:paraId="7F088555"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1170" w:type="dxa"/>
            <w:shd w:val="clear" w:color="auto" w:fill="auto"/>
            <w:vAlign w:val="center"/>
          </w:tcPr>
          <w:p w14:paraId="04F012FE"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900" w:type="dxa"/>
            <w:shd w:val="clear" w:color="auto" w:fill="F2F2F2" w:themeFill="background1" w:themeFillShade="F2"/>
            <w:vAlign w:val="center"/>
          </w:tcPr>
          <w:p w14:paraId="091554F2"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810" w:type="dxa"/>
            <w:shd w:val="clear" w:color="auto" w:fill="auto"/>
            <w:vAlign w:val="center"/>
          </w:tcPr>
          <w:p w14:paraId="12688402"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810" w:type="dxa"/>
            <w:shd w:val="clear" w:color="auto" w:fill="auto"/>
            <w:vAlign w:val="center"/>
          </w:tcPr>
          <w:p w14:paraId="4E9D0E20"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900" w:type="dxa"/>
            <w:shd w:val="clear" w:color="auto" w:fill="auto"/>
            <w:vAlign w:val="center"/>
          </w:tcPr>
          <w:p w14:paraId="7A33D3D0"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810" w:type="dxa"/>
            <w:shd w:val="clear" w:color="auto" w:fill="F2F2F2" w:themeFill="background1" w:themeFillShade="F2"/>
            <w:vAlign w:val="center"/>
          </w:tcPr>
          <w:p w14:paraId="3151CBDF" w14:textId="77777777" w:rsidR="00DE79C8" w:rsidRPr="002E1A3F" w:rsidRDefault="00DE79C8" w:rsidP="00A01C2F">
            <w:pPr>
              <w:widowControl/>
              <w:autoSpaceDE/>
              <w:autoSpaceDN/>
              <w:adjustRightInd/>
              <w:jc w:val="center"/>
              <w:rPr>
                <w:rFonts w:ascii="Calibri" w:eastAsia="Times New Roman" w:hAnsi="Calibri" w:cs="Calibri"/>
                <w:b/>
                <w:bCs/>
                <w:sz w:val="16"/>
                <w:szCs w:val="16"/>
              </w:rPr>
            </w:pPr>
          </w:p>
        </w:tc>
        <w:tc>
          <w:tcPr>
            <w:tcW w:w="1086" w:type="dxa"/>
            <w:shd w:val="clear" w:color="auto" w:fill="F2F2F2" w:themeFill="background1" w:themeFillShade="F2"/>
            <w:vAlign w:val="center"/>
            <w:hideMark/>
          </w:tcPr>
          <w:p w14:paraId="2A0706D9"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5</w:t>
            </w:r>
          </w:p>
        </w:tc>
        <w:tc>
          <w:tcPr>
            <w:tcW w:w="1080" w:type="dxa"/>
            <w:shd w:val="clear" w:color="auto" w:fill="F2F2F2" w:themeFill="background1" w:themeFillShade="F2"/>
            <w:vAlign w:val="center"/>
            <w:hideMark/>
          </w:tcPr>
          <w:p w14:paraId="6A9E8EB1" w14:textId="77777777" w:rsidR="00DE79C8" w:rsidRPr="002E1A3F" w:rsidRDefault="00DE79C8" w:rsidP="00A01C2F">
            <w:pPr>
              <w:widowControl/>
              <w:autoSpaceDE/>
              <w:autoSpaceDN/>
              <w:adjustRightInd/>
              <w:rPr>
                <w:rFonts w:ascii="Calibri" w:eastAsia="Times New Roman" w:hAnsi="Calibri" w:cs="Calibri"/>
                <w:b/>
                <w:bCs/>
                <w:sz w:val="16"/>
                <w:szCs w:val="16"/>
              </w:rPr>
            </w:pPr>
          </w:p>
        </w:tc>
      </w:tr>
      <w:tr w:rsidR="000C3959" w14:paraId="387A0388" w14:textId="77777777" w:rsidTr="00A01C2F">
        <w:trPr>
          <w:trHeight w:val="282"/>
          <w:jc w:val="center"/>
        </w:trPr>
        <w:tc>
          <w:tcPr>
            <w:tcW w:w="1092" w:type="dxa"/>
            <w:shd w:val="clear" w:color="auto" w:fill="auto"/>
            <w:vAlign w:val="center"/>
            <w:hideMark/>
          </w:tcPr>
          <w:p w14:paraId="0BED26F9" w14:textId="77777777" w:rsidR="00DE79C8" w:rsidRPr="002E1A3F" w:rsidRDefault="00B00100" w:rsidP="00A01C2F">
            <w:pPr>
              <w:widowControl/>
              <w:autoSpaceDE/>
              <w:autoSpaceDN/>
              <w:adjustRightInd/>
              <w:rPr>
                <w:rFonts w:ascii="Calibri" w:eastAsia="Times New Roman" w:hAnsi="Calibri" w:cs="Calibri"/>
                <w:b/>
                <w:bCs/>
                <w:sz w:val="16"/>
                <w:szCs w:val="16"/>
              </w:rPr>
            </w:pPr>
            <w:r w:rsidRPr="002E1A3F">
              <w:rPr>
                <w:rFonts w:ascii="Calibri" w:eastAsia="Times New Roman" w:hAnsi="Calibri" w:cs="Calibri"/>
                <w:b/>
                <w:bCs/>
                <w:sz w:val="16"/>
                <w:szCs w:val="16"/>
              </w:rPr>
              <w:t>Total</w:t>
            </w:r>
          </w:p>
        </w:tc>
        <w:tc>
          <w:tcPr>
            <w:tcW w:w="843" w:type="dxa"/>
            <w:shd w:val="clear" w:color="auto" w:fill="auto"/>
            <w:vAlign w:val="center"/>
            <w:hideMark/>
          </w:tcPr>
          <w:p w14:paraId="23FCD070" w14:textId="77777777" w:rsidR="00DE79C8" w:rsidRPr="002E1A3F" w:rsidRDefault="00B00100" w:rsidP="00A01C2F">
            <w:pPr>
              <w:widowControl/>
              <w:autoSpaceDE/>
              <w:autoSpaceDN/>
              <w:adjustRightInd/>
              <w:jc w:val="right"/>
              <w:rPr>
                <w:rFonts w:ascii="Calibri" w:eastAsia="Times New Roman" w:hAnsi="Calibri" w:cs="Calibri"/>
                <w:b/>
                <w:bCs/>
                <w:sz w:val="16"/>
                <w:szCs w:val="16"/>
              </w:rPr>
            </w:pPr>
            <w:r w:rsidRPr="002E1A3F">
              <w:rPr>
                <w:rFonts w:ascii="Calibri" w:eastAsia="Times New Roman" w:hAnsi="Calibri" w:cs="Calibri"/>
                <w:b/>
                <w:bCs/>
                <w:sz w:val="16"/>
                <w:szCs w:val="16"/>
              </w:rPr>
              <w:t>1</w:t>
            </w:r>
            <w:r>
              <w:rPr>
                <w:rFonts w:ascii="Calibri" w:eastAsia="Times New Roman" w:hAnsi="Calibri" w:cs="Calibri"/>
                <w:b/>
                <w:bCs/>
                <w:sz w:val="16"/>
                <w:szCs w:val="16"/>
              </w:rPr>
              <w:t>82</w:t>
            </w:r>
            <w:r w:rsidRPr="002E1A3F">
              <w:rPr>
                <w:rFonts w:ascii="Calibri" w:eastAsia="Times New Roman" w:hAnsi="Calibri" w:cs="Calibri"/>
                <w:b/>
                <w:bCs/>
                <w:sz w:val="16"/>
                <w:szCs w:val="16"/>
              </w:rPr>
              <w:t>.2</w:t>
            </w:r>
          </w:p>
        </w:tc>
        <w:tc>
          <w:tcPr>
            <w:tcW w:w="757" w:type="dxa"/>
            <w:shd w:val="clear" w:color="auto" w:fill="auto"/>
            <w:vAlign w:val="center"/>
            <w:hideMark/>
          </w:tcPr>
          <w:p w14:paraId="34D5121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131</w:t>
            </w:r>
          </w:p>
        </w:tc>
        <w:tc>
          <w:tcPr>
            <w:tcW w:w="818" w:type="dxa"/>
            <w:shd w:val="clear" w:color="auto" w:fill="auto"/>
            <w:vAlign w:val="center"/>
            <w:hideMark/>
          </w:tcPr>
          <w:p w14:paraId="6D238EB6"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51</w:t>
            </w:r>
            <w:r w:rsidRPr="002E1A3F">
              <w:rPr>
                <w:rFonts w:ascii="Calibri" w:eastAsia="Times New Roman" w:hAnsi="Calibri" w:cs="Calibri"/>
                <w:b/>
                <w:bCs/>
                <w:sz w:val="16"/>
                <w:szCs w:val="16"/>
              </w:rPr>
              <w:t>.2</w:t>
            </w:r>
          </w:p>
        </w:tc>
        <w:tc>
          <w:tcPr>
            <w:tcW w:w="540" w:type="dxa"/>
            <w:shd w:val="clear" w:color="auto" w:fill="auto"/>
            <w:vAlign w:val="center"/>
            <w:hideMark/>
          </w:tcPr>
          <w:p w14:paraId="0826C93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r>
              <w:rPr>
                <w:rFonts w:ascii="Calibri" w:eastAsia="Times New Roman" w:hAnsi="Calibri" w:cs="Calibri"/>
                <w:b/>
                <w:bCs/>
                <w:sz w:val="16"/>
                <w:szCs w:val="16"/>
              </w:rPr>
              <w:t>4</w:t>
            </w:r>
          </w:p>
        </w:tc>
        <w:tc>
          <w:tcPr>
            <w:tcW w:w="984" w:type="dxa"/>
            <w:shd w:val="clear" w:color="auto" w:fill="auto"/>
            <w:vAlign w:val="center"/>
            <w:hideMark/>
          </w:tcPr>
          <w:p w14:paraId="5302087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8</w:t>
            </w:r>
            <w:r w:rsidR="00BD1EB1">
              <w:rPr>
                <w:rFonts w:ascii="Calibri" w:eastAsia="Times New Roman" w:hAnsi="Calibri" w:cs="Calibri"/>
                <w:b/>
                <w:bCs/>
                <w:sz w:val="16"/>
                <w:szCs w:val="16"/>
              </w:rPr>
              <w:t>3</w:t>
            </w:r>
          </w:p>
        </w:tc>
        <w:tc>
          <w:tcPr>
            <w:tcW w:w="540" w:type="dxa"/>
            <w:shd w:val="clear" w:color="auto" w:fill="auto"/>
            <w:vAlign w:val="center"/>
            <w:hideMark/>
          </w:tcPr>
          <w:p w14:paraId="100A9924"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9</w:t>
            </w:r>
          </w:p>
        </w:tc>
        <w:tc>
          <w:tcPr>
            <w:tcW w:w="990" w:type="dxa"/>
            <w:shd w:val="clear" w:color="auto" w:fill="auto"/>
            <w:vAlign w:val="center"/>
            <w:hideMark/>
          </w:tcPr>
          <w:p w14:paraId="01A1B580"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43</w:t>
            </w:r>
          </w:p>
        </w:tc>
        <w:tc>
          <w:tcPr>
            <w:tcW w:w="1170" w:type="dxa"/>
            <w:shd w:val="clear" w:color="auto" w:fill="auto"/>
            <w:vAlign w:val="center"/>
            <w:hideMark/>
          </w:tcPr>
          <w:p w14:paraId="33BCA48D"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4</w:t>
            </w:r>
          </w:p>
        </w:tc>
        <w:tc>
          <w:tcPr>
            <w:tcW w:w="900" w:type="dxa"/>
            <w:shd w:val="clear" w:color="auto" w:fill="F2F2F2" w:themeFill="background1" w:themeFillShade="F2"/>
            <w:vAlign w:val="center"/>
            <w:hideMark/>
          </w:tcPr>
          <w:p w14:paraId="67017FC7"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1</w:t>
            </w:r>
            <w:r w:rsidR="00985D1A">
              <w:rPr>
                <w:rFonts w:ascii="Calibri" w:eastAsia="Times New Roman" w:hAnsi="Calibri" w:cs="Calibri"/>
                <w:b/>
                <w:bCs/>
                <w:sz w:val="16"/>
                <w:szCs w:val="16"/>
              </w:rPr>
              <w:t>30</w:t>
            </w:r>
          </w:p>
        </w:tc>
        <w:tc>
          <w:tcPr>
            <w:tcW w:w="810" w:type="dxa"/>
            <w:shd w:val="clear" w:color="auto" w:fill="auto"/>
            <w:vAlign w:val="center"/>
            <w:hideMark/>
          </w:tcPr>
          <w:p w14:paraId="3F8FD05E"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3</w:t>
            </w:r>
          </w:p>
        </w:tc>
        <w:tc>
          <w:tcPr>
            <w:tcW w:w="810" w:type="dxa"/>
            <w:shd w:val="clear" w:color="auto" w:fill="auto"/>
            <w:vAlign w:val="center"/>
            <w:hideMark/>
          </w:tcPr>
          <w:p w14:paraId="0B398ADB"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r>
              <w:rPr>
                <w:rFonts w:ascii="Calibri" w:eastAsia="Times New Roman" w:hAnsi="Calibri" w:cs="Calibri"/>
                <w:b/>
                <w:bCs/>
                <w:sz w:val="16"/>
                <w:szCs w:val="16"/>
              </w:rPr>
              <w:t>8</w:t>
            </w:r>
          </w:p>
        </w:tc>
        <w:tc>
          <w:tcPr>
            <w:tcW w:w="900" w:type="dxa"/>
            <w:shd w:val="clear" w:color="auto" w:fill="auto"/>
            <w:vAlign w:val="center"/>
            <w:hideMark/>
          </w:tcPr>
          <w:p w14:paraId="3990ABD5"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6</w:t>
            </w:r>
          </w:p>
        </w:tc>
        <w:tc>
          <w:tcPr>
            <w:tcW w:w="810" w:type="dxa"/>
            <w:shd w:val="clear" w:color="auto" w:fill="F2F2F2" w:themeFill="background1" w:themeFillShade="F2"/>
            <w:vAlign w:val="center"/>
            <w:hideMark/>
          </w:tcPr>
          <w:p w14:paraId="7E1CCDA9"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2</w:t>
            </w:r>
            <w:r>
              <w:rPr>
                <w:rFonts w:ascii="Calibri" w:eastAsia="Times New Roman" w:hAnsi="Calibri" w:cs="Calibri"/>
                <w:b/>
                <w:bCs/>
                <w:sz w:val="16"/>
                <w:szCs w:val="16"/>
              </w:rPr>
              <w:t>4</w:t>
            </w:r>
          </w:p>
        </w:tc>
        <w:tc>
          <w:tcPr>
            <w:tcW w:w="1086" w:type="dxa"/>
            <w:shd w:val="clear" w:color="auto" w:fill="F2F2F2" w:themeFill="background1" w:themeFillShade="F2"/>
            <w:vAlign w:val="center"/>
            <w:hideMark/>
          </w:tcPr>
          <w:p w14:paraId="320AD0F2"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Pr>
                <w:rFonts w:ascii="Calibri" w:eastAsia="Times New Roman" w:hAnsi="Calibri" w:cs="Calibri"/>
                <w:b/>
                <w:bCs/>
                <w:sz w:val="16"/>
                <w:szCs w:val="16"/>
              </w:rPr>
              <w:t>12.5</w:t>
            </w:r>
          </w:p>
        </w:tc>
        <w:tc>
          <w:tcPr>
            <w:tcW w:w="1080" w:type="dxa"/>
            <w:shd w:val="clear" w:color="auto" w:fill="F2F2F2" w:themeFill="background1" w:themeFillShade="F2"/>
            <w:vAlign w:val="center"/>
            <w:hideMark/>
          </w:tcPr>
          <w:p w14:paraId="63FE93D3" w14:textId="77777777" w:rsidR="00DE79C8" w:rsidRPr="002E1A3F" w:rsidRDefault="00B00100" w:rsidP="00A01C2F">
            <w:pPr>
              <w:widowControl/>
              <w:autoSpaceDE/>
              <w:autoSpaceDN/>
              <w:adjustRightInd/>
              <w:jc w:val="center"/>
              <w:rPr>
                <w:rFonts w:ascii="Calibri" w:eastAsia="Times New Roman" w:hAnsi="Calibri" w:cs="Calibri"/>
                <w:b/>
                <w:bCs/>
                <w:sz w:val="16"/>
                <w:szCs w:val="16"/>
              </w:rPr>
            </w:pPr>
            <w:r w:rsidRPr="002E1A3F">
              <w:rPr>
                <w:rFonts w:ascii="Calibri" w:eastAsia="Times New Roman" w:hAnsi="Calibri" w:cs="Calibri"/>
                <w:b/>
                <w:bCs/>
                <w:sz w:val="16"/>
                <w:szCs w:val="16"/>
              </w:rPr>
              <w:t>1</w:t>
            </w:r>
            <w:r w:rsidR="007F2182">
              <w:rPr>
                <w:rFonts w:ascii="Calibri" w:eastAsia="Times New Roman" w:hAnsi="Calibri" w:cs="Calibri"/>
                <w:b/>
                <w:bCs/>
                <w:sz w:val="16"/>
                <w:szCs w:val="16"/>
              </w:rPr>
              <w:t>5</w:t>
            </w:r>
            <w:r>
              <w:rPr>
                <w:rFonts w:ascii="Calibri" w:eastAsia="Times New Roman" w:hAnsi="Calibri" w:cs="Calibri"/>
                <w:b/>
                <w:bCs/>
                <w:sz w:val="16"/>
                <w:szCs w:val="16"/>
              </w:rPr>
              <w:t>.7</w:t>
            </w:r>
          </w:p>
        </w:tc>
      </w:tr>
    </w:tbl>
    <w:p w14:paraId="3BE6583D" w14:textId="77777777" w:rsidR="00DE79C8" w:rsidRPr="002E1A3F" w:rsidRDefault="00DE79C8" w:rsidP="002E1A3F">
      <w:pPr>
        <w:keepNext/>
        <w:keepLines/>
        <w:tabs>
          <w:tab w:val="left" w:pos="0"/>
          <w:tab w:val="left" w:pos="720"/>
        </w:tabs>
        <w:spacing w:after="120"/>
        <w:jc w:val="center"/>
        <w:rPr>
          <w:rFonts w:ascii="Calibri" w:eastAsia="Calibri,Times New Roman" w:hAnsi="Calibri" w:cs="Calibri"/>
          <w:b/>
          <w:spacing w:val="-1"/>
          <w:sz w:val="22"/>
          <w:szCs w:val="22"/>
        </w:rPr>
      </w:pPr>
    </w:p>
    <w:p w14:paraId="0ED40237" w14:textId="77777777" w:rsidR="002E1A3F" w:rsidRPr="002E1A3F" w:rsidRDefault="002E1A3F" w:rsidP="002E1A3F">
      <w:pPr>
        <w:spacing w:after="240"/>
        <w:ind w:firstLine="86"/>
        <w:contextualSpacing/>
        <w:jc w:val="both"/>
        <w:rPr>
          <w:rFonts w:ascii="Calibri" w:eastAsia="Calibri" w:hAnsi="Calibri" w:cs="Times New Roman"/>
          <w:b/>
          <w:color w:val="0070C0"/>
          <w:sz w:val="22"/>
          <w:szCs w:val="22"/>
          <w:lang w:eastAsia="ko-KR"/>
        </w:rPr>
        <w:sectPr w:rsidR="002E1A3F" w:rsidRPr="002E1A3F" w:rsidSect="0037713F">
          <w:pgSz w:w="15840" w:h="12240" w:orient="landscape"/>
          <w:pgMar w:top="1080" w:right="994" w:bottom="1440" w:left="1440" w:header="0" w:footer="0" w:gutter="0"/>
          <w:cols w:space="720"/>
          <w:docGrid w:linePitch="360"/>
        </w:sectPr>
      </w:pPr>
    </w:p>
    <w:p w14:paraId="7665BA97"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
          <w:bCs/>
          <w:spacing w:val="-1"/>
          <w:sz w:val="22"/>
          <w:szCs w:val="22"/>
        </w:rPr>
      </w:pPr>
      <w:r w:rsidRPr="002E1A3F">
        <w:rPr>
          <w:rFonts w:ascii="Calibri" w:eastAsia="Calibri" w:hAnsi="Calibri" w:cs="Calibri"/>
          <w:b/>
          <w:bCs/>
          <w:spacing w:val="-1"/>
          <w:sz w:val="22"/>
          <w:szCs w:val="22"/>
        </w:rPr>
        <w:lastRenderedPageBreak/>
        <w:t xml:space="preserve">Based on the current IDA envelope and consultation between the World Bank and participating national governments, project </w:t>
      </w:r>
      <w:r w:rsidR="003E6823">
        <w:rPr>
          <w:rFonts w:ascii="Calibri" w:eastAsia="Calibri" w:hAnsi="Calibri" w:cs="Calibri"/>
          <w:b/>
          <w:bCs/>
          <w:spacing w:val="-1"/>
          <w:sz w:val="22"/>
          <w:szCs w:val="22"/>
        </w:rPr>
        <w:t>c</w:t>
      </w:r>
      <w:r w:rsidRPr="002E1A3F">
        <w:rPr>
          <w:rFonts w:ascii="Calibri" w:eastAsia="Calibri" w:hAnsi="Calibri" w:cs="Calibri"/>
          <w:b/>
          <w:bCs/>
          <w:spacing w:val="-1"/>
          <w:sz w:val="22"/>
          <w:szCs w:val="22"/>
        </w:rPr>
        <w:t xml:space="preserve">omponents will be financed as indicated in Table </w:t>
      </w:r>
      <w:r w:rsidR="00C759D8">
        <w:rPr>
          <w:rFonts w:ascii="Calibri" w:eastAsia="Calibri" w:hAnsi="Calibri" w:cs="Calibri"/>
          <w:b/>
          <w:bCs/>
          <w:spacing w:val="-1"/>
          <w:sz w:val="22"/>
          <w:szCs w:val="22"/>
        </w:rPr>
        <w:t>5</w:t>
      </w:r>
      <w:r w:rsidRPr="002E1A3F">
        <w:rPr>
          <w:rFonts w:ascii="Calibri" w:eastAsia="Calibri" w:hAnsi="Calibri" w:cs="Calibri"/>
          <w:b/>
          <w:bCs/>
          <w:spacing w:val="-1"/>
          <w:sz w:val="22"/>
          <w:szCs w:val="22"/>
        </w:rPr>
        <w:t xml:space="preserve"> below.</w:t>
      </w:r>
    </w:p>
    <w:p w14:paraId="37B41F0E" w14:textId="77777777" w:rsidR="002E1A3F" w:rsidRPr="002E1A3F" w:rsidRDefault="00B00100">
      <w:pPr>
        <w:keepNext/>
        <w:keepLines/>
        <w:tabs>
          <w:tab w:val="left" w:pos="0"/>
          <w:tab w:val="left" w:pos="720"/>
        </w:tabs>
        <w:spacing w:after="120"/>
        <w:jc w:val="center"/>
        <w:rPr>
          <w:rFonts w:ascii="Calibri" w:eastAsia="Calibri" w:hAnsi="Calibri" w:cs="Calibri"/>
          <w:b/>
          <w:i/>
          <w:spacing w:val="-1"/>
          <w:sz w:val="22"/>
          <w:szCs w:val="22"/>
        </w:rPr>
      </w:pPr>
      <w:r w:rsidRPr="00064BFD">
        <w:rPr>
          <w:rFonts w:ascii="Calibri" w:eastAsia="Calibri" w:hAnsi="Calibri" w:cs="Calibri"/>
          <w:b/>
          <w:spacing w:val="-1"/>
          <w:sz w:val="22"/>
          <w:szCs w:val="22"/>
        </w:rPr>
        <w:t xml:space="preserve">Table </w:t>
      </w:r>
      <w:r w:rsidR="00C759D8">
        <w:rPr>
          <w:rFonts w:ascii="Calibri" w:eastAsia="Calibri" w:hAnsi="Calibri" w:cs="Calibri"/>
          <w:b/>
          <w:spacing w:val="-1"/>
          <w:sz w:val="22"/>
          <w:szCs w:val="22"/>
        </w:rPr>
        <w:t>5</w:t>
      </w:r>
      <w:r w:rsidRPr="00064BFD">
        <w:rPr>
          <w:rFonts w:ascii="Calibri" w:eastAsia="Calibri,Times New Roman" w:hAnsi="Calibri" w:cs="Calibri"/>
          <w:b/>
          <w:spacing w:val="-1"/>
          <w:sz w:val="22"/>
          <w:szCs w:val="22"/>
        </w:rPr>
        <w:t>.</w:t>
      </w:r>
      <w:r w:rsidRPr="00064BFD">
        <w:rPr>
          <w:rFonts w:ascii="Calibri" w:eastAsia="Calibri,Times New Roman" w:hAnsi="Calibri" w:cs="Calibri"/>
          <w:b/>
          <w:i/>
          <w:spacing w:val="-1"/>
          <w:sz w:val="22"/>
          <w:szCs w:val="22"/>
        </w:rPr>
        <w:t xml:space="preserve"> </w:t>
      </w:r>
      <w:r w:rsidRPr="00064BFD">
        <w:rPr>
          <w:rFonts w:ascii="Calibri" w:eastAsia="Calibri" w:hAnsi="Calibri" w:cs="Calibri"/>
          <w:b/>
          <w:i/>
          <w:spacing w:val="-1"/>
          <w:sz w:val="22"/>
          <w:szCs w:val="22"/>
        </w:rPr>
        <w:t xml:space="preserve">Funding </w:t>
      </w:r>
      <w:r w:rsidR="0086053A">
        <w:rPr>
          <w:rFonts w:ascii="Calibri" w:eastAsia="Calibri" w:hAnsi="Calibri" w:cs="Calibri"/>
          <w:b/>
          <w:i/>
          <w:spacing w:val="-1"/>
          <w:sz w:val="22"/>
          <w:szCs w:val="22"/>
        </w:rPr>
        <w:t>E</w:t>
      </w:r>
      <w:r w:rsidRPr="00064BFD">
        <w:rPr>
          <w:rFonts w:ascii="Calibri" w:eastAsia="Calibri" w:hAnsi="Calibri" w:cs="Calibri"/>
          <w:b/>
          <w:i/>
          <w:spacing w:val="-1"/>
          <w:sz w:val="22"/>
          <w:szCs w:val="22"/>
        </w:rPr>
        <w:t xml:space="preserve">nvelope and </w:t>
      </w:r>
      <w:r w:rsidR="0086053A">
        <w:rPr>
          <w:rFonts w:ascii="Calibri" w:eastAsia="Calibri" w:hAnsi="Calibri" w:cs="Calibri"/>
          <w:b/>
          <w:i/>
          <w:spacing w:val="-1"/>
          <w:sz w:val="22"/>
          <w:szCs w:val="22"/>
        </w:rPr>
        <w:t>S</w:t>
      </w:r>
      <w:r w:rsidRPr="00064BFD">
        <w:rPr>
          <w:rFonts w:ascii="Calibri" w:eastAsia="Calibri" w:hAnsi="Calibri" w:cs="Calibri"/>
          <w:b/>
          <w:i/>
          <w:spacing w:val="-1"/>
          <w:sz w:val="22"/>
          <w:szCs w:val="22"/>
        </w:rPr>
        <w:t xml:space="preserve">ources of </w:t>
      </w:r>
      <w:r w:rsidR="0086053A">
        <w:rPr>
          <w:rFonts w:ascii="Calibri" w:eastAsia="Calibri" w:hAnsi="Calibri" w:cs="Calibri"/>
          <w:b/>
          <w:i/>
          <w:spacing w:val="-1"/>
          <w:sz w:val="22"/>
          <w:szCs w:val="22"/>
        </w:rPr>
        <w:t>F</w:t>
      </w:r>
      <w:r w:rsidRPr="00064BFD">
        <w:rPr>
          <w:rFonts w:ascii="Calibri" w:eastAsia="Calibri" w:hAnsi="Calibri" w:cs="Calibri"/>
          <w:b/>
          <w:i/>
          <w:spacing w:val="-1"/>
          <w:sz w:val="22"/>
          <w:szCs w:val="22"/>
        </w:rPr>
        <w:t xml:space="preserve">unding for </w:t>
      </w:r>
      <w:r w:rsidR="0086053A">
        <w:rPr>
          <w:rFonts w:ascii="Calibri" w:eastAsia="Calibri" w:hAnsi="Calibri" w:cs="Calibri"/>
          <w:b/>
          <w:i/>
          <w:spacing w:val="-1"/>
          <w:sz w:val="22"/>
          <w:szCs w:val="22"/>
        </w:rPr>
        <w:t>P</w:t>
      </w:r>
      <w:r w:rsidRPr="00064BFD">
        <w:rPr>
          <w:rFonts w:ascii="Calibri" w:eastAsia="Calibri" w:hAnsi="Calibri" w:cs="Calibri"/>
          <w:b/>
          <w:i/>
          <w:spacing w:val="-1"/>
          <w:sz w:val="22"/>
          <w:szCs w:val="22"/>
        </w:rPr>
        <w:t xml:space="preserve">articipating </w:t>
      </w:r>
      <w:r w:rsidR="0086053A">
        <w:rPr>
          <w:rFonts w:ascii="Calibri" w:eastAsia="Calibri" w:hAnsi="Calibri" w:cs="Calibri"/>
          <w:b/>
          <w:i/>
          <w:spacing w:val="-1"/>
          <w:sz w:val="22"/>
          <w:szCs w:val="22"/>
        </w:rPr>
        <w:t>C</w:t>
      </w:r>
      <w:r w:rsidRPr="00064BFD">
        <w:rPr>
          <w:rFonts w:ascii="Calibri" w:eastAsia="Calibri" w:hAnsi="Calibri" w:cs="Calibri"/>
          <w:b/>
          <w:i/>
          <w:spacing w:val="-1"/>
          <w:sz w:val="22"/>
          <w:szCs w:val="22"/>
        </w:rPr>
        <w:t>ountries (equivalent US$ million)</w:t>
      </w:r>
    </w:p>
    <w:tbl>
      <w:tblPr>
        <w:tblW w:w="8910" w:type="dxa"/>
        <w:jc w:val="center"/>
        <w:tblLayout w:type="fixed"/>
        <w:tblCellMar>
          <w:left w:w="0" w:type="dxa"/>
          <w:right w:w="0" w:type="dxa"/>
        </w:tblCellMar>
        <w:tblLook w:val="04A0" w:firstRow="1" w:lastRow="0" w:firstColumn="1" w:lastColumn="0" w:noHBand="0" w:noVBand="1"/>
      </w:tblPr>
      <w:tblGrid>
        <w:gridCol w:w="1611"/>
        <w:gridCol w:w="1431"/>
        <w:gridCol w:w="22"/>
        <w:gridCol w:w="1499"/>
        <w:gridCol w:w="12"/>
        <w:gridCol w:w="1330"/>
        <w:gridCol w:w="1431"/>
        <w:gridCol w:w="1574"/>
      </w:tblGrid>
      <w:tr w:rsidR="000C3959" w14:paraId="1055355E" w14:textId="77777777" w:rsidTr="006C70A5">
        <w:trPr>
          <w:trHeight w:val="182"/>
          <w:jc w:val="center"/>
        </w:trPr>
        <w:tc>
          <w:tcPr>
            <w:tcW w:w="1611" w:type="dxa"/>
            <w:vMerge w:val="restart"/>
            <w:tcBorders>
              <w:top w:val="single" w:sz="8" w:space="0" w:color="auto"/>
              <w:left w:val="single" w:sz="8" w:space="0" w:color="auto"/>
              <w:right w:val="single" w:sz="8" w:space="0" w:color="auto"/>
            </w:tcBorders>
            <w:shd w:val="clear" w:color="auto" w:fill="D0CECE"/>
            <w:tcMar>
              <w:top w:w="0" w:type="dxa"/>
              <w:left w:w="108" w:type="dxa"/>
              <w:bottom w:w="0" w:type="dxa"/>
              <w:right w:w="108" w:type="dxa"/>
            </w:tcMar>
          </w:tcPr>
          <w:p w14:paraId="14181AA7" w14:textId="77777777" w:rsidR="00FC3C3D" w:rsidRDefault="00B00100" w:rsidP="008E2709">
            <w:pPr>
              <w:widowControl/>
              <w:autoSpaceDE/>
              <w:autoSpaceDN/>
              <w:adjustRightInd/>
              <w:spacing w:after="160"/>
              <w:rPr>
                <w:rFonts w:asciiTheme="minorHAnsi" w:eastAsia="Calibri" w:hAnsiTheme="minorHAnsi" w:cstheme="minorHAnsi"/>
                <w:b/>
                <w:color w:val="auto"/>
                <w:sz w:val="22"/>
                <w:szCs w:val="22"/>
              </w:rPr>
            </w:pPr>
            <w:bookmarkStart w:id="102" w:name="_Hlk534886972"/>
            <w:r w:rsidRPr="00B81291">
              <w:rPr>
                <w:rFonts w:asciiTheme="minorHAnsi" w:eastAsia="Calibri" w:hAnsiTheme="minorHAnsi" w:cstheme="minorHAnsi"/>
                <w:b/>
                <w:color w:val="auto"/>
                <w:sz w:val="22"/>
                <w:szCs w:val="22"/>
              </w:rPr>
              <w:t>Country</w:t>
            </w:r>
            <w:r>
              <w:rPr>
                <w:rFonts w:asciiTheme="minorHAnsi" w:eastAsia="Calibri" w:hAnsiTheme="minorHAnsi" w:cstheme="minorHAnsi"/>
                <w:b/>
                <w:color w:val="auto"/>
                <w:sz w:val="22"/>
                <w:szCs w:val="22"/>
              </w:rPr>
              <w:t>/</w:t>
            </w:r>
          </w:p>
          <w:p w14:paraId="7BC345D7" w14:textId="77777777" w:rsidR="00FC3C3D" w:rsidRPr="00B81291" w:rsidRDefault="00B00100" w:rsidP="008E2709">
            <w:pPr>
              <w:widowControl/>
              <w:autoSpaceDE/>
              <w:autoSpaceDN/>
              <w:adjustRightInd/>
              <w:spacing w:after="160"/>
              <w:rPr>
                <w:rFonts w:asciiTheme="minorHAnsi" w:eastAsia="Calibri" w:hAnsiTheme="minorHAnsi" w:cstheme="minorHAnsi"/>
                <w:b/>
                <w:color w:val="auto"/>
                <w:sz w:val="22"/>
                <w:szCs w:val="22"/>
              </w:rPr>
            </w:pPr>
            <w:r>
              <w:rPr>
                <w:rFonts w:asciiTheme="minorHAnsi" w:eastAsia="Calibri" w:hAnsiTheme="minorHAnsi" w:cstheme="minorHAnsi"/>
                <w:b/>
                <w:color w:val="auto"/>
                <w:sz w:val="22"/>
                <w:szCs w:val="22"/>
              </w:rPr>
              <w:t>Organization</w:t>
            </w:r>
          </w:p>
        </w:tc>
        <w:tc>
          <w:tcPr>
            <w:tcW w:w="1453" w:type="dxa"/>
            <w:gridSpan w:val="2"/>
            <w:tcBorders>
              <w:top w:val="single" w:sz="8" w:space="0" w:color="auto"/>
              <w:left w:val="nil"/>
              <w:right w:val="nil"/>
            </w:tcBorders>
            <w:shd w:val="clear" w:color="auto" w:fill="D0CECE"/>
          </w:tcPr>
          <w:p w14:paraId="0D5B4CC2" w14:textId="77777777" w:rsidR="00FC3C3D" w:rsidRPr="00B81291" w:rsidRDefault="00FC3C3D">
            <w:pPr>
              <w:keepNext/>
              <w:keepLines/>
              <w:jc w:val="center"/>
              <w:rPr>
                <w:rFonts w:asciiTheme="minorHAnsi" w:eastAsia="Calibri" w:hAnsiTheme="minorHAnsi" w:cstheme="minorHAnsi"/>
                <w:b/>
                <w:sz w:val="22"/>
                <w:szCs w:val="22"/>
              </w:rPr>
            </w:pPr>
          </w:p>
        </w:tc>
        <w:tc>
          <w:tcPr>
            <w:tcW w:w="1511" w:type="dxa"/>
            <w:gridSpan w:val="2"/>
            <w:tcBorders>
              <w:top w:val="single" w:sz="8" w:space="0" w:color="auto"/>
              <w:left w:val="nil"/>
              <w:right w:val="nil"/>
            </w:tcBorders>
            <w:shd w:val="clear" w:color="auto" w:fill="D0CECE"/>
          </w:tcPr>
          <w:p w14:paraId="029C6780" w14:textId="77777777" w:rsidR="00FC3C3D" w:rsidRPr="00B81291" w:rsidRDefault="00FC3C3D" w:rsidP="00F463C2">
            <w:pPr>
              <w:keepNext/>
              <w:keepLines/>
              <w:jc w:val="center"/>
              <w:rPr>
                <w:rFonts w:asciiTheme="minorHAnsi" w:eastAsia="Calibri" w:hAnsiTheme="minorHAnsi" w:cstheme="minorHAnsi"/>
                <w:b/>
                <w:sz w:val="22"/>
                <w:szCs w:val="22"/>
              </w:rPr>
            </w:pPr>
          </w:p>
        </w:tc>
        <w:tc>
          <w:tcPr>
            <w:tcW w:w="4335" w:type="dxa"/>
            <w:gridSpan w:val="3"/>
            <w:tcBorders>
              <w:top w:val="single" w:sz="8" w:space="0" w:color="auto"/>
              <w:left w:val="nil"/>
              <w:right w:val="single" w:sz="8" w:space="0" w:color="auto"/>
            </w:tcBorders>
            <w:shd w:val="clear" w:color="auto" w:fill="D0CECE"/>
          </w:tcPr>
          <w:p w14:paraId="453B55BE" w14:textId="77777777" w:rsidR="00FC3C3D" w:rsidRPr="00B81291" w:rsidRDefault="00B00100" w:rsidP="00F463C2">
            <w:pPr>
              <w:keepNext/>
              <w:keepLines/>
              <w:rPr>
                <w:rFonts w:asciiTheme="minorHAnsi" w:eastAsia="Calibri" w:hAnsiTheme="minorHAnsi" w:cstheme="minorHAnsi"/>
                <w:b/>
                <w:sz w:val="22"/>
                <w:szCs w:val="22"/>
              </w:rPr>
            </w:pPr>
            <w:r w:rsidRPr="00B81291">
              <w:rPr>
                <w:rFonts w:asciiTheme="minorHAnsi" w:eastAsia="Calibri" w:hAnsiTheme="minorHAnsi" w:cstheme="minorHAnsi"/>
                <w:b/>
                <w:sz w:val="22"/>
                <w:szCs w:val="22"/>
              </w:rPr>
              <w:t>Sources of Funds</w:t>
            </w:r>
          </w:p>
        </w:tc>
      </w:tr>
      <w:tr w:rsidR="000C3959" w14:paraId="468A936A" w14:textId="77777777" w:rsidTr="006C70A5">
        <w:trPr>
          <w:trHeight w:val="182"/>
          <w:jc w:val="center"/>
        </w:trPr>
        <w:tc>
          <w:tcPr>
            <w:tcW w:w="1611" w:type="dxa"/>
            <w:vMerge/>
            <w:tcBorders>
              <w:left w:val="single" w:sz="8" w:space="0" w:color="auto"/>
              <w:bottom w:val="single" w:sz="4" w:space="0" w:color="auto"/>
              <w:right w:val="single" w:sz="8" w:space="0" w:color="auto"/>
            </w:tcBorders>
            <w:shd w:val="clear" w:color="auto" w:fill="D0CECE"/>
            <w:tcMar>
              <w:top w:w="0" w:type="dxa"/>
              <w:left w:w="108" w:type="dxa"/>
              <w:bottom w:w="0" w:type="dxa"/>
              <w:right w:w="108" w:type="dxa"/>
            </w:tcMar>
          </w:tcPr>
          <w:p w14:paraId="2FED0B60" w14:textId="77777777" w:rsidR="00F92B19" w:rsidRPr="00B81291" w:rsidRDefault="00F92B19" w:rsidP="008E2709">
            <w:pPr>
              <w:widowControl/>
              <w:autoSpaceDE/>
              <w:autoSpaceDN/>
              <w:adjustRightInd/>
              <w:rPr>
                <w:rFonts w:asciiTheme="minorHAnsi" w:eastAsia="Calibri" w:hAnsiTheme="minorHAnsi" w:cstheme="minorHAnsi"/>
                <w:color w:val="auto"/>
                <w:sz w:val="22"/>
                <w:szCs w:val="22"/>
              </w:rPr>
            </w:pPr>
          </w:p>
        </w:tc>
        <w:tc>
          <w:tcPr>
            <w:tcW w:w="1431" w:type="dxa"/>
            <w:tcBorders>
              <w:top w:val="single" w:sz="8" w:space="0" w:color="auto"/>
              <w:left w:val="nil"/>
              <w:bottom w:val="single" w:sz="4" w:space="0" w:color="auto"/>
              <w:right w:val="single" w:sz="8" w:space="0" w:color="auto"/>
            </w:tcBorders>
            <w:shd w:val="clear" w:color="auto" w:fill="D0CECE"/>
          </w:tcPr>
          <w:p w14:paraId="33DA2C81" w14:textId="77777777" w:rsidR="00F92B19" w:rsidRPr="00B81291" w:rsidRDefault="00B00100" w:rsidP="008E2709">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Total Project Cost</w:t>
            </w:r>
          </w:p>
        </w:tc>
        <w:tc>
          <w:tcPr>
            <w:tcW w:w="1521" w:type="dxa"/>
            <w:gridSpan w:val="2"/>
            <w:tcBorders>
              <w:top w:val="single" w:sz="8" w:space="0" w:color="auto"/>
              <w:left w:val="nil"/>
              <w:bottom w:val="single" w:sz="4" w:space="0" w:color="auto"/>
              <w:right w:val="single" w:sz="4" w:space="0" w:color="auto"/>
            </w:tcBorders>
            <w:shd w:val="clear" w:color="auto" w:fill="D0CECE"/>
          </w:tcPr>
          <w:p w14:paraId="53EA2768" w14:textId="77777777" w:rsidR="00F92B19" w:rsidRPr="00B81291" w:rsidRDefault="00B00100" w:rsidP="008E2709">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Govt. Funding*</w:t>
            </w:r>
          </w:p>
        </w:tc>
        <w:tc>
          <w:tcPr>
            <w:tcW w:w="1342" w:type="dxa"/>
            <w:gridSpan w:val="2"/>
            <w:tcBorders>
              <w:top w:val="single" w:sz="4" w:space="0" w:color="auto"/>
              <w:left w:val="single" w:sz="4" w:space="0" w:color="auto"/>
              <w:bottom w:val="single" w:sz="4" w:space="0" w:color="auto"/>
              <w:right w:val="single" w:sz="4" w:space="0" w:color="auto"/>
            </w:tcBorders>
            <w:shd w:val="clear" w:color="auto" w:fill="D0CECE"/>
          </w:tcPr>
          <w:p w14:paraId="58F692C0" w14:textId="77777777" w:rsidR="00F92B19" w:rsidRPr="00B81291" w:rsidRDefault="00B00100" w:rsidP="008E2709">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AFD Credit</w:t>
            </w:r>
          </w:p>
        </w:tc>
        <w:tc>
          <w:tcPr>
            <w:tcW w:w="1431" w:type="dxa"/>
            <w:tcBorders>
              <w:top w:val="single" w:sz="8" w:space="0" w:color="auto"/>
              <w:left w:val="single" w:sz="4" w:space="0" w:color="auto"/>
              <w:bottom w:val="single" w:sz="4" w:space="0" w:color="auto"/>
              <w:right w:val="single" w:sz="8" w:space="0" w:color="auto"/>
            </w:tcBorders>
            <w:shd w:val="clear" w:color="auto" w:fill="D0CECE"/>
          </w:tcPr>
          <w:p w14:paraId="0668C504" w14:textId="77777777" w:rsidR="00F92B19" w:rsidRPr="00B81291" w:rsidRDefault="00B00100" w:rsidP="008E2709">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IDA Credit</w:t>
            </w:r>
          </w:p>
        </w:tc>
        <w:tc>
          <w:tcPr>
            <w:tcW w:w="1574" w:type="dxa"/>
            <w:tcBorders>
              <w:top w:val="single" w:sz="8" w:space="0" w:color="auto"/>
              <w:left w:val="nil"/>
              <w:bottom w:val="single" w:sz="4" w:space="0" w:color="auto"/>
              <w:right w:val="single" w:sz="8" w:space="0" w:color="auto"/>
            </w:tcBorders>
            <w:shd w:val="clear" w:color="auto" w:fill="D0CECE"/>
          </w:tcPr>
          <w:p w14:paraId="7C5AE831" w14:textId="77777777" w:rsidR="00F92B19" w:rsidRPr="00B81291" w:rsidRDefault="00B00100" w:rsidP="008E2709">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IDA Grant</w:t>
            </w:r>
          </w:p>
        </w:tc>
      </w:tr>
      <w:tr w:rsidR="000C3959" w14:paraId="4CFAE1B6" w14:textId="77777777" w:rsidTr="006C70A5">
        <w:trPr>
          <w:trHeight w:val="341"/>
          <w:jc w:val="center"/>
        </w:trPr>
        <w:tc>
          <w:tcPr>
            <w:tcW w:w="16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D462DD6" w14:textId="77777777" w:rsidR="009569A3"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Benin</w:t>
            </w:r>
          </w:p>
        </w:tc>
        <w:tc>
          <w:tcPr>
            <w:tcW w:w="1431"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594CE7" w14:textId="77777777" w:rsidR="009569A3" w:rsidRPr="00F10BBD" w:rsidRDefault="00B00100" w:rsidP="00F463C2">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color w:val="auto"/>
                <w:sz w:val="20"/>
                <w:szCs w:val="20"/>
              </w:rPr>
              <w:t>31.2</w:t>
            </w:r>
          </w:p>
        </w:tc>
        <w:tc>
          <w:tcPr>
            <w:tcW w:w="1521"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34E7EB72"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sz w:val="20"/>
                <w:szCs w:val="20"/>
              </w:rPr>
              <w:t>14</w:t>
            </w:r>
          </w:p>
        </w:tc>
        <w:tc>
          <w:tcPr>
            <w:tcW w:w="1342" w:type="dxa"/>
            <w:gridSpan w:val="2"/>
            <w:tcBorders>
              <w:top w:val="single" w:sz="4" w:space="0" w:color="auto"/>
              <w:left w:val="single" w:sz="4" w:space="0" w:color="auto"/>
              <w:bottom w:val="single" w:sz="8" w:space="0" w:color="auto"/>
              <w:right w:val="single" w:sz="4" w:space="0" w:color="auto"/>
            </w:tcBorders>
            <w:vAlign w:val="center"/>
          </w:tcPr>
          <w:p w14:paraId="404050BA" w14:textId="77777777" w:rsidR="009569A3" w:rsidRPr="00F10BBD" w:rsidRDefault="00B00100" w:rsidP="0092105D">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bCs/>
                <w:sz w:val="20"/>
                <w:szCs w:val="20"/>
              </w:rPr>
              <w:t>11.2</w:t>
            </w:r>
          </w:p>
        </w:tc>
        <w:tc>
          <w:tcPr>
            <w:tcW w:w="1431" w:type="dxa"/>
            <w:tcBorders>
              <w:top w:val="single" w:sz="4" w:space="0" w:color="auto"/>
              <w:left w:val="single" w:sz="4" w:space="0" w:color="auto"/>
              <w:bottom w:val="single" w:sz="8" w:space="0" w:color="auto"/>
              <w:right w:val="single" w:sz="8" w:space="0" w:color="auto"/>
            </w:tcBorders>
            <w:shd w:val="clear" w:color="auto" w:fill="auto"/>
          </w:tcPr>
          <w:p w14:paraId="7E65C104" w14:textId="77777777" w:rsidR="009569A3" w:rsidRPr="00F10BBD" w:rsidRDefault="00B00100" w:rsidP="003247A0">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bCs/>
                <w:sz w:val="20"/>
                <w:szCs w:val="20"/>
              </w:rPr>
              <w:t>2</w:t>
            </w:r>
          </w:p>
        </w:tc>
        <w:tc>
          <w:tcPr>
            <w:tcW w:w="1574" w:type="dxa"/>
            <w:tcBorders>
              <w:top w:val="single" w:sz="4" w:space="0" w:color="auto"/>
              <w:left w:val="single" w:sz="4" w:space="0" w:color="auto"/>
              <w:bottom w:val="single" w:sz="8" w:space="0" w:color="auto"/>
              <w:right w:val="single" w:sz="8" w:space="0" w:color="auto"/>
            </w:tcBorders>
            <w:shd w:val="clear" w:color="auto" w:fill="auto"/>
          </w:tcPr>
          <w:p w14:paraId="20AAA14E" w14:textId="77777777" w:rsidR="009569A3" w:rsidRPr="00F10BBD" w:rsidRDefault="00B00100" w:rsidP="007118DD">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sz w:val="20"/>
                <w:szCs w:val="20"/>
              </w:rPr>
              <w:t>4</w:t>
            </w:r>
          </w:p>
        </w:tc>
      </w:tr>
      <w:tr w:rsidR="000C3959" w14:paraId="52A0E98B" w14:textId="77777777" w:rsidTr="006C70A5">
        <w:trPr>
          <w:trHeight w:val="259"/>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B1DBAF" w14:textId="77777777" w:rsidR="009569A3"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The Gambia</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4596DF"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21.0</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09B9E219"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sz w:val="20"/>
                <w:szCs w:val="20"/>
              </w:rPr>
              <w:t>9</w:t>
            </w:r>
          </w:p>
        </w:tc>
        <w:tc>
          <w:tcPr>
            <w:tcW w:w="1342" w:type="dxa"/>
            <w:gridSpan w:val="2"/>
            <w:tcBorders>
              <w:top w:val="nil"/>
              <w:left w:val="single" w:sz="4" w:space="0" w:color="auto"/>
              <w:bottom w:val="single" w:sz="8" w:space="0" w:color="auto"/>
              <w:right w:val="single" w:sz="4" w:space="0" w:color="auto"/>
            </w:tcBorders>
            <w:vAlign w:val="center"/>
          </w:tcPr>
          <w:p w14:paraId="3B23A0F0" w14:textId="77777777" w:rsidR="009569A3" w:rsidRPr="00F10BBD" w:rsidRDefault="00B00100" w:rsidP="0092105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0</w:t>
            </w:r>
          </w:p>
        </w:tc>
        <w:tc>
          <w:tcPr>
            <w:tcW w:w="1431" w:type="dxa"/>
            <w:tcBorders>
              <w:top w:val="nil"/>
              <w:left w:val="single" w:sz="4" w:space="0" w:color="auto"/>
              <w:bottom w:val="single" w:sz="8" w:space="0" w:color="auto"/>
              <w:right w:val="single" w:sz="8" w:space="0" w:color="auto"/>
            </w:tcBorders>
            <w:shd w:val="clear" w:color="auto" w:fill="auto"/>
          </w:tcPr>
          <w:p w14:paraId="60E1F871" w14:textId="77777777" w:rsidR="009569A3" w:rsidRPr="00F10BBD" w:rsidRDefault="009569A3" w:rsidP="003247A0">
            <w:pPr>
              <w:widowControl/>
              <w:autoSpaceDE/>
              <w:autoSpaceDN/>
              <w:adjustRightInd/>
              <w:jc w:val="center"/>
              <w:rPr>
                <w:rFonts w:asciiTheme="minorHAnsi" w:eastAsia="Calibri" w:hAnsiTheme="minorHAnsi" w:cstheme="minorHAnsi"/>
                <w:color w:val="auto"/>
                <w:sz w:val="20"/>
                <w:szCs w:val="20"/>
              </w:rPr>
            </w:pPr>
          </w:p>
        </w:tc>
        <w:tc>
          <w:tcPr>
            <w:tcW w:w="1574" w:type="dxa"/>
            <w:tcBorders>
              <w:top w:val="nil"/>
              <w:left w:val="single" w:sz="4" w:space="0" w:color="auto"/>
              <w:bottom w:val="single" w:sz="8" w:space="0" w:color="auto"/>
              <w:right w:val="single" w:sz="8" w:space="0" w:color="auto"/>
            </w:tcBorders>
            <w:shd w:val="clear" w:color="auto" w:fill="auto"/>
          </w:tcPr>
          <w:p w14:paraId="5804FE69" w14:textId="77777777" w:rsidR="009569A3" w:rsidRPr="00F10BBD" w:rsidRDefault="00B00100" w:rsidP="007118D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12</w:t>
            </w:r>
          </w:p>
        </w:tc>
      </w:tr>
      <w:tr w:rsidR="000C3959" w14:paraId="259E6E69" w14:textId="77777777" w:rsidTr="006C70A5">
        <w:trPr>
          <w:trHeight w:val="326"/>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22C6CD1" w14:textId="77777777" w:rsidR="009569A3"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Niger</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572FF1"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29</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14D71C3A"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sz w:val="20"/>
                <w:szCs w:val="20"/>
              </w:rPr>
              <w:t>14</w:t>
            </w:r>
          </w:p>
        </w:tc>
        <w:tc>
          <w:tcPr>
            <w:tcW w:w="1342" w:type="dxa"/>
            <w:gridSpan w:val="2"/>
            <w:tcBorders>
              <w:top w:val="nil"/>
              <w:left w:val="single" w:sz="4" w:space="0" w:color="auto"/>
              <w:bottom w:val="single" w:sz="8" w:space="0" w:color="auto"/>
              <w:right w:val="single" w:sz="4" w:space="0" w:color="auto"/>
            </w:tcBorders>
            <w:vAlign w:val="center"/>
          </w:tcPr>
          <w:p w14:paraId="1B62A83A" w14:textId="77777777" w:rsidR="009569A3" w:rsidRPr="00F10BBD" w:rsidRDefault="00B00100" w:rsidP="0092105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0</w:t>
            </w:r>
          </w:p>
        </w:tc>
        <w:tc>
          <w:tcPr>
            <w:tcW w:w="1431" w:type="dxa"/>
            <w:tcBorders>
              <w:top w:val="nil"/>
              <w:left w:val="single" w:sz="4" w:space="0" w:color="auto"/>
              <w:bottom w:val="single" w:sz="8" w:space="0" w:color="auto"/>
              <w:right w:val="single" w:sz="8" w:space="0" w:color="auto"/>
            </w:tcBorders>
            <w:shd w:val="clear" w:color="auto" w:fill="auto"/>
          </w:tcPr>
          <w:p w14:paraId="32DC73AA" w14:textId="77777777" w:rsidR="009569A3"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5</w:t>
            </w:r>
          </w:p>
        </w:tc>
        <w:tc>
          <w:tcPr>
            <w:tcW w:w="1574" w:type="dxa"/>
            <w:tcBorders>
              <w:top w:val="nil"/>
              <w:left w:val="single" w:sz="4" w:space="0" w:color="auto"/>
              <w:bottom w:val="single" w:sz="8" w:space="0" w:color="auto"/>
              <w:right w:val="single" w:sz="8" w:space="0" w:color="auto"/>
            </w:tcBorders>
            <w:shd w:val="clear" w:color="auto" w:fill="auto"/>
          </w:tcPr>
          <w:p w14:paraId="4E4E1C3F" w14:textId="77777777" w:rsidR="009569A3" w:rsidRPr="00F10BBD" w:rsidRDefault="00B00100" w:rsidP="007118D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10</w:t>
            </w:r>
          </w:p>
        </w:tc>
      </w:tr>
      <w:tr w:rsidR="000C3959" w14:paraId="71C75632" w14:textId="77777777" w:rsidTr="006C70A5">
        <w:trPr>
          <w:trHeight w:val="312"/>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FE7D99" w14:textId="77777777" w:rsidR="009569A3"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Nigeria</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3252D0D"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210</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043E16BB"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sz w:val="20"/>
                <w:szCs w:val="20"/>
              </w:rPr>
              <w:t>95</w:t>
            </w:r>
          </w:p>
        </w:tc>
        <w:tc>
          <w:tcPr>
            <w:tcW w:w="1342" w:type="dxa"/>
            <w:gridSpan w:val="2"/>
            <w:tcBorders>
              <w:top w:val="nil"/>
              <w:left w:val="single" w:sz="4" w:space="0" w:color="auto"/>
              <w:bottom w:val="single" w:sz="8" w:space="0" w:color="auto"/>
              <w:right w:val="single" w:sz="4" w:space="0" w:color="auto"/>
            </w:tcBorders>
            <w:vAlign w:val="center"/>
          </w:tcPr>
          <w:p w14:paraId="5CFAB097" w14:textId="77777777" w:rsidR="009569A3" w:rsidRPr="00F10BBD" w:rsidRDefault="00B00100" w:rsidP="0092105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40</w:t>
            </w:r>
          </w:p>
        </w:tc>
        <w:tc>
          <w:tcPr>
            <w:tcW w:w="1431" w:type="dxa"/>
            <w:tcBorders>
              <w:top w:val="nil"/>
              <w:left w:val="single" w:sz="4" w:space="0" w:color="auto"/>
              <w:bottom w:val="single" w:sz="8" w:space="0" w:color="auto"/>
              <w:right w:val="single" w:sz="8" w:space="0" w:color="auto"/>
            </w:tcBorders>
            <w:shd w:val="clear" w:color="auto" w:fill="auto"/>
          </w:tcPr>
          <w:p w14:paraId="18557496" w14:textId="77777777" w:rsidR="009569A3"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75</w:t>
            </w:r>
          </w:p>
        </w:tc>
        <w:tc>
          <w:tcPr>
            <w:tcW w:w="1574" w:type="dxa"/>
            <w:tcBorders>
              <w:top w:val="nil"/>
              <w:left w:val="single" w:sz="4" w:space="0" w:color="auto"/>
              <w:bottom w:val="single" w:sz="8" w:space="0" w:color="auto"/>
              <w:right w:val="single" w:sz="8" w:space="0" w:color="auto"/>
            </w:tcBorders>
            <w:shd w:val="clear" w:color="auto" w:fill="auto"/>
          </w:tcPr>
          <w:p w14:paraId="21666F44" w14:textId="77777777" w:rsidR="009569A3" w:rsidRPr="00F10BBD" w:rsidRDefault="00B00100" w:rsidP="007118DD">
            <w:pPr>
              <w:widowControl/>
              <w:autoSpaceDE/>
              <w:autoSpaceDN/>
              <w:adjustRightInd/>
              <w:jc w:val="center"/>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w:t>
            </w:r>
          </w:p>
        </w:tc>
      </w:tr>
      <w:tr w:rsidR="000C3959" w14:paraId="01A88C59" w14:textId="77777777" w:rsidTr="006C70A5">
        <w:trPr>
          <w:trHeight w:val="147"/>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42BBD8" w14:textId="77777777" w:rsidR="009569A3" w:rsidRPr="00F10BBD" w:rsidRDefault="00B00100">
            <w:pPr>
              <w:widowControl/>
              <w:autoSpaceDE/>
              <w:autoSpaceDN/>
              <w:adjustRightInd/>
              <w:rPr>
                <w:rFonts w:asciiTheme="minorHAnsi" w:eastAsia="Calibri,Times New Roman" w:hAnsiTheme="minorHAnsi" w:cstheme="minorHAnsi"/>
                <w:b/>
                <w:color w:val="auto"/>
                <w:sz w:val="20"/>
                <w:szCs w:val="20"/>
              </w:rPr>
            </w:pPr>
            <w:r w:rsidRPr="00F10BBD">
              <w:rPr>
                <w:rFonts w:asciiTheme="minorHAnsi" w:eastAsia="Calibri" w:hAnsiTheme="minorHAnsi" w:cstheme="minorHAnsi"/>
                <w:color w:val="auto"/>
                <w:sz w:val="20"/>
                <w:szCs w:val="20"/>
              </w:rPr>
              <w:t>Togo</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2D14BA"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3</w:t>
            </w:r>
            <w:r w:rsidR="008D748F">
              <w:rPr>
                <w:rFonts w:asciiTheme="minorHAnsi" w:eastAsia="Calibri" w:hAnsiTheme="minorHAnsi" w:cstheme="minorHAnsi"/>
                <w:color w:val="auto"/>
                <w:sz w:val="20"/>
                <w:szCs w:val="20"/>
              </w:rPr>
              <w:t>4</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2A80F372"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sz w:val="20"/>
                <w:szCs w:val="20"/>
              </w:rPr>
              <w:t>1</w:t>
            </w:r>
            <w:r w:rsidR="008D748F">
              <w:rPr>
                <w:rFonts w:asciiTheme="minorHAnsi" w:eastAsia="Calibri" w:hAnsiTheme="minorHAnsi" w:cstheme="minorHAnsi"/>
                <w:sz w:val="20"/>
                <w:szCs w:val="20"/>
              </w:rPr>
              <w:t>6</w:t>
            </w:r>
          </w:p>
        </w:tc>
        <w:tc>
          <w:tcPr>
            <w:tcW w:w="1342" w:type="dxa"/>
            <w:gridSpan w:val="2"/>
            <w:tcBorders>
              <w:top w:val="nil"/>
              <w:left w:val="single" w:sz="4" w:space="0" w:color="auto"/>
              <w:bottom w:val="single" w:sz="8" w:space="0" w:color="auto"/>
              <w:right w:val="single" w:sz="4" w:space="0" w:color="auto"/>
            </w:tcBorders>
            <w:vAlign w:val="center"/>
          </w:tcPr>
          <w:p w14:paraId="30082805" w14:textId="77777777" w:rsidR="009569A3" w:rsidRPr="00F10BBD" w:rsidRDefault="00B00100" w:rsidP="0092105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0</w:t>
            </w:r>
          </w:p>
        </w:tc>
        <w:tc>
          <w:tcPr>
            <w:tcW w:w="1431" w:type="dxa"/>
            <w:tcBorders>
              <w:top w:val="nil"/>
              <w:left w:val="single" w:sz="4" w:space="0" w:color="auto"/>
              <w:bottom w:val="single" w:sz="8" w:space="0" w:color="auto"/>
              <w:right w:val="single" w:sz="8" w:space="0" w:color="auto"/>
            </w:tcBorders>
            <w:shd w:val="clear" w:color="auto" w:fill="auto"/>
          </w:tcPr>
          <w:p w14:paraId="43F405DB" w14:textId="77777777" w:rsidR="009569A3"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12</w:t>
            </w:r>
          </w:p>
        </w:tc>
        <w:tc>
          <w:tcPr>
            <w:tcW w:w="1574" w:type="dxa"/>
            <w:tcBorders>
              <w:top w:val="nil"/>
              <w:left w:val="single" w:sz="4" w:space="0" w:color="auto"/>
              <w:bottom w:val="single" w:sz="8" w:space="0" w:color="auto"/>
              <w:right w:val="single" w:sz="8" w:space="0" w:color="auto"/>
            </w:tcBorders>
            <w:shd w:val="clear" w:color="auto" w:fill="auto"/>
          </w:tcPr>
          <w:p w14:paraId="03918BB0" w14:textId="77777777" w:rsidR="009569A3" w:rsidRPr="00F10BBD" w:rsidRDefault="00B00100" w:rsidP="007118D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6</w:t>
            </w:r>
          </w:p>
        </w:tc>
      </w:tr>
      <w:tr w:rsidR="000C3959" w14:paraId="258EE339" w14:textId="77777777" w:rsidTr="006C70A5">
        <w:trPr>
          <w:trHeight w:val="147"/>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A1CE8A8" w14:textId="77777777" w:rsidR="009569A3" w:rsidRPr="00F10BBD" w:rsidRDefault="00B00100">
            <w:pPr>
              <w:widowControl/>
              <w:autoSpaceDE/>
              <w:autoSpaceDN/>
              <w:adjustRightInd/>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AAU (RFU)</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1642F6" w14:textId="77777777" w:rsidR="009569A3" w:rsidRPr="00F10BBD" w:rsidRDefault="00B00100" w:rsidP="00F463C2">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5</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2B1392B6" w14:textId="77777777" w:rsidR="009569A3" w:rsidRPr="00F10BBD" w:rsidRDefault="00B00100" w:rsidP="00F463C2">
            <w:pPr>
              <w:widowControl/>
              <w:autoSpaceDE/>
              <w:autoSpaceDN/>
              <w:adjustRightInd/>
              <w:jc w:val="center"/>
              <w:rPr>
                <w:rFonts w:asciiTheme="minorHAnsi" w:eastAsia="Calibri" w:hAnsiTheme="minorHAnsi" w:cstheme="minorHAnsi"/>
                <w:sz w:val="20"/>
                <w:szCs w:val="20"/>
              </w:rPr>
            </w:pPr>
            <w:r w:rsidRPr="00F10BBD">
              <w:rPr>
                <w:rFonts w:asciiTheme="minorHAnsi" w:eastAsia="Calibri" w:hAnsiTheme="minorHAnsi" w:cstheme="minorHAnsi"/>
                <w:sz w:val="20"/>
                <w:szCs w:val="20"/>
              </w:rPr>
              <w:t>-</w:t>
            </w:r>
          </w:p>
        </w:tc>
        <w:tc>
          <w:tcPr>
            <w:tcW w:w="1342" w:type="dxa"/>
            <w:gridSpan w:val="2"/>
            <w:tcBorders>
              <w:top w:val="nil"/>
              <w:left w:val="single" w:sz="4" w:space="0" w:color="auto"/>
              <w:bottom w:val="single" w:sz="8" w:space="0" w:color="auto"/>
              <w:right w:val="single" w:sz="4" w:space="0" w:color="auto"/>
            </w:tcBorders>
            <w:vAlign w:val="center"/>
          </w:tcPr>
          <w:p w14:paraId="28F02491" w14:textId="77777777" w:rsidR="009569A3" w:rsidRPr="00F10BBD" w:rsidRDefault="00B00100" w:rsidP="0092105D">
            <w:pPr>
              <w:widowControl/>
              <w:autoSpaceDE/>
              <w:autoSpaceDN/>
              <w:adjustRightInd/>
              <w:jc w:val="center"/>
              <w:rPr>
                <w:rFonts w:asciiTheme="minorHAnsi" w:eastAsia="Calibri" w:hAnsiTheme="minorHAnsi" w:cstheme="minorHAnsi"/>
                <w:bCs/>
                <w:sz w:val="20"/>
                <w:szCs w:val="20"/>
              </w:rPr>
            </w:pPr>
            <w:r w:rsidRPr="00F10BBD">
              <w:rPr>
                <w:rFonts w:asciiTheme="minorHAnsi" w:eastAsia="Calibri" w:hAnsiTheme="minorHAnsi" w:cstheme="minorHAnsi"/>
                <w:bCs/>
                <w:sz w:val="20"/>
                <w:szCs w:val="20"/>
              </w:rPr>
              <w:t>-</w:t>
            </w:r>
          </w:p>
        </w:tc>
        <w:tc>
          <w:tcPr>
            <w:tcW w:w="1431" w:type="dxa"/>
            <w:tcBorders>
              <w:top w:val="nil"/>
              <w:left w:val="single" w:sz="4" w:space="0" w:color="auto"/>
              <w:bottom w:val="single" w:sz="8" w:space="0" w:color="auto"/>
              <w:right w:val="single" w:sz="8" w:space="0" w:color="auto"/>
            </w:tcBorders>
            <w:shd w:val="clear" w:color="auto" w:fill="auto"/>
          </w:tcPr>
          <w:p w14:paraId="1FB78DFE" w14:textId="77777777" w:rsidR="009569A3" w:rsidRPr="00F10BBD" w:rsidRDefault="00B00100" w:rsidP="003247A0">
            <w:pPr>
              <w:widowControl/>
              <w:autoSpaceDE/>
              <w:autoSpaceDN/>
              <w:adjustRightInd/>
              <w:jc w:val="center"/>
              <w:rPr>
                <w:rFonts w:asciiTheme="minorHAnsi" w:eastAsia="Calibri" w:hAnsiTheme="minorHAnsi" w:cstheme="minorHAnsi"/>
                <w:bCs/>
                <w:sz w:val="20"/>
                <w:szCs w:val="20"/>
              </w:rPr>
            </w:pPr>
            <w:r w:rsidRPr="00F10BBD">
              <w:rPr>
                <w:rFonts w:asciiTheme="minorHAnsi" w:eastAsia="Calibri" w:hAnsiTheme="minorHAnsi" w:cstheme="minorHAnsi"/>
                <w:bCs/>
                <w:sz w:val="20"/>
                <w:szCs w:val="20"/>
              </w:rPr>
              <w:t>-</w:t>
            </w:r>
          </w:p>
        </w:tc>
        <w:tc>
          <w:tcPr>
            <w:tcW w:w="1574" w:type="dxa"/>
            <w:tcBorders>
              <w:top w:val="nil"/>
              <w:left w:val="single" w:sz="4" w:space="0" w:color="auto"/>
              <w:bottom w:val="single" w:sz="8" w:space="0" w:color="auto"/>
              <w:right w:val="single" w:sz="8" w:space="0" w:color="auto"/>
            </w:tcBorders>
            <w:shd w:val="clear" w:color="auto" w:fill="auto"/>
          </w:tcPr>
          <w:p w14:paraId="5FCF0F68" w14:textId="77777777" w:rsidR="009569A3" w:rsidRPr="00F10BBD" w:rsidRDefault="00B00100" w:rsidP="007118DD">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5</w:t>
            </w:r>
          </w:p>
        </w:tc>
      </w:tr>
      <w:tr w:rsidR="000C3959" w14:paraId="2F826468" w14:textId="77777777" w:rsidTr="006C70A5">
        <w:trPr>
          <w:trHeight w:val="147"/>
          <w:jc w:val="center"/>
        </w:trPr>
        <w:tc>
          <w:tcPr>
            <w:tcW w:w="16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AFBE65" w14:textId="77777777" w:rsidR="009569A3" w:rsidRPr="00F10BBD" w:rsidRDefault="00B00100">
            <w:pPr>
              <w:widowControl/>
              <w:autoSpaceDE/>
              <w:autoSpaceDN/>
              <w:adjustRightInd/>
              <w:rPr>
                <w:rFonts w:asciiTheme="minorHAnsi" w:eastAsia="Calibri,Times New Roman" w:hAnsiTheme="minorHAnsi" w:cstheme="minorHAnsi"/>
                <w:b/>
                <w:color w:val="auto"/>
                <w:sz w:val="20"/>
                <w:szCs w:val="20"/>
              </w:rPr>
            </w:pPr>
            <w:r w:rsidRPr="00F10BBD">
              <w:rPr>
                <w:rFonts w:asciiTheme="minorHAnsi" w:eastAsia="Calibri" w:hAnsiTheme="minorHAnsi" w:cstheme="minorHAnsi"/>
                <w:b/>
                <w:color w:val="auto"/>
                <w:sz w:val="20"/>
                <w:szCs w:val="20"/>
              </w:rPr>
              <w:t>Total</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2282DD6" w14:textId="77777777" w:rsidR="009569A3" w:rsidRPr="00F10BBD" w:rsidRDefault="00B00100" w:rsidP="00F463C2">
            <w:pPr>
              <w:keepNext/>
              <w:keepLines/>
              <w:jc w:val="center"/>
              <w:rPr>
                <w:rFonts w:asciiTheme="minorHAnsi" w:eastAsia="Calibri,Times New Roman" w:hAnsiTheme="minorHAnsi" w:cstheme="minorHAnsi"/>
                <w:b/>
                <w:sz w:val="20"/>
                <w:szCs w:val="20"/>
              </w:rPr>
            </w:pPr>
            <w:r w:rsidRPr="00F10BBD">
              <w:rPr>
                <w:rFonts w:asciiTheme="minorHAnsi" w:eastAsia="Calibri" w:hAnsiTheme="minorHAnsi" w:cstheme="minorHAnsi"/>
                <w:b/>
                <w:color w:val="auto"/>
                <w:sz w:val="20"/>
                <w:szCs w:val="20"/>
              </w:rPr>
              <w:t>3</w:t>
            </w:r>
            <w:r w:rsidR="009B70C3">
              <w:rPr>
                <w:rFonts w:asciiTheme="minorHAnsi" w:eastAsia="Calibri" w:hAnsiTheme="minorHAnsi" w:cstheme="minorHAnsi"/>
                <w:b/>
                <w:color w:val="auto"/>
                <w:sz w:val="20"/>
                <w:szCs w:val="20"/>
              </w:rPr>
              <w:t>30</w:t>
            </w:r>
            <w:r w:rsidRPr="00F10BBD">
              <w:rPr>
                <w:rFonts w:asciiTheme="minorHAnsi" w:eastAsia="Calibri" w:hAnsiTheme="minorHAnsi" w:cstheme="minorHAnsi"/>
                <w:b/>
                <w:color w:val="auto"/>
                <w:sz w:val="20"/>
                <w:szCs w:val="20"/>
              </w:rPr>
              <w:t>.2</w:t>
            </w:r>
          </w:p>
        </w:tc>
        <w:tc>
          <w:tcPr>
            <w:tcW w:w="1521" w:type="dxa"/>
            <w:gridSpan w:val="2"/>
            <w:tcBorders>
              <w:top w:val="nil"/>
              <w:left w:val="single" w:sz="4" w:space="0" w:color="auto"/>
              <w:bottom w:val="single" w:sz="8" w:space="0" w:color="auto"/>
              <w:right w:val="single" w:sz="4" w:space="0" w:color="auto"/>
            </w:tcBorders>
            <w:shd w:val="clear" w:color="auto" w:fill="auto"/>
            <w:vAlign w:val="center"/>
          </w:tcPr>
          <w:p w14:paraId="0A736268" w14:textId="77777777" w:rsidR="009569A3" w:rsidRPr="00F10BBD" w:rsidRDefault="00B00100" w:rsidP="00F463C2">
            <w:pPr>
              <w:keepNext/>
              <w:keepLines/>
              <w:jc w:val="center"/>
              <w:rPr>
                <w:rFonts w:asciiTheme="minorHAnsi" w:eastAsia="Calibri" w:hAnsiTheme="minorHAnsi" w:cstheme="minorHAnsi"/>
                <w:b/>
                <w:sz w:val="20"/>
                <w:szCs w:val="20"/>
              </w:rPr>
            </w:pPr>
            <w:r w:rsidRPr="00F10BBD">
              <w:rPr>
                <w:rFonts w:asciiTheme="minorHAnsi" w:eastAsia="Calibri" w:hAnsiTheme="minorHAnsi" w:cstheme="minorHAnsi"/>
                <w:b/>
                <w:bCs/>
                <w:sz w:val="20"/>
                <w:szCs w:val="20"/>
              </w:rPr>
              <w:t>14</w:t>
            </w:r>
            <w:r w:rsidR="009B70C3">
              <w:rPr>
                <w:rFonts w:asciiTheme="minorHAnsi" w:eastAsia="Calibri" w:hAnsiTheme="minorHAnsi" w:cstheme="minorHAnsi"/>
                <w:b/>
                <w:bCs/>
                <w:sz w:val="20"/>
                <w:szCs w:val="20"/>
              </w:rPr>
              <w:t>8</w:t>
            </w:r>
          </w:p>
        </w:tc>
        <w:tc>
          <w:tcPr>
            <w:tcW w:w="1342" w:type="dxa"/>
            <w:gridSpan w:val="2"/>
            <w:tcBorders>
              <w:top w:val="nil"/>
              <w:left w:val="single" w:sz="4" w:space="0" w:color="auto"/>
              <w:bottom w:val="single" w:sz="8" w:space="0" w:color="auto"/>
              <w:right w:val="single" w:sz="4" w:space="0" w:color="auto"/>
            </w:tcBorders>
            <w:vAlign w:val="center"/>
          </w:tcPr>
          <w:p w14:paraId="0792E668" w14:textId="77777777" w:rsidR="009569A3" w:rsidRPr="00F10BBD" w:rsidRDefault="00B00100" w:rsidP="0092105D">
            <w:pPr>
              <w:keepNext/>
              <w:keepLines/>
              <w:jc w:val="center"/>
              <w:rPr>
                <w:rFonts w:asciiTheme="minorHAnsi" w:eastAsia="Calibri" w:hAnsiTheme="minorHAnsi" w:cstheme="minorHAnsi"/>
                <w:b/>
                <w:sz w:val="20"/>
                <w:szCs w:val="20"/>
              </w:rPr>
            </w:pPr>
            <w:r w:rsidRPr="00F10BBD">
              <w:rPr>
                <w:rFonts w:asciiTheme="minorHAnsi" w:eastAsia="Calibri" w:hAnsiTheme="minorHAnsi" w:cstheme="minorHAnsi"/>
                <w:b/>
                <w:bCs/>
                <w:sz w:val="20"/>
                <w:szCs w:val="20"/>
              </w:rPr>
              <w:t>51.2</w:t>
            </w:r>
          </w:p>
        </w:tc>
        <w:tc>
          <w:tcPr>
            <w:tcW w:w="1431" w:type="dxa"/>
            <w:tcBorders>
              <w:top w:val="nil"/>
              <w:left w:val="single" w:sz="4" w:space="0" w:color="auto"/>
              <w:bottom w:val="single" w:sz="8" w:space="0" w:color="auto"/>
              <w:right w:val="single" w:sz="8" w:space="0" w:color="auto"/>
            </w:tcBorders>
            <w:shd w:val="clear" w:color="auto" w:fill="auto"/>
          </w:tcPr>
          <w:p w14:paraId="299DE738" w14:textId="77777777" w:rsidR="009569A3" w:rsidRPr="00F10BBD" w:rsidRDefault="00B00100" w:rsidP="003247A0">
            <w:pPr>
              <w:keepNext/>
              <w:keepLines/>
              <w:jc w:val="center"/>
              <w:rPr>
                <w:rFonts w:asciiTheme="minorHAnsi" w:eastAsia="Calibri,Times New Roman" w:hAnsiTheme="minorHAnsi" w:cstheme="minorHAnsi"/>
                <w:b/>
                <w:sz w:val="20"/>
                <w:szCs w:val="20"/>
              </w:rPr>
            </w:pPr>
            <w:r w:rsidRPr="00F10BBD">
              <w:rPr>
                <w:rFonts w:asciiTheme="minorHAnsi" w:eastAsia="Calibri" w:hAnsiTheme="minorHAnsi" w:cstheme="minorHAnsi"/>
                <w:b/>
                <w:bCs/>
                <w:sz w:val="20"/>
                <w:szCs w:val="20"/>
              </w:rPr>
              <w:t>94</w:t>
            </w:r>
          </w:p>
        </w:tc>
        <w:tc>
          <w:tcPr>
            <w:tcW w:w="1574" w:type="dxa"/>
            <w:tcBorders>
              <w:top w:val="nil"/>
              <w:left w:val="single" w:sz="4" w:space="0" w:color="auto"/>
              <w:bottom w:val="single" w:sz="8" w:space="0" w:color="auto"/>
              <w:right w:val="single" w:sz="8" w:space="0" w:color="auto"/>
            </w:tcBorders>
            <w:shd w:val="clear" w:color="auto" w:fill="auto"/>
          </w:tcPr>
          <w:p w14:paraId="29BC151B" w14:textId="77777777" w:rsidR="009569A3" w:rsidRPr="00F10BBD" w:rsidRDefault="00B00100" w:rsidP="007118DD">
            <w:pPr>
              <w:keepNext/>
              <w:keepLines/>
              <w:jc w:val="center"/>
              <w:rPr>
                <w:rFonts w:asciiTheme="minorHAnsi" w:eastAsia="Calibri" w:hAnsiTheme="minorHAnsi" w:cstheme="minorHAnsi"/>
                <w:b/>
                <w:sz w:val="20"/>
                <w:szCs w:val="20"/>
              </w:rPr>
            </w:pPr>
            <w:r w:rsidRPr="00F10BBD">
              <w:rPr>
                <w:rFonts w:asciiTheme="minorHAnsi" w:eastAsia="Calibri" w:hAnsiTheme="minorHAnsi" w:cstheme="minorHAnsi"/>
                <w:b/>
                <w:sz w:val="20"/>
                <w:szCs w:val="20"/>
              </w:rPr>
              <w:t>37</w:t>
            </w:r>
          </w:p>
        </w:tc>
      </w:tr>
    </w:tbl>
    <w:bookmarkEnd w:id="102"/>
    <w:p w14:paraId="3852BB14" w14:textId="77777777" w:rsidR="002E1A3F" w:rsidRPr="000C46A6" w:rsidRDefault="00B00100">
      <w:pPr>
        <w:spacing w:after="80"/>
        <w:ind w:right="180"/>
        <w:jc w:val="both"/>
        <w:rPr>
          <w:rFonts w:asciiTheme="minorHAnsi" w:eastAsia="Times New Roman" w:hAnsiTheme="minorHAnsi" w:cstheme="minorHAnsi"/>
          <w:i/>
          <w:sz w:val="16"/>
          <w:szCs w:val="18"/>
        </w:rPr>
      </w:pPr>
      <w:r w:rsidRPr="006254D7">
        <w:rPr>
          <w:rFonts w:ascii="Calibri" w:eastAsia="Calibri" w:hAnsi="Calibri" w:cs="Calibri"/>
          <w:i/>
          <w:spacing w:val="-1"/>
          <w:sz w:val="18"/>
          <w:szCs w:val="18"/>
        </w:rPr>
        <w:t>Note:</w:t>
      </w:r>
      <w:r w:rsidRPr="000C46A6">
        <w:rPr>
          <w:rFonts w:ascii="Calibri" w:eastAsia="Calibri" w:hAnsi="Calibri" w:cs="Calibri"/>
          <w:i/>
          <w:spacing w:val="-1"/>
          <w:sz w:val="16"/>
          <w:szCs w:val="18"/>
        </w:rPr>
        <w:t xml:space="preserve"> </w:t>
      </w:r>
      <w:r w:rsidRPr="000C46A6">
        <w:rPr>
          <w:rFonts w:eastAsia="Times New Roman"/>
          <w:i/>
          <w:sz w:val="18"/>
          <w:szCs w:val="19"/>
        </w:rPr>
        <w:t>*</w:t>
      </w:r>
      <w:r w:rsidRPr="000C46A6">
        <w:rPr>
          <w:rFonts w:ascii="Calibri" w:eastAsia="Calibri" w:hAnsi="Calibri" w:cs="Times New Roman"/>
          <w:i/>
          <w:color w:val="auto"/>
          <w:sz w:val="18"/>
          <w:szCs w:val="19"/>
        </w:rPr>
        <w:t>The countries’ contribution to the project cost is the estimated amount required for the salaries of the staff of the ACEs and other university personnel.</w:t>
      </w:r>
    </w:p>
    <w:p w14:paraId="1C82602E" w14:textId="77777777" w:rsidR="002E1A3F" w:rsidRPr="00F10BBD" w:rsidRDefault="00B00100" w:rsidP="008E2709">
      <w:pPr>
        <w:widowControl/>
        <w:numPr>
          <w:ilvl w:val="0"/>
          <w:numId w:val="7"/>
        </w:numPr>
        <w:tabs>
          <w:tab w:val="left" w:pos="0"/>
          <w:tab w:val="left" w:pos="720"/>
        </w:tabs>
        <w:autoSpaceDE/>
        <w:autoSpaceDN/>
        <w:adjustRightInd/>
        <w:spacing w:after="160"/>
        <w:ind w:left="0" w:firstLine="0"/>
        <w:jc w:val="both"/>
        <w:rPr>
          <w:rFonts w:ascii="Calibri" w:eastAsia="Times New Roman" w:hAnsi="Calibri" w:cs="Calibri"/>
          <w:b/>
          <w:sz w:val="20"/>
          <w:szCs w:val="20"/>
        </w:rPr>
      </w:pPr>
      <w:bookmarkStart w:id="103" w:name="_Hlk1547065"/>
      <w:r w:rsidRPr="002E1A3F">
        <w:rPr>
          <w:rFonts w:ascii="Calibri" w:eastAsia="Calibri" w:hAnsi="Calibri" w:cs="Calibri"/>
          <w:b/>
          <w:bCs/>
          <w:spacing w:val="-1"/>
          <w:sz w:val="22"/>
          <w:szCs w:val="22"/>
        </w:rPr>
        <w:t xml:space="preserve">The proposed project will use an Investment Project Financing (IPF) lending instrument with RBF for Sub-components 1.1, 1.2 and 2.1 following the successful experience of this approach under </w:t>
      </w:r>
      <w:r w:rsidR="00BB4A89">
        <w:rPr>
          <w:rFonts w:ascii="Calibri" w:eastAsia="Calibri" w:hAnsi="Calibri" w:cs="Calibri"/>
          <w:b/>
          <w:bCs/>
          <w:spacing w:val="-1"/>
          <w:sz w:val="22"/>
          <w:szCs w:val="22"/>
        </w:rPr>
        <w:t xml:space="preserve">the </w:t>
      </w:r>
      <w:r w:rsidRPr="002E1A3F">
        <w:rPr>
          <w:rFonts w:ascii="Calibri" w:eastAsia="Calibri" w:hAnsi="Calibri" w:cs="Calibri"/>
          <w:b/>
          <w:bCs/>
          <w:spacing w:val="-1"/>
          <w:sz w:val="22"/>
          <w:szCs w:val="22"/>
        </w:rPr>
        <w:t>ACE I</w:t>
      </w:r>
      <w:r w:rsidR="00BB4A89">
        <w:rPr>
          <w:rFonts w:ascii="Calibri" w:eastAsia="Calibri" w:hAnsi="Calibri" w:cs="Calibri"/>
          <w:b/>
          <w:bCs/>
          <w:spacing w:val="-1"/>
          <w:sz w:val="22"/>
          <w:szCs w:val="22"/>
        </w:rPr>
        <w:t xml:space="preserve"> Project</w:t>
      </w:r>
      <w:r w:rsidRPr="002E1A3F">
        <w:rPr>
          <w:rFonts w:ascii="Calibri" w:eastAsia="Calibri" w:hAnsi="Calibri" w:cs="Calibri"/>
          <w:b/>
          <w:bCs/>
          <w:spacing w:val="-1"/>
          <w:sz w:val="22"/>
          <w:szCs w:val="22"/>
        </w:rPr>
        <w:t xml:space="preserve">. </w:t>
      </w:r>
      <w:r w:rsidR="00AB5E21" w:rsidRPr="00B81291">
        <w:rPr>
          <w:rFonts w:ascii="Calibri" w:eastAsia="Calibri" w:hAnsi="Calibri" w:cs="Calibri"/>
          <w:bCs/>
          <w:spacing w:val="-1"/>
          <w:sz w:val="22"/>
          <w:szCs w:val="22"/>
        </w:rPr>
        <w:t>Component 3 will</w:t>
      </w:r>
      <w:r w:rsidR="000B23A3" w:rsidRPr="00B81291">
        <w:rPr>
          <w:rFonts w:ascii="Calibri" w:eastAsia="Calibri" w:hAnsi="Calibri" w:cs="Calibri"/>
          <w:bCs/>
          <w:spacing w:val="-1"/>
          <w:sz w:val="22"/>
          <w:szCs w:val="22"/>
        </w:rPr>
        <w:t>, however, use the standard disbursement approach.</w:t>
      </w:r>
      <w:r w:rsidR="000B23A3">
        <w:rPr>
          <w:rFonts w:ascii="Calibri" w:eastAsia="Calibri" w:hAnsi="Calibri" w:cs="Calibri"/>
          <w:b/>
          <w:bCs/>
          <w:spacing w:val="-1"/>
          <w:sz w:val="22"/>
          <w:szCs w:val="22"/>
        </w:rPr>
        <w:t xml:space="preserve"> </w:t>
      </w:r>
      <w:r w:rsidRPr="002E1A3F">
        <w:rPr>
          <w:rFonts w:ascii="Calibri" w:eastAsia="Calibri" w:hAnsi="Calibri" w:cs="Calibri"/>
          <w:bCs/>
          <w:spacing w:val="-1"/>
          <w:sz w:val="22"/>
          <w:szCs w:val="22"/>
        </w:rPr>
        <w:t xml:space="preserve">RBF through DLIs has been an effective and innovative tool under </w:t>
      </w:r>
      <w:r w:rsidR="00BB4A89">
        <w:rPr>
          <w:rFonts w:ascii="Calibri" w:eastAsia="Calibri" w:hAnsi="Calibri" w:cs="Calibri"/>
          <w:bCs/>
          <w:spacing w:val="-1"/>
          <w:sz w:val="22"/>
          <w:szCs w:val="22"/>
        </w:rPr>
        <w:t xml:space="preserve">the </w:t>
      </w:r>
      <w:r w:rsidRPr="002E1A3F">
        <w:rPr>
          <w:rFonts w:ascii="Calibri" w:eastAsia="Calibri" w:hAnsi="Calibri" w:cs="Calibri"/>
          <w:bCs/>
          <w:spacing w:val="-1"/>
          <w:sz w:val="22"/>
          <w:szCs w:val="22"/>
        </w:rPr>
        <w:t>ACE I</w:t>
      </w:r>
      <w:r w:rsidR="00BB4A89">
        <w:rPr>
          <w:rFonts w:ascii="Calibri" w:eastAsia="Calibri" w:hAnsi="Calibri" w:cs="Calibri"/>
          <w:bCs/>
          <w:spacing w:val="-1"/>
          <w:sz w:val="22"/>
          <w:szCs w:val="22"/>
        </w:rPr>
        <w:t xml:space="preserve"> Project</w:t>
      </w:r>
      <w:r w:rsidRPr="002E1A3F">
        <w:rPr>
          <w:rFonts w:ascii="Calibri" w:eastAsia="Calibri" w:hAnsi="Calibri" w:cs="Calibri"/>
          <w:bCs/>
          <w:spacing w:val="-1"/>
          <w:sz w:val="22"/>
          <w:szCs w:val="22"/>
        </w:rPr>
        <w:t xml:space="preserve"> to focus university teams around the expected results of the project. In particular, the significant resources linked to the attainment of international accreditation, internships, regional students’ recruitment, and revenue generation constitute an important incentive towards achieving these results. Further, the RBF approach necessitates a stringent verification process of students, learning infrastructure and equipment, etc. which disciplines all partners in the reporting and attainment of the results. The specific results (or DLRs) expected under each DLI are presented in Section VI. The expected results under the Second ACE Impact are similar to the expected results </w:t>
      </w:r>
      <w:r w:rsidR="00B34DF0">
        <w:rPr>
          <w:rFonts w:ascii="Calibri" w:eastAsia="Calibri" w:hAnsi="Calibri" w:cs="Calibri"/>
          <w:bCs/>
          <w:spacing w:val="-1"/>
          <w:sz w:val="22"/>
          <w:szCs w:val="22"/>
        </w:rPr>
        <w:t>of</w:t>
      </w:r>
      <w:r w:rsidRPr="002E1A3F">
        <w:rPr>
          <w:rFonts w:ascii="Calibri" w:eastAsia="Calibri" w:hAnsi="Calibri" w:cs="Calibri"/>
          <w:bCs/>
          <w:spacing w:val="-1"/>
          <w:sz w:val="22"/>
          <w:szCs w:val="22"/>
        </w:rPr>
        <w:t xml:space="preserve"> </w:t>
      </w:r>
      <w:r w:rsidR="00BB4A89">
        <w:rPr>
          <w:rFonts w:ascii="Calibri" w:eastAsia="Calibri" w:hAnsi="Calibri" w:cs="Calibri"/>
          <w:bCs/>
          <w:spacing w:val="-1"/>
          <w:sz w:val="22"/>
          <w:szCs w:val="22"/>
        </w:rPr>
        <w:t xml:space="preserve">the </w:t>
      </w:r>
      <w:r w:rsidRPr="002E1A3F">
        <w:rPr>
          <w:rFonts w:ascii="Calibri" w:eastAsia="Calibri" w:hAnsi="Calibri" w:cs="Calibri"/>
          <w:bCs/>
          <w:spacing w:val="-1"/>
          <w:sz w:val="22"/>
          <w:szCs w:val="22"/>
        </w:rPr>
        <w:t>ACE I and II</w:t>
      </w:r>
      <w:r w:rsidR="00BB4A89">
        <w:rPr>
          <w:rFonts w:ascii="Calibri" w:eastAsia="Calibri" w:hAnsi="Calibri" w:cs="Calibri"/>
          <w:bCs/>
          <w:spacing w:val="-1"/>
          <w:sz w:val="22"/>
          <w:szCs w:val="22"/>
        </w:rPr>
        <w:t xml:space="preserve"> projects</w:t>
      </w:r>
      <w:r w:rsidRPr="002E1A3F">
        <w:rPr>
          <w:rFonts w:ascii="Calibri" w:eastAsia="Calibri" w:hAnsi="Calibri" w:cs="Calibri"/>
          <w:bCs/>
          <w:spacing w:val="-1"/>
          <w:sz w:val="22"/>
          <w:szCs w:val="22"/>
        </w:rPr>
        <w:t xml:space="preserve">, but with </w:t>
      </w:r>
      <w:r w:rsidR="00AF52EE">
        <w:rPr>
          <w:rFonts w:ascii="Calibri" w:eastAsia="Calibri" w:hAnsi="Calibri" w:cs="Calibri"/>
          <w:bCs/>
          <w:spacing w:val="-1"/>
          <w:sz w:val="22"/>
          <w:szCs w:val="22"/>
        </w:rPr>
        <w:t>some</w:t>
      </w:r>
      <w:r w:rsidRPr="002E1A3F">
        <w:rPr>
          <w:rFonts w:ascii="Calibri" w:eastAsia="Calibri" w:hAnsi="Calibri" w:cs="Calibri"/>
          <w:bCs/>
          <w:spacing w:val="-1"/>
          <w:sz w:val="22"/>
          <w:szCs w:val="22"/>
        </w:rPr>
        <w:t xml:space="preserve"> improvements. A matrix showing the differences in the DLRs for ACE I, II and </w:t>
      </w:r>
      <w:r w:rsidR="0050020B">
        <w:rPr>
          <w:rFonts w:ascii="Calibri" w:eastAsia="Calibri" w:hAnsi="Calibri" w:cs="Calibri"/>
          <w:bCs/>
          <w:spacing w:val="-1"/>
          <w:sz w:val="22"/>
          <w:szCs w:val="22"/>
        </w:rPr>
        <w:t xml:space="preserve">the First and Second </w:t>
      </w:r>
      <w:r w:rsidRPr="002E1A3F">
        <w:rPr>
          <w:rFonts w:ascii="Calibri" w:eastAsia="Calibri" w:hAnsi="Calibri" w:cs="Calibri"/>
          <w:bCs/>
          <w:spacing w:val="-1"/>
          <w:sz w:val="22"/>
          <w:szCs w:val="22"/>
        </w:rPr>
        <w:t>ACE Impact projects is provided in Annex 3.</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612C07DE" w14:textId="77777777" w:rsidTr="009277AD">
        <w:trPr>
          <w:trHeight w:val="80"/>
        </w:trPr>
        <w:tc>
          <w:tcPr>
            <w:tcW w:w="10710" w:type="dxa"/>
          </w:tcPr>
          <w:p w14:paraId="50B08E97" w14:textId="77777777" w:rsidR="002E1A3F" w:rsidRPr="002E1A3F" w:rsidRDefault="00B00100">
            <w:pPr>
              <w:keepNext/>
              <w:widowControl/>
              <w:autoSpaceDE/>
              <w:autoSpaceDN/>
              <w:adjustRightInd/>
              <w:spacing w:before="40"/>
              <w:outlineLvl w:val="1"/>
              <w:rPr>
                <w:rFonts w:ascii="Calibri" w:eastAsia="Times New Roman" w:hAnsi="Calibri" w:cs="Times New Roman"/>
                <w:b/>
                <w:color w:val="172D5F"/>
                <w:sz w:val="22"/>
                <w:szCs w:val="22"/>
              </w:rPr>
            </w:pPr>
            <w:bookmarkStart w:id="104" w:name="_Toc256000138"/>
            <w:bookmarkStart w:id="105" w:name="_Toc256000109"/>
            <w:bookmarkStart w:id="106" w:name="_Toc256000076"/>
            <w:bookmarkStart w:id="107" w:name="_Toc256000044"/>
            <w:bookmarkStart w:id="108" w:name="_Toc256000012"/>
            <w:bookmarkStart w:id="109" w:name="_Toc8301925"/>
            <w:bookmarkStart w:id="110" w:name="_Toc14789341"/>
            <w:bookmarkStart w:id="111" w:name="_Toc22655911"/>
            <w:bookmarkStart w:id="112" w:name="_Toc23779840"/>
            <w:bookmarkStart w:id="113" w:name="_Toc23866056"/>
            <w:bookmarkStart w:id="114" w:name="_Toc23930667"/>
            <w:bookmarkEnd w:id="103"/>
            <w:r w:rsidRPr="002E1A3F">
              <w:rPr>
                <w:rFonts w:ascii="Calibri" w:eastAsia="Times New Roman" w:hAnsi="Calibri" w:cs="Times New Roman"/>
                <w:b/>
                <w:color w:val="172D5F"/>
                <w:sz w:val="22"/>
                <w:szCs w:val="22"/>
              </w:rPr>
              <w:t>C. Project Beneficiaries</w:t>
            </w:r>
            <w:bookmarkEnd w:id="104"/>
            <w:bookmarkEnd w:id="105"/>
            <w:bookmarkEnd w:id="106"/>
            <w:bookmarkEnd w:id="107"/>
            <w:bookmarkEnd w:id="108"/>
            <w:bookmarkEnd w:id="109"/>
            <w:bookmarkEnd w:id="110"/>
            <w:bookmarkEnd w:id="111"/>
            <w:bookmarkEnd w:id="112"/>
            <w:bookmarkEnd w:id="113"/>
            <w:bookmarkEnd w:id="114"/>
          </w:p>
          <w:p w14:paraId="205B1471" w14:textId="77777777" w:rsidR="002E1A3F" w:rsidRPr="002E1A3F" w:rsidRDefault="002E1A3F" w:rsidP="00F463C2">
            <w:pPr>
              <w:widowControl/>
              <w:autoSpaceDE/>
              <w:autoSpaceDN/>
              <w:adjustRightInd/>
              <w:rPr>
                <w:rFonts w:ascii="Calibri" w:eastAsia="Calibri" w:hAnsi="Calibri" w:cs="Times New Roman"/>
                <w:color w:val="auto"/>
                <w:sz w:val="22"/>
                <w:szCs w:val="22"/>
              </w:rPr>
            </w:pPr>
          </w:p>
        </w:tc>
      </w:tr>
    </w:tbl>
    <w:p w14:paraId="7136C12A" w14:textId="77777777" w:rsidR="002E1A3F" w:rsidRPr="002E1A3F" w:rsidRDefault="00B00100" w:rsidP="009D0F8E">
      <w:pPr>
        <w:widowControl/>
        <w:numPr>
          <w:ilvl w:val="0"/>
          <w:numId w:val="7"/>
        </w:numPr>
        <w:tabs>
          <w:tab w:val="left" w:pos="0"/>
          <w:tab w:val="left" w:pos="720"/>
        </w:tabs>
        <w:autoSpaceDE/>
        <w:autoSpaceDN/>
        <w:adjustRightInd/>
        <w:spacing w:after="80"/>
        <w:ind w:left="0" w:firstLine="0"/>
        <w:jc w:val="both"/>
        <w:rPr>
          <w:rFonts w:ascii="Calibri" w:eastAsia="Calibri" w:hAnsi="Calibri" w:cs="Calibri"/>
          <w:b/>
          <w:spacing w:val="-1"/>
          <w:sz w:val="22"/>
          <w:szCs w:val="22"/>
        </w:rPr>
      </w:pPr>
      <w:r w:rsidRPr="002E1A3F">
        <w:rPr>
          <w:rFonts w:ascii="Calibri" w:eastAsia="Calibri" w:hAnsi="Calibri" w:cs="Calibri"/>
          <w:b/>
          <w:spacing w:val="-1"/>
          <w:sz w:val="22"/>
          <w:szCs w:val="22"/>
        </w:rPr>
        <w:t>The proposed project aims to benefit the following:</w:t>
      </w:r>
    </w:p>
    <w:p w14:paraId="5C9D4937" w14:textId="77777777" w:rsidR="002E1A3F" w:rsidRPr="002E1A3F" w:rsidRDefault="00B00100" w:rsidP="006C70A5">
      <w:pPr>
        <w:widowControl/>
        <w:numPr>
          <w:ilvl w:val="0"/>
          <w:numId w:val="45"/>
        </w:numPr>
        <w:autoSpaceDE/>
        <w:autoSpaceDN/>
        <w:adjustRightInd/>
        <w:spacing w:after="80"/>
        <w:ind w:left="1080"/>
        <w:jc w:val="both"/>
        <w:rPr>
          <w:rFonts w:ascii="Calibri" w:eastAsia="Calibri" w:hAnsi="Calibri" w:cs="Calibri"/>
          <w:bCs/>
          <w:spacing w:val="-1"/>
          <w:sz w:val="22"/>
          <w:szCs w:val="22"/>
        </w:rPr>
      </w:pPr>
      <w:r w:rsidRPr="002E1A3F">
        <w:rPr>
          <w:rFonts w:ascii="Calibri" w:eastAsia="Calibri" w:hAnsi="Calibri" w:cs="Calibri"/>
          <w:bCs/>
          <w:spacing w:val="-1"/>
          <w:sz w:val="22"/>
          <w:szCs w:val="22"/>
        </w:rPr>
        <w:t xml:space="preserve">Students in selected ACEs and those enrolled in the ACE host institutions, as well as students in partner institutions across West and Central Africa. Further, current and future students will have an expanded choice of quality and development-related education programs within West and Central Africa; </w:t>
      </w:r>
    </w:p>
    <w:p w14:paraId="190E9E9F" w14:textId="77777777" w:rsidR="002E1A3F" w:rsidRPr="002E1A3F" w:rsidRDefault="00B00100" w:rsidP="006C70A5">
      <w:pPr>
        <w:widowControl/>
        <w:numPr>
          <w:ilvl w:val="0"/>
          <w:numId w:val="45"/>
        </w:numPr>
        <w:autoSpaceDE/>
        <w:autoSpaceDN/>
        <w:adjustRightInd/>
        <w:spacing w:after="80"/>
        <w:ind w:left="1080"/>
        <w:jc w:val="both"/>
        <w:rPr>
          <w:rFonts w:ascii="Calibri" w:eastAsia="Calibri" w:hAnsi="Calibri" w:cs="Calibri"/>
          <w:bCs/>
          <w:spacing w:val="-1"/>
          <w:sz w:val="22"/>
          <w:szCs w:val="22"/>
        </w:rPr>
      </w:pPr>
      <w:r w:rsidRPr="002E1A3F">
        <w:rPr>
          <w:rFonts w:ascii="Calibri" w:eastAsia="Calibri" w:hAnsi="Calibri" w:cs="Calibri"/>
          <w:bCs/>
          <w:spacing w:val="-1"/>
          <w:sz w:val="22"/>
          <w:szCs w:val="22"/>
        </w:rPr>
        <w:t xml:space="preserve">Faculty and staff from the ACEs, host institutions and partner institutions who improve their qualifications and teaching and research conditions; </w:t>
      </w:r>
    </w:p>
    <w:p w14:paraId="60E7F2DB" w14:textId="77777777" w:rsidR="002E1A3F" w:rsidRPr="002E1A3F" w:rsidRDefault="00B00100" w:rsidP="006C70A5">
      <w:pPr>
        <w:widowControl/>
        <w:numPr>
          <w:ilvl w:val="0"/>
          <w:numId w:val="45"/>
        </w:numPr>
        <w:autoSpaceDE/>
        <w:autoSpaceDN/>
        <w:adjustRightInd/>
        <w:spacing w:after="80"/>
        <w:ind w:left="1080"/>
        <w:jc w:val="both"/>
        <w:rPr>
          <w:rFonts w:ascii="Calibri" w:eastAsia="Calibri" w:hAnsi="Calibri" w:cs="Calibri"/>
          <w:bCs/>
          <w:spacing w:val="-1"/>
          <w:sz w:val="22"/>
          <w:szCs w:val="22"/>
        </w:rPr>
      </w:pPr>
      <w:r w:rsidRPr="002E1A3F">
        <w:rPr>
          <w:rFonts w:ascii="Calibri" w:eastAsia="Calibri" w:hAnsi="Calibri" w:cs="Calibri"/>
          <w:bCs/>
          <w:sz w:val="22"/>
          <w:szCs w:val="22"/>
        </w:rPr>
        <w:lastRenderedPageBreak/>
        <w:t xml:space="preserve">Employers and other knowledge partners, including Ministries and public entities, who will have easier access to highly skilled professionals and to applied research for solutions to pressing development challenges; and </w:t>
      </w:r>
      <w:r w:rsidRPr="002E1A3F">
        <w:rPr>
          <w:rFonts w:ascii="Calibri" w:eastAsia="Calibri" w:hAnsi="Calibri" w:cs="Calibri"/>
          <w:bCs/>
          <w:spacing w:val="-1"/>
          <w:sz w:val="22"/>
          <w:szCs w:val="22"/>
        </w:rPr>
        <w:t xml:space="preserve"> </w:t>
      </w:r>
    </w:p>
    <w:p w14:paraId="3D5CA522" w14:textId="77777777" w:rsidR="002E1A3F" w:rsidRPr="002E1A3F" w:rsidRDefault="00B00100" w:rsidP="006C70A5">
      <w:pPr>
        <w:widowControl/>
        <w:numPr>
          <w:ilvl w:val="0"/>
          <w:numId w:val="45"/>
        </w:numPr>
        <w:autoSpaceDE/>
        <w:autoSpaceDN/>
        <w:adjustRightInd/>
        <w:spacing w:after="80"/>
        <w:ind w:left="1080"/>
        <w:jc w:val="both"/>
        <w:rPr>
          <w:rFonts w:ascii="Calibri" w:eastAsia="Calibri" w:hAnsi="Calibri" w:cs="Calibri"/>
          <w:bCs/>
          <w:spacing w:val="-1"/>
          <w:sz w:val="22"/>
          <w:szCs w:val="22"/>
        </w:rPr>
      </w:pPr>
      <w:r w:rsidRPr="002E1A3F">
        <w:rPr>
          <w:rFonts w:ascii="Calibri" w:eastAsia="Calibri" w:hAnsi="Calibri" w:cs="Calibri"/>
          <w:bCs/>
          <w:sz w:val="22"/>
          <w:szCs w:val="22"/>
        </w:rPr>
        <w:t>The general population in West and Central Africa who will benefit from a network of dynamic university centers focused on the generation of skills and applied research to drive development.</w:t>
      </w:r>
      <w:r w:rsidRPr="002E1A3F">
        <w:rPr>
          <w:rFonts w:ascii="Calibri" w:eastAsia="Calibri" w:hAnsi="Calibri" w:cs="Calibri"/>
          <w:bCs/>
          <w:spacing w:val="-1"/>
          <w:sz w:val="22"/>
          <w:szCs w:val="22"/>
        </w:rPr>
        <w:t xml:space="preserve"> </w:t>
      </w:r>
    </w:p>
    <w:p w14:paraId="2637E092" w14:textId="77777777" w:rsidR="002E1A3F" w:rsidRPr="002E1A3F" w:rsidRDefault="002E1A3F" w:rsidP="008E2709">
      <w:pPr>
        <w:widowControl/>
        <w:autoSpaceDE/>
        <w:autoSpaceDN/>
        <w:adjustRightInd/>
        <w:spacing w:after="80"/>
        <w:ind w:left="1166"/>
        <w:jc w:val="both"/>
        <w:rPr>
          <w:rFonts w:ascii="Calibri" w:eastAsia="Calibri" w:hAnsi="Calibri" w:cs="Calibri"/>
          <w:bCs/>
          <w:spacing w:val="-1"/>
          <w:sz w:val="22"/>
          <w:szCs w:val="22"/>
        </w:rPr>
      </w:pPr>
    </w:p>
    <w:tbl>
      <w:tblPr>
        <w:tblStyle w:val="TableGrid18"/>
        <w:tblW w:w="10619"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0619"/>
      </w:tblGrid>
      <w:tr w:rsidR="000C3959" w14:paraId="7D5FA12B" w14:textId="77777777" w:rsidTr="009277AD">
        <w:tc>
          <w:tcPr>
            <w:tcW w:w="10619" w:type="dxa"/>
          </w:tcPr>
          <w:p w14:paraId="48AF0500" w14:textId="77777777" w:rsidR="002E1A3F" w:rsidRPr="002E1A3F" w:rsidRDefault="00B00100">
            <w:pPr>
              <w:keepNext/>
              <w:widowControl/>
              <w:autoSpaceDE/>
              <w:autoSpaceDN/>
              <w:adjustRightInd/>
              <w:spacing w:before="40"/>
              <w:outlineLvl w:val="1"/>
              <w:rPr>
                <w:rFonts w:ascii="Calibri Light" w:eastAsia="Times New Roman" w:hAnsi="Calibri Light" w:cs="Calibri"/>
                <w:b/>
                <w:color w:val="2F5496"/>
                <w:sz w:val="26"/>
                <w:szCs w:val="26"/>
              </w:rPr>
            </w:pPr>
            <w:bookmarkStart w:id="115" w:name="_Toc256000139"/>
            <w:bookmarkStart w:id="116" w:name="_Toc256000110"/>
            <w:bookmarkStart w:id="117" w:name="_Toc256000077"/>
            <w:bookmarkStart w:id="118" w:name="_Toc256000045"/>
            <w:bookmarkStart w:id="119" w:name="_Toc256000013"/>
            <w:bookmarkStart w:id="120" w:name="_Toc8301926"/>
            <w:bookmarkStart w:id="121" w:name="_Toc14789342"/>
            <w:bookmarkStart w:id="122" w:name="_Toc22655912"/>
            <w:bookmarkStart w:id="123" w:name="_Toc23779841"/>
            <w:bookmarkStart w:id="124" w:name="_Toc23866057"/>
            <w:bookmarkStart w:id="125" w:name="_Toc23930668"/>
            <w:r w:rsidRPr="002E1A3F">
              <w:rPr>
                <w:rFonts w:ascii="Calibri" w:eastAsia="Calibri" w:hAnsi="Calibri" w:cs="Times New Roman"/>
                <w:b/>
                <w:bCs/>
                <w:color w:val="172D5F"/>
                <w:sz w:val="22"/>
                <w:szCs w:val="22"/>
              </w:rPr>
              <w:t xml:space="preserve">D. </w:t>
            </w:r>
            <w:r w:rsidRPr="002E1A3F">
              <w:rPr>
                <w:rFonts w:ascii="Calibri" w:eastAsia="Times New Roman" w:hAnsi="Calibri" w:cs="Times New Roman"/>
                <w:b/>
                <w:color w:val="172D5F"/>
                <w:sz w:val="22"/>
                <w:szCs w:val="22"/>
              </w:rPr>
              <w:t>Results</w:t>
            </w:r>
            <w:r w:rsidRPr="002E1A3F">
              <w:rPr>
                <w:rFonts w:ascii="Calibri" w:eastAsia="Calibri" w:hAnsi="Calibri" w:cs="Times New Roman"/>
                <w:b/>
                <w:bCs/>
                <w:color w:val="172D5F"/>
                <w:sz w:val="22"/>
                <w:szCs w:val="22"/>
              </w:rPr>
              <w:t xml:space="preserve"> Chain</w:t>
            </w:r>
            <w:bookmarkEnd w:id="115"/>
            <w:bookmarkEnd w:id="116"/>
            <w:bookmarkEnd w:id="117"/>
            <w:bookmarkEnd w:id="118"/>
            <w:bookmarkEnd w:id="119"/>
            <w:bookmarkEnd w:id="120"/>
            <w:bookmarkEnd w:id="121"/>
            <w:bookmarkEnd w:id="122"/>
            <w:bookmarkEnd w:id="123"/>
            <w:bookmarkEnd w:id="124"/>
            <w:bookmarkEnd w:id="125"/>
          </w:p>
        </w:tc>
      </w:tr>
    </w:tbl>
    <w:p w14:paraId="58B6FC76" w14:textId="77777777" w:rsidR="002E1A3F" w:rsidRPr="002E1A3F" w:rsidRDefault="00B00100">
      <w:pPr>
        <w:ind w:left="-634"/>
        <w:jc w:val="center"/>
        <w:rPr>
          <w:rFonts w:ascii="Calibri" w:eastAsia="Times New Roman" w:hAnsi="Calibri" w:cs="Calibri"/>
          <w:b/>
          <w:noProof/>
          <w:sz w:val="22"/>
          <w:szCs w:val="22"/>
          <w:u w:val="single"/>
        </w:rPr>
      </w:pPr>
      <w:bookmarkStart w:id="126" w:name="_Hlk264675"/>
      <w:r w:rsidRPr="002E1A3F">
        <w:rPr>
          <w:rFonts w:ascii="Calibri" w:eastAsia="Times New Roman" w:hAnsi="Calibri" w:cs="Calibri"/>
          <w:b/>
          <w:noProof/>
          <w:sz w:val="22"/>
          <w:szCs w:val="22"/>
          <w:u w:val="single"/>
        </w:rPr>
        <w:t>Theory of Change</w:t>
      </w:r>
      <w:r w:rsidRPr="002E1A3F">
        <w:rPr>
          <w:rFonts w:eastAsia="Times New Roman"/>
          <w:noProof/>
        </w:rPr>
        <w:drawing>
          <wp:inline distT="0" distB="0" distL="0" distR="0" wp14:anchorId="7C24D399" wp14:editId="2BD68FD7">
            <wp:extent cx="6324600" cy="38182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8854"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394246" cy="3860301"/>
                    </a:xfrm>
                    <a:prstGeom prst="rect">
                      <a:avLst/>
                    </a:prstGeom>
                    <a:noFill/>
                  </pic:spPr>
                </pic:pic>
              </a:graphicData>
            </a:graphic>
          </wp:inline>
        </w:drawing>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4046FF83" w14:textId="77777777" w:rsidTr="009277AD">
        <w:trPr>
          <w:trHeight w:val="80"/>
        </w:trPr>
        <w:tc>
          <w:tcPr>
            <w:tcW w:w="10710" w:type="dxa"/>
          </w:tcPr>
          <w:p w14:paraId="7F000EDC" w14:textId="77777777" w:rsidR="002E1A3F" w:rsidRPr="002E1A3F" w:rsidRDefault="00B00100" w:rsidP="00F463C2">
            <w:pPr>
              <w:keepNext/>
              <w:widowControl/>
              <w:autoSpaceDE/>
              <w:autoSpaceDN/>
              <w:adjustRightInd/>
              <w:spacing w:before="40"/>
              <w:outlineLvl w:val="1"/>
              <w:rPr>
                <w:rFonts w:ascii="Calibri" w:eastAsia="Times New Roman" w:hAnsi="Calibri" w:cs="Times New Roman"/>
                <w:b/>
                <w:color w:val="172D5F"/>
                <w:sz w:val="22"/>
                <w:szCs w:val="22"/>
              </w:rPr>
            </w:pPr>
            <w:bookmarkStart w:id="127" w:name="_Toc256000140"/>
            <w:bookmarkStart w:id="128" w:name="_Toc256000111"/>
            <w:bookmarkStart w:id="129" w:name="_Toc256000078"/>
            <w:bookmarkStart w:id="130" w:name="_Toc256000046"/>
            <w:bookmarkStart w:id="131" w:name="_Toc256000014"/>
            <w:bookmarkStart w:id="132" w:name="_Toc8301927"/>
            <w:bookmarkStart w:id="133" w:name="_Toc14789343"/>
            <w:bookmarkStart w:id="134" w:name="_Toc22655913"/>
            <w:bookmarkStart w:id="135" w:name="_Toc23779842"/>
            <w:bookmarkStart w:id="136" w:name="_Toc23866058"/>
            <w:bookmarkStart w:id="137" w:name="_Toc23930669"/>
            <w:bookmarkEnd w:id="126"/>
            <w:r w:rsidRPr="002E1A3F">
              <w:rPr>
                <w:rFonts w:ascii="Calibri" w:eastAsia="Calibri" w:hAnsi="Calibri" w:cs="Times New Roman"/>
                <w:b/>
                <w:bCs/>
                <w:color w:val="172D5F"/>
                <w:sz w:val="22"/>
                <w:szCs w:val="22"/>
              </w:rPr>
              <w:t>E. Rationale for World Bank Involvement and Role of Partners</w:t>
            </w:r>
            <w:bookmarkEnd w:id="127"/>
            <w:bookmarkEnd w:id="128"/>
            <w:bookmarkEnd w:id="129"/>
            <w:bookmarkEnd w:id="130"/>
            <w:bookmarkEnd w:id="131"/>
            <w:bookmarkEnd w:id="132"/>
            <w:bookmarkEnd w:id="133"/>
            <w:bookmarkEnd w:id="134"/>
            <w:bookmarkEnd w:id="135"/>
            <w:bookmarkEnd w:id="136"/>
            <w:bookmarkEnd w:id="137"/>
          </w:p>
        </w:tc>
      </w:tr>
    </w:tbl>
    <w:p w14:paraId="7EC52C83" w14:textId="77777777" w:rsidR="002E1A3F" w:rsidRPr="002E1A3F" w:rsidRDefault="002E1A3F">
      <w:pPr>
        <w:rPr>
          <w:rFonts w:ascii="Calibri" w:eastAsia="Times New Roman" w:hAnsi="Calibri" w:cs="Calibri"/>
          <w:b/>
          <w:bCs/>
          <w:color w:val="4472C4"/>
          <w:spacing w:val="-1"/>
        </w:rPr>
      </w:pPr>
    </w:p>
    <w:p w14:paraId="6D499B51" w14:textId="77777777" w:rsidR="002E1A3F" w:rsidRPr="002E1A3F" w:rsidRDefault="00B00100" w:rsidP="00F463C2">
      <w:pPr>
        <w:spacing w:after="240"/>
        <w:rPr>
          <w:rFonts w:ascii="Calibri,Times New Roman" w:eastAsia="Calibri,Times New Roman" w:hAnsi="Calibri,Times New Roman" w:cs="Calibri,Times New Roman"/>
          <w:b/>
          <w:color w:val="4472C4"/>
          <w:spacing w:val="-1"/>
          <w:sz w:val="22"/>
          <w:szCs w:val="22"/>
        </w:rPr>
      </w:pPr>
      <w:r w:rsidRPr="002E1A3F">
        <w:rPr>
          <w:rFonts w:ascii="Calibri" w:eastAsia="Calibri" w:hAnsi="Calibri" w:cs="Calibri"/>
          <w:b/>
          <w:color w:val="4472C4"/>
          <w:spacing w:val="-1"/>
          <w:sz w:val="22"/>
          <w:szCs w:val="22"/>
        </w:rPr>
        <w:t>Rationale for World Bank Involvement</w:t>
      </w:r>
    </w:p>
    <w:p w14:paraId="3BD86AD6"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bCs/>
          <w:sz w:val="22"/>
          <w:szCs w:val="22"/>
        </w:rPr>
        <w:t>The World Bank is well placed to play a leading role in supporting the expansion and quality improvements in higher education in West and Central Africa through a regional-level project because of its experience, funding, convening power and fiduciary oversight</w:t>
      </w:r>
      <w:r w:rsidRPr="002E1A3F">
        <w:rPr>
          <w:rFonts w:ascii="Calibri,Times New Roman" w:eastAsia="Calibri,Times New Roman" w:hAnsi="Calibri,Times New Roman" w:cs="Calibri,Times New Roman"/>
          <w:b/>
          <w:bCs/>
          <w:sz w:val="22"/>
          <w:szCs w:val="22"/>
        </w:rPr>
        <w:t xml:space="preserve">. </w:t>
      </w:r>
      <w:r w:rsidRPr="002E1A3F">
        <w:rPr>
          <w:rFonts w:ascii="Calibri" w:eastAsia="Calibri" w:hAnsi="Calibri" w:cs="Calibri"/>
          <w:sz w:val="22"/>
          <w:szCs w:val="22"/>
        </w:rPr>
        <w:t xml:space="preserve">First, the World Bank brings a wealth of experience from its higher education work across the globe and can draw upon lessons from both national and regional projects from SSA and other regions, most notably the ACE I and ACE II projects. </w:t>
      </w:r>
      <w:r w:rsidRPr="002E1A3F">
        <w:rPr>
          <w:rFonts w:ascii="Calibri" w:eastAsia="Calibri" w:hAnsi="Calibri" w:cs="Calibri"/>
          <w:sz w:val="22"/>
          <w:szCs w:val="22"/>
        </w:rPr>
        <w:lastRenderedPageBreak/>
        <w:t>The World Bank has substantial expertise across several sectors and has undertaken in-depth analyses on the state of higher education and the skills gap across various economic sectors in the</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countries and region as a whole</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Second, due to the World Bank’s strong financial standing, it provides adequate funding in the form of credits and grants, with favorable terms, to participating countries to support such a regional project</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Third, the World Bank’s convening power</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 xml:space="preserve">is critical in bringing together the relevant stakeholders from governments, industries, universities and research institutes, regional bodies (ECOWAS, AAU, </w:t>
      </w:r>
      <w:r w:rsidRPr="002E1A3F">
        <w:rPr>
          <w:rFonts w:ascii="Calibri" w:eastAsia="Calibri" w:hAnsi="Calibri" w:cs="Calibri"/>
          <w:color w:val="auto"/>
          <w:sz w:val="22"/>
          <w:szCs w:val="22"/>
        </w:rPr>
        <w:t>West African Economic and Monetary Union</w:t>
      </w:r>
      <w:r w:rsidRPr="002E1A3F">
        <w:rPr>
          <w:rFonts w:ascii="Calibri" w:eastAsia="Calibri" w:hAnsi="Calibri" w:cs="Calibri"/>
          <w:i/>
          <w:color w:val="auto"/>
          <w:sz w:val="22"/>
          <w:szCs w:val="22"/>
        </w:rPr>
        <w:t xml:space="preserve"> </w:t>
      </w:r>
      <w:r w:rsidRPr="002E1A3F">
        <w:rPr>
          <w:rFonts w:ascii="Calibri" w:eastAsia="Times New Roman" w:hAnsi="Calibri" w:cs="Calibri"/>
          <w:color w:val="auto"/>
          <w:sz w:val="22"/>
          <w:szCs w:val="22"/>
        </w:rPr>
        <w:t>(</w:t>
      </w:r>
      <w:hyperlink r:id="rId33" w:history="1">
        <w:r w:rsidRPr="002E1A3F">
          <w:rPr>
            <w:rFonts w:ascii="Calibri" w:eastAsia="Calibri" w:hAnsi="Calibri" w:cs="Calibri"/>
            <w:i/>
            <w:color w:val="auto"/>
            <w:sz w:val="22"/>
            <w:szCs w:val="22"/>
          </w:rPr>
          <w:t>Union Economique et Monétaire Ouest Africaine</w:t>
        </w:r>
      </w:hyperlink>
      <w:r w:rsidRPr="002E1A3F">
        <w:rPr>
          <w:rFonts w:ascii="Calibri" w:eastAsia="Calibri" w:hAnsi="Calibri" w:cs="Calibri"/>
          <w:i/>
          <w:color w:val="auto"/>
          <w:sz w:val="22"/>
          <w:szCs w:val="22"/>
        </w:rPr>
        <w:t>,</w:t>
      </w:r>
      <w:r w:rsidRPr="002E1A3F">
        <w:rPr>
          <w:rFonts w:ascii="Calibri" w:eastAsia="Times New Roman" w:hAnsi="Calibri" w:cs="Calibri"/>
          <w:color w:val="auto"/>
          <w:sz w:val="22"/>
          <w:szCs w:val="22"/>
        </w:rPr>
        <w:t xml:space="preserve"> </w:t>
      </w:r>
      <w:r w:rsidRPr="002E1A3F">
        <w:rPr>
          <w:rFonts w:ascii="Calibri" w:eastAsia="Calibri" w:hAnsi="Calibri" w:cs="Calibri"/>
          <w:sz w:val="22"/>
          <w:szCs w:val="22"/>
        </w:rPr>
        <w:t>UEMOA</w:t>
      </w:r>
      <w:r w:rsidRPr="002E1A3F">
        <w:rPr>
          <w:rFonts w:ascii="Calibri" w:eastAsia="Calibri,Times New Roman" w:hAnsi="Calibri" w:cs="Calibri"/>
          <w:sz w:val="22"/>
          <w:szCs w:val="22"/>
        </w:rPr>
        <w:t>))</w:t>
      </w:r>
      <w:r w:rsidRPr="002E1A3F">
        <w:rPr>
          <w:rFonts w:ascii="Calibri" w:eastAsia="Calibri" w:hAnsi="Calibri" w:cs="Calibri"/>
          <w:sz w:val="22"/>
          <w:szCs w:val="22"/>
        </w:rPr>
        <w:t xml:space="preserve"> and other </w:t>
      </w:r>
      <w:r w:rsidR="00974ACF">
        <w:rPr>
          <w:rFonts w:ascii="Calibri" w:eastAsia="Calibri" w:hAnsi="Calibri" w:cs="Calibri"/>
          <w:sz w:val="22"/>
          <w:szCs w:val="22"/>
        </w:rPr>
        <w:t>DPs</w:t>
      </w:r>
      <w:r w:rsidRPr="002E1A3F">
        <w:rPr>
          <w:rFonts w:ascii="Calibri" w:eastAsia="Calibri" w:hAnsi="Calibri" w:cs="Calibri"/>
          <w:sz w:val="22"/>
          <w:szCs w:val="22"/>
        </w:rPr>
        <w:t xml:space="preserve"> to collaborate on the project.</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 xml:space="preserve">Fourth, the World Bank’s history of strong fiduciary oversight makes it appealing for the participating governments and </w:t>
      </w:r>
      <w:r w:rsidR="00974ACF">
        <w:rPr>
          <w:rFonts w:ascii="Calibri" w:eastAsia="Calibri" w:hAnsi="Calibri" w:cs="Calibri"/>
          <w:sz w:val="22"/>
          <w:szCs w:val="22"/>
        </w:rPr>
        <w:t>DPs</w:t>
      </w:r>
      <w:r w:rsidRPr="002E1A3F">
        <w:rPr>
          <w:rFonts w:ascii="Calibri" w:eastAsia="Calibri" w:hAnsi="Calibri" w:cs="Calibri"/>
          <w:sz w:val="22"/>
          <w:szCs w:val="22"/>
        </w:rPr>
        <w:t xml:space="preserve">. </w:t>
      </w:r>
    </w:p>
    <w:p w14:paraId="788769AF" w14:textId="77777777" w:rsidR="002E1A3F" w:rsidRPr="002E1A3F" w:rsidRDefault="00B00100">
      <w:pPr>
        <w:rPr>
          <w:rFonts w:ascii="Calibri" w:eastAsia="Calibri" w:hAnsi="Calibri" w:cs="Calibri"/>
          <w:b/>
          <w:color w:val="4472C4"/>
          <w:spacing w:val="-1"/>
          <w:sz w:val="22"/>
          <w:szCs w:val="22"/>
        </w:rPr>
      </w:pPr>
      <w:r w:rsidRPr="002E1A3F">
        <w:rPr>
          <w:rFonts w:ascii="Calibri" w:eastAsia="Calibri" w:hAnsi="Calibri" w:cs="Calibri"/>
          <w:b/>
          <w:color w:val="4472C4"/>
          <w:spacing w:val="-1"/>
          <w:sz w:val="22"/>
          <w:szCs w:val="22"/>
        </w:rPr>
        <w:t>Role of Partners</w:t>
      </w:r>
    </w:p>
    <w:p w14:paraId="7DEE4586" w14:textId="77777777" w:rsidR="002E1A3F" w:rsidRPr="002E1A3F" w:rsidRDefault="002E1A3F" w:rsidP="00F463C2">
      <w:pPr>
        <w:rPr>
          <w:rFonts w:ascii="Calibri" w:eastAsia="Calibri,Times New Roman" w:hAnsi="Calibri" w:cs="Calibri"/>
          <w:b/>
          <w:color w:val="4472C4"/>
          <w:spacing w:val="-1"/>
          <w:sz w:val="22"/>
          <w:szCs w:val="22"/>
        </w:rPr>
      </w:pPr>
    </w:p>
    <w:p w14:paraId="38EE15B3"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E1A3F">
        <w:rPr>
          <w:rFonts w:ascii="Calibri" w:eastAsia="Calibri" w:hAnsi="Calibri" w:cs="Calibri"/>
          <w:b/>
          <w:sz w:val="22"/>
          <w:szCs w:val="22"/>
        </w:rPr>
        <w:t xml:space="preserve">The proposed </w:t>
      </w:r>
      <w:r w:rsidR="005C5FF8">
        <w:rPr>
          <w:rFonts w:ascii="Calibri" w:eastAsia="Calibri" w:hAnsi="Calibri" w:cs="Calibri"/>
          <w:b/>
          <w:sz w:val="22"/>
          <w:szCs w:val="22"/>
        </w:rPr>
        <w:t>p</w:t>
      </w:r>
      <w:r w:rsidR="00BB4A89">
        <w:rPr>
          <w:rFonts w:ascii="Calibri" w:eastAsia="Calibri" w:hAnsi="Calibri" w:cs="Calibri"/>
          <w:b/>
          <w:sz w:val="22"/>
          <w:szCs w:val="22"/>
        </w:rPr>
        <w:t>roject</w:t>
      </w:r>
      <w:r w:rsidRPr="002E1A3F">
        <w:rPr>
          <w:rFonts w:ascii="Calibri" w:eastAsia="Calibri" w:hAnsi="Calibri" w:cs="Calibri"/>
          <w:b/>
          <w:sz w:val="22"/>
          <w:szCs w:val="22"/>
        </w:rPr>
        <w:t xml:space="preserve"> is expected to benefit from a variety of co-</w:t>
      </w:r>
      <w:r w:rsidR="000350B6">
        <w:rPr>
          <w:rFonts w:ascii="Calibri" w:eastAsia="Calibri" w:hAnsi="Calibri" w:cs="Calibri"/>
          <w:b/>
          <w:sz w:val="22"/>
          <w:szCs w:val="22"/>
        </w:rPr>
        <w:t xml:space="preserve"> and parallel- </w:t>
      </w:r>
      <w:r w:rsidRPr="002E1A3F">
        <w:rPr>
          <w:rFonts w:ascii="Calibri" w:eastAsia="Calibri" w:hAnsi="Calibri" w:cs="Calibri"/>
          <w:b/>
          <w:sz w:val="22"/>
          <w:szCs w:val="22"/>
        </w:rPr>
        <w:t>financing support actions from bilateral partners that have been investing in the region over the years with similar objectives to those of the ACE projects</w:t>
      </w:r>
      <w:r w:rsidRPr="002E1A3F">
        <w:rPr>
          <w:rFonts w:ascii="Calibri,Times New Roman" w:eastAsia="Calibri,Times New Roman" w:hAnsi="Calibri,Times New Roman" w:cs="Calibri,Times New Roman"/>
          <w:b/>
          <w:sz w:val="22"/>
          <w:szCs w:val="22"/>
        </w:rPr>
        <w:t xml:space="preserve">. </w:t>
      </w:r>
      <w:r w:rsidRPr="002E1A3F">
        <w:rPr>
          <w:rFonts w:ascii="Calibri" w:eastAsia="Calibri" w:hAnsi="Calibri" w:cs="Calibri"/>
          <w:sz w:val="22"/>
          <w:szCs w:val="22"/>
        </w:rPr>
        <w:t xml:space="preserve">Co-financing will be used to support project activities, and additional funding is anticipated in the form of top-up awards to targeted centers.  Leading global research funding agencies are expected to launch targeted calls and actions to support bilateral and multilateral collaborations between researchers at the ACE Impact centers and those based internationally.  </w:t>
      </w:r>
    </w:p>
    <w:p w14:paraId="20C33CC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
          <w:bCs/>
          <w:spacing w:val="-1"/>
          <w:sz w:val="22"/>
          <w:szCs w:val="22"/>
        </w:rPr>
      </w:pPr>
      <w:r>
        <w:rPr>
          <w:rFonts w:ascii="Calibri" w:eastAsia="Calibri" w:hAnsi="Calibri" w:cs="Calibri"/>
          <w:b/>
          <w:bCs/>
          <w:spacing w:val="-1"/>
          <w:sz w:val="22"/>
          <w:szCs w:val="22"/>
        </w:rPr>
        <w:t xml:space="preserve">AFD will </w:t>
      </w:r>
      <w:r w:rsidR="006436ED">
        <w:rPr>
          <w:rFonts w:ascii="Calibri" w:eastAsia="Calibri" w:hAnsi="Calibri" w:cs="Calibri"/>
          <w:b/>
          <w:bCs/>
          <w:spacing w:val="-1"/>
          <w:sz w:val="22"/>
          <w:szCs w:val="22"/>
        </w:rPr>
        <w:t xml:space="preserve">be </w:t>
      </w:r>
      <w:r w:rsidRPr="002D38CA">
        <w:rPr>
          <w:rFonts w:ascii="Calibri" w:eastAsia="Calibri" w:hAnsi="Calibri" w:cs="Calibri"/>
          <w:b/>
          <w:bCs/>
          <w:spacing w:val="-1"/>
          <w:sz w:val="22"/>
          <w:szCs w:val="22"/>
        </w:rPr>
        <w:t>a co-financier of the proposed project</w:t>
      </w:r>
      <w:r>
        <w:rPr>
          <w:rFonts w:ascii="Calibri" w:eastAsia="Calibri" w:hAnsi="Calibri" w:cs="Calibri"/>
          <w:b/>
          <w:bCs/>
          <w:spacing w:val="-1"/>
          <w:sz w:val="22"/>
          <w:szCs w:val="22"/>
        </w:rPr>
        <w:t>, by co</w:t>
      </w:r>
      <w:r w:rsidR="00AA42D3">
        <w:rPr>
          <w:rFonts w:ascii="Calibri" w:eastAsia="Calibri" w:hAnsi="Calibri" w:cs="Calibri"/>
          <w:b/>
          <w:bCs/>
          <w:spacing w:val="-1"/>
          <w:sz w:val="22"/>
          <w:szCs w:val="22"/>
        </w:rPr>
        <w:t>-</w:t>
      </w:r>
      <w:r>
        <w:rPr>
          <w:rFonts w:ascii="Calibri" w:eastAsia="Calibri" w:hAnsi="Calibri" w:cs="Calibri"/>
          <w:b/>
          <w:bCs/>
          <w:spacing w:val="-1"/>
          <w:sz w:val="22"/>
          <w:szCs w:val="22"/>
        </w:rPr>
        <w:t xml:space="preserve">financing ACEs in Benin, and Nigeria.  Furthermore, AFD is preparing a </w:t>
      </w:r>
      <w:r w:rsidRPr="002E1A3F">
        <w:rPr>
          <w:rFonts w:ascii="Calibri" w:eastAsia="Calibri" w:hAnsi="Calibri" w:cs="Calibri"/>
          <w:b/>
          <w:bCs/>
          <w:spacing w:val="-1"/>
          <w:sz w:val="22"/>
          <w:szCs w:val="22"/>
        </w:rPr>
        <w:t xml:space="preserve">EUR 6 million grant to support regional collaboration activities aligned with the </w:t>
      </w:r>
      <w:r>
        <w:rPr>
          <w:rFonts w:ascii="Calibri" w:eastAsia="Calibri" w:hAnsi="Calibri" w:cs="Calibri"/>
          <w:b/>
          <w:bCs/>
          <w:spacing w:val="-1"/>
          <w:sz w:val="22"/>
          <w:szCs w:val="22"/>
        </w:rPr>
        <w:t xml:space="preserve">First and Second </w:t>
      </w:r>
      <w:r w:rsidRPr="002E1A3F">
        <w:rPr>
          <w:rFonts w:ascii="Calibri" w:eastAsia="Calibri" w:hAnsi="Calibri" w:cs="Calibri"/>
          <w:b/>
          <w:bCs/>
          <w:spacing w:val="-1"/>
          <w:sz w:val="22"/>
          <w:szCs w:val="22"/>
        </w:rPr>
        <w:t>ACE Impact</w:t>
      </w:r>
      <w:r>
        <w:rPr>
          <w:rFonts w:ascii="Calibri" w:eastAsia="Calibri" w:hAnsi="Calibri" w:cs="Calibri"/>
          <w:b/>
          <w:bCs/>
          <w:spacing w:val="-1"/>
          <w:sz w:val="22"/>
          <w:szCs w:val="22"/>
        </w:rPr>
        <w:t xml:space="preserve"> PDOs</w:t>
      </w:r>
      <w:r w:rsidRPr="002E1A3F">
        <w:rPr>
          <w:rFonts w:ascii="Calibri" w:eastAsia="Calibri" w:hAnsi="Calibri" w:cs="Calibri"/>
          <w:b/>
          <w:bCs/>
          <w:spacing w:val="-1"/>
          <w:sz w:val="22"/>
          <w:szCs w:val="22"/>
        </w:rPr>
        <w:t xml:space="preserve"> and activities</w:t>
      </w:r>
      <w:r w:rsidR="001528BF">
        <w:rPr>
          <w:rFonts w:ascii="Calibri" w:eastAsia="Calibri" w:hAnsi="Calibri" w:cs="Calibri"/>
          <w:b/>
          <w:bCs/>
          <w:spacing w:val="-1"/>
          <w:sz w:val="22"/>
          <w:szCs w:val="22"/>
        </w:rPr>
        <w:t xml:space="preserve">. </w:t>
      </w:r>
      <w:r w:rsidR="00960F3E" w:rsidRPr="002E1A3F">
        <w:rPr>
          <w:rFonts w:ascii="Calibri" w:eastAsia="Calibri" w:hAnsi="Calibri" w:cs="Calibri"/>
          <w:sz w:val="22"/>
          <w:szCs w:val="22"/>
        </w:rPr>
        <w:t xml:space="preserve">AFD’s </w:t>
      </w:r>
      <w:r w:rsidR="00960F3E" w:rsidRPr="002E1A3F">
        <w:rPr>
          <w:rFonts w:ascii="Calibri" w:eastAsia="Calibri" w:hAnsi="Calibri" w:cs="Calibri"/>
          <w:bCs/>
          <w:spacing w:val="-1"/>
          <w:sz w:val="22"/>
          <w:szCs w:val="22"/>
        </w:rPr>
        <w:t>grant</w:t>
      </w:r>
      <w:r w:rsidR="00AB0E49">
        <w:rPr>
          <w:rFonts w:ascii="Calibri" w:eastAsia="Calibri" w:hAnsi="Calibri" w:cs="Calibri"/>
          <w:bCs/>
          <w:spacing w:val="-1"/>
          <w:sz w:val="22"/>
          <w:szCs w:val="22"/>
        </w:rPr>
        <w:t xml:space="preserve"> will support </w:t>
      </w:r>
      <w:r w:rsidR="00AB0E49" w:rsidRPr="00AB0E49">
        <w:rPr>
          <w:rFonts w:ascii="Calibri" w:eastAsia="Calibri" w:hAnsi="Calibri" w:cs="Calibri"/>
          <w:bCs/>
          <w:spacing w:val="-1"/>
          <w:sz w:val="22"/>
          <w:szCs w:val="22"/>
        </w:rPr>
        <w:t>build</w:t>
      </w:r>
      <w:r w:rsidR="00AB0E49">
        <w:rPr>
          <w:rFonts w:ascii="Calibri" w:eastAsia="Calibri" w:hAnsi="Calibri" w:cs="Calibri"/>
          <w:bCs/>
          <w:spacing w:val="-1"/>
          <w:sz w:val="22"/>
          <w:szCs w:val="22"/>
        </w:rPr>
        <w:t>ing</w:t>
      </w:r>
      <w:r w:rsidR="00AB0E49" w:rsidRPr="00AB0E49">
        <w:rPr>
          <w:rFonts w:ascii="Calibri" w:eastAsia="Calibri" w:hAnsi="Calibri" w:cs="Calibri"/>
          <w:bCs/>
          <w:spacing w:val="-1"/>
          <w:sz w:val="22"/>
          <w:szCs w:val="22"/>
        </w:rPr>
        <w:t xml:space="preserve"> and/or strengthen</w:t>
      </w:r>
      <w:r w:rsidR="00AB0E49">
        <w:rPr>
          <w:rFonts w:ascii="Calibri" w:eastAsia="Calibri" w:hAnsi="Calibri" w:cs="Calibri"/>
          <w:bCs/>
          <w:spacing w:val="-1"/>
          <w:sz w:val="22"/>
          <w:szCs w:val="22"/>
        </w:rPr>
        <w:t>ing</w:t>
      </w:r>
      <w:r w:rsidR="00AB0E49" w:rsidRPr="00AB0E49">
        <w:rPr>
          <w:rFonts w:ascii="Calibri" w:eastAsia="Calibri" w:hAnsi="Calibri" w:cs="Calibri"/>
          <w:bCs/>
          <w:spacing w:val="-1"/>
          <w:sz w:val="22"/>
          <w:szCs w:val="22"/>
        </w:rPr>
        <w:t xml:space="preserve"> sustainable </w:t>
      </w:r>
      <w:r w:rsidR="00B34DF0">
        <w:rPr>
          <w:rFonts w:ascii="Calibri" w:eastAsia="Calibri" w:hAnsi="Calibri" w:cs="Calibri"/>
          <w:bCs/>
          <w:spacing w:val="-1"/>
          <w:sz w:val="22"/>
          <w:szCs w:val="22"/>
        </w:rPr>
        <w:t>r</w:t>
      </w:r>
      <w:r w:rsidR="00AB0E49" w:rsidRPr="00AB0E49">
        <w:rPr>
          <w:rFonts w:ascii="Calibri" w:eastAsia="Calibri" w:hAnsi="Calibri" w:cs="Calibri"/>
          <w:bCs/>
          <w:spacing w:val="-1"/>
          <w:sz w:val="22"/>
          <w:szCs w:val="22"/>
        </w:rPr>
        <w:t xml:space="preserve">esearch networking between ACEs and other partners on </w:t>
      </w:r>
      <w:r w:rsidR="00AB0E49">
        <w:rPr>
          <w:rFonts w:ascii="Calibri" w:eastAsia="Calibri" w:hAnsi="Calibri" w:cs="Calibri"/>
          <w:bCs/>
          <w:spacing w:val="-1"/>
          <w:sz w:val="22"/>
          <w:szCs w:val="22"/>
        </w:rPr>
        <w:t>s</w:t>
      </w:r>
      <w:r w:rsidR="00AB0E49" w:rsidRPr="00AB0E49">
        <w:rPr>
          <w:rFonts w:ascii="Calibri" w:eastAsia="Calibri" w:hAnsi="Calibri" w:cs="Calibri"/>
          <w:bCs/>
          <w:spacing w:val="-1"/>
          <w:sz w:val="22"/>
          <w:szCs w:val="22"/>
        </w:rPr>
        <w:t xml:space="preserve">pecific </w:t>
      </w:r>
      <w:r w:rsidR="00AB0E49">
        <w:rPr>
          <w:rFonts w:ascii="Calibri" w:eastAsia="Calibri" w:hAnsi="Calibri" w:cs="Calibri"/>
          <w:bCs/>
          <w:spacing w:val="-1"/>
          <w:sz w:val="22"/>
          <w:szCs w:val="22"/>
        </w:rPr>
        <w:t>t</w:t>
      </w:r>
      <w:r w:rsidR="00AB0E49" w:rsidRPr="00AB0E49">
        <w:rPr>
          <w:rFonts w:ascii="Calibri" w:eastAsia="Calibri" w:hAnsi="Calibri" w:cs="Calibri"/>
          <w:bCs/>
          <w:spacing w:val="-1"/>
          <w:sz w:val="22"/>
          <w:szCs w:val="22"/>
        </w:rPr>
        <w:t>opics</w:t>
      </w:r>
      <w:r w:rsidR="00AB0E49">
        <w:rPr>
          <w:rFonts w:ascii="Calibri" w:eastAsia="Calibri" w:hAnsi="Calibri" w:cs="Calibri"/>
          <w:bCs/>
          <w:spacing w:val="-1"/>
          <w:sz w:val="22"/>
          <w:szCs w:val="22"/>
        </w:rPr>
        <w:t>.</w:t>
      </w:r>
      <w:r w:rsidR="003129EA">
        <w:rPr>
          <w:rFonts w:ascii="Calibri" w:eastAsia="Calibri" w:hAnsi="Calibri" w:cs="Calibri"/>
          <w:bCs/>
          <w:spacing w:val="-1"/>
          <w:sz w:val="22"/>
          <w:szCs w:val="22"/>
        </w:rPr>
        <w:t xml:space="preserve"> </w:t>
      </w:r>
      <w:r w:rsidR="00B34DF0">
        <w:rPr>
          <w:rFonts w:ascii="Calibri" w:eastAsia="Calibri" w:hAnsi="Calibri" w:cs="Calibri"/>
          <w:bCs/>
          <w:spacing w:val="-1"/>
          <w:sz w:val="22"/>
          <w:szCs w:val="22"/>
        </w:rPr>
        <w:t>Specifically, t</w:t>
      </w:r>
      <w:r w:rsidR="001C28C8">
        <w:rPr>
          <w:rFonts w:ascii="Calibri" w:eastAsia="Calibri" w:hAnsi="Calibri" w:cs="Calibri"/>
          <w:bCs/>
          <w:spacing w:val="-1"/>
          <w:sz w:val="22"/>
          <w:szCs w:val="22"/>
        </w:rPr>
        <w:t xml:space="preserve">his grant would support </w:t>
      </w:r>
      <w:r w:rsidR="00BB3F78">
        <w:rPr>
          <w:rFonts w:ascii="Calibri" w:eastAsia="Calibri" w:hAnsi="Calibri" w:cs="Calibri"/>
          <w:bCs/>
          <w:spacing w:val="-1"/>
          <w:sz w:val="22"/>
          <w:szCs w:val="22"/>
        </w:rPr>
        <w:t>four</w:t>
      </w:r>
      <w:r w:rsidR="001C28C8">
        <w:rPr>
          <w:rFonts w:ascii="Calibri" w:eastAsia="Calibri" w:hAnsi="Calibri" w:cs="Calibri"/>
          <w:bCs/>
          <w:spacing w:val="-1"/>
          <w:sz w:val="22"/>
          <w:szCs w:val="22"/>
        </w:rPr>
        <w:t>-</w:t>
      </w:r>
      <w:r w:rsidR="00BB3F78">
        <w:rPr>
          <w:rFonts w:ascii="Calibri" w:eastAsia="Calibri" w:hAnsi="Calibri" w:cs="Calibri"/>
          <w:bCs/>
          <w:spacing w:val="-1"/>
          <w:sz w:val="22"/>
          <w:szCs w:val="22"/>
        </w:rPr>
        <w:t>five</w:t>
      </w:r>
      <w:r w:rsidR="001C28C8">
        <w:rPr>
          <w:rFonts w:ascii="Calibri" w:eastAsia="Calibri" w:hAnsi="Calibri" w:cs="Calibri"/>
          <w:bCs/>
          <w:spacing w:val="-1"/>
          <w:sz w:val="22"/>
          <w:szCs w:val="22"/>
        </w:rPr>
        <w:t xml:space="preserve"> thematic networks</w:t>
      </w:r>
      <w:r w:rsidR="00D47B51">
        <w:rPr>
          <w:rFonts w:ascii="Calibri" w:eastAsia="Calibri" w:hAnsi="Calibri" w:cs="Calibri"/>
          <w:bCs/>
          <w:spacing w:val="-1"/>
          <w:sz w:val="22"/>
          <w:szCs w:val="22"/>
        </w:rPr>
        <w:t xml:space="preserve"> from the following</w:t>
      </w:r>
      <w:r w:rsidR="00534D3C">
        <w:rPr>
          <w:rFonts w:ascii="Calibri" w:eastAsia="Calibri" w:hAnsi="Calibri" w:cs="Calibri"/>
          <w:bCs/>
          <w:spacing w:val="-1"/>
          <w:sz w:val="22"/>
          <w:szCs w:val="22"/>
        </w:rPr>
        <w:t>:</w:t>
      </w:r>
      <w:r w:rsidR="00445BFF">
        <w:rPr>
          <w:rFonts w:ascii="Calibri" w:eastAsia="Calibri" w:hAnsi="Calibri" w:cs="Calibri"/>
          <w:bCs/>
          <w:spacing w:val="-1"/>
          <w:sz w:val="22"/>
          <w:szCs w:val="22"/>
        </w:rPr>
        <w:t xml:space="preserve"> (i)</w:t>
      </w:r>
      <w:r w:rsidR="00C25048">
        <w:rPr>
          <w:rFonts w:ascii="Calibri" w:eastAsia="Calibri" w:hAnsi="Calibri" w:cs="Calibri"/>
          <w:bCs/>
          <w:spacing w:val="-1"/>
          <w:sz w:val="22"/>
          <w:szCs w:val="22"/>
        </w:rPr>
        <w:t xml:space="preserve"> </w:t>
      </w:r>
      <w:r w:rsidR="00114C28">
        <w:rPr>
          <w:rFonts w:ascii="Calibri" w:eastAsia="Calibri" w:hAnsi="Calibri" w:cs="Calibri"/>
          <w:bCs/>
          <w:spacing w:val="-1"/>
          <w:sz w:val="22"/>
          <w:szCs w:val="22"/>
        </w:rPr>
        <w:t>m</w:t>
      </w:r>
      <w:r w:rsidR="0086563C">
        <w:rPr>
          <w:rFonts w:ascii="Calibri" w:eastAsia="Calibri" w:hAnsi="Calibri" w:cs="Calibri"/>
          <w:bCs/>
          <w:spacing w:val="-1"/>
          <w:sz w:val="22"/>
          <w:szCs w:val="22"/>
        </w:rPr>
        <w:t xml:space="preserve">ining and </w:t>
      </w:r>
      <w:r w:rsidR="00114C28">
        <w:rPr>
          <w:rFonts w:ascii="Calibri" w:eastAsia="Calibri" w:hAnsi="Calibri" w:cs="Calibri"/>
          <w:bCs/>
          <w:spacing w:val="-1"/>
          <w:sz w:val="22"/>
          <w:szCs w:val="22"/>
        </w:rPr>
        <w:t>e</w:t>
      </w:r>
      <w:r w:rsidR="0086563C">
        <w:rPr>
          <w:rFonts w:ascii="Calibri" w:eastAsia="Calibri" w:hAnsi="Calibri" w:cs="Calibri"/>
          <w:bCs/>
          <w:spacing w:val="-1"/>
          <w:sz w:val="22"/>
          <w:szCs w:val="22"/>
        </w:rPr>
        <w:t>nvironment</w:t>
      </w:r>
      <w:r w:rsidR="00BB3F78">
        <w:rPr>
          <w:rFonts w:ascii="Calibri" w:eastAsia="Calibri" w:hAnsi="Calibri" w:cs="Calibri"/>
          <w:bCs/>
          <w:spacing w:val="-1"/>
          <w:sz w:val="22"/>
          <w:szCs w:val="22"/>
        </w:rPr>
        <w:t>;</w:t>
      </w:r>
      <w:r w:rsidR="0086563C">
        <w:rPr>
          <w:rFonts w:ascii="Calibri" w:eastAsia="Calibri" w:hAnsi="Calibri" w:cs="Calibri"/>
          <w:bCs/>
          <w:spacing w:val="-1"/>
          <w:sz w:val="22"/>
          <w:szCs w:val="22"/>
        </w:rPr>
        <w:t xml:space="preserve"> </w:t>
      </w:r>
      <w:r w:rsidR="00445BFF">
        <w:rPr>
          <w:rFonts w:ascii="Calibri" w:eastAsia="Calibri" w:hAnsi="Calibri" w:cs="Calibri"/>
          <w:bCs/>
          <w:spacing w:val="-1"/>
          <w:sz w:val="22"/>
          <w:szCs w:val="22"/>
        </w:rPr>
        <w:t xml:space="preserve">(ii) </w:t>
      </w:r>
      <w:r w:rsidR="003065AE">
        <w:rPr>
          <w:rFonts w:ascii="Calibri" w:eastAsia="Calibri" w:hAnsi="Calibri" w:cs="Calibri"/>
          <w:bCs/>
          <w:spacing w:val="-1"/>
          <w:sz w:val="22"/>
          <w:szCs w:val="22"/>
        </w:rPr>
        <w:t>water</w:t>
      </w:r>
      <w:r w:rsidR="00BB3F78">
        <w:rPr>
          <w:rFonts w:ascii="Calibri" w:eastAsia="Calibri" w:hAnsi="Calibri" w:cs="Calibri"/>
          <w:bCs/>
          <w:spacing w:val="-1"/>
          <w:sz w:val="22"/>
          <w:szCs w:val="22"/>
        </w:rPr>
        <w:t>;</w:t>
      </w:r>
      <w:r w:rsidR="003065AE">
        <w:rPr>
          <w:rFonts w:ascii="Calibri" w:eastAsia="Calibri" w:hAnsi="Calibri" w:cs="Calibri"/>
          <w:bCs/>
          <w:spacing w:val="-1"/>
          <w:sz w:val="22"/>
          <w:szCs w:val="22"/>
        </w:rPr>
        <w:t xml:space="preserve"> </w:t>
      </w:r>
      <w:r w:rsidR="00445BFF">
        <w:rPr>
          <w:rFonts w:ascii="Calibri" w:eastAsia="Calibri" w:hAnsi="Calibri" w:cs="Calibri"/>
          <w:bCs/>
          <w:spacing w:val="-1"/>
          <w:sz w:val="22"/>
          <w:szCs w:val="22"/>
        </w:rPr>
        <w:t xml:space="preserve">(iii) </w:t>
      </w:r>
      <w:r w:rsidR="003065AE">
        <w:rPr>
          <w:rFonts w:ascii="Calibri" w:eastAsia="Calibri" w:hAnsi="Calibri" w:cs="Calibri"/>
          <w:bCs/>
          <w:spacing w:val="-1"/>
          <w:sz w:val="22"/>
          <w:szCs w:val="22"/>
        </w:rPr>
        <w:t>ICT</w:t>
      </w:r>
      <w:r w:rsidR="00BB3F78">
        <w:rPr>
          <w:rFonts w:ascii="Calibri" w:eastAsia="Calibri" w:hAnsi="Calibri" w:cs="Calibri"/>
          <w:bCs/>
          <w:spacing w:val="-1"/>
          <w:sz w:val="22"/>
          <w:szCs w:val="22"/>
        </w:rPr>
        <w:t>;</w:t>
      </w:r>
      <w:r w:rsidR="00BA51D7">
        <w:rPr>
          <w:rFonts w:ascii="Calibri" w:eastAsia="Calibri" w:hAnsi="Calibri" w:cs="Calibri"/>
          <w:bCs/>
          <w:spacing w:val="-1"/>
          <w:sz w:val="22"/>
          <w:szCs w:val="22"/>
        </w:rPr>
        <w:t xml:space="preserve"> </w:t>
      </w:r>
      <w:r w:rsidR="00445BFF">
        <w:rPr>
          <w:rFonts w:ascii="Calibri" w:eastAsia="Calibri" w:hAnsi="Calibri" w:cs="Calibri"/>
          <w:bCs/>
          <w:spacing w:val="-1"/>
          <w:sz w:val="22"/>
          <w:szCs w:val="22"/>
        </w:rPr>
        <w:t xml:space="preserve">(iv) </w:t>
      </w:r>
      <w:r w:rsidR="00BA51D7">
        <w:rPr>
          <w:rFonts w:ascii="Calibri" w:eastAsia="Calibri" w:hAnsi="Calibri" w:cs="Calibri"/>
          <w:bCs/>
          <w:spacing w:val="-1"/>
          <w:sz w:val="22"/>
          <w:szCs w:val="22"/>
        </w:rPr>
        <w:t>infectious diseases</w:t>
      </w:r>
      <w:r w:rsidR="00BB3F78">
        <w:rPr>
          <w:rFonts w:ascii="Calibri" w:eastAsia="Calibri" w:hAnsi="Calibri" w:cs="Calibri"/>
          <w:bCs/>
          <w:spacing w:val="-1"/>
          <w:sz w:val="22"/>
          <w:szCs w:val="22"/>
        </w:rPr>
        <w:t>;</w:t>
      </w:r>
      <w:r w:rsidR="00BA51D7">
        <w:rPr>
          <w:rFonts w:ascii="Calibri" w:eastAsia="Calibri" w:hAnsi="Calibri" w:cs="Calibri"/>
          <w:bCs/>
          <w:spacing w:val="-1"/>
          <w:sz w:val="22"/>
          <w:szCs w:val="22"/>
        </w:rPr>
        <w:t xml:space="preserve"> and </w:t>
      </w:r>
      <w:r w:rsidR="009C0654">
        <w:rPr>
          <w:rFonts w:ascii="Calibri" w:eastAsia="Calibri" w:hAnsi="Calibri" w:cs="Calibri"/>
          <w:bCs/>
          <w:spacing w:val="-1"/>
          <w:sz w:val="22"/>
          <w:szCs w:val="22"/>
        </w:rPr>
        <w:t xml:space="preserve">(v) </w:t>
      </w:r>
      <w:r w:rsidR="00BA51D7">
        <w:rPr>
          <w:rFonts w:ascii="Calibri" w:eastAsia="Calibri" w:hAnsi="Calibri" w:cs="Calibri"/>
          <w:bCs/>
          <w:spacing w:val="-1"/>
          <w:sz w:val="22"/>
          <w:szCs w:val="22"/>
        </w:rPr>
        <w:t xml:space="preserve">sustainable power. </w:t>
      </w:r>
      <w:r w:rsidR="00960F3E" w:rsidRPr="002E1A3F">
        <w:rPr>
          <w:rFonts w:ascii="Calibri" w:eastAsia="Calibri" w:hAnsi="Calibri" w:cs="Calibri"/>
          <w:bCs/>
          <w:spacing w:val="-1"/>
          <w:sz w:val="22"/>
          <w:szCs w:val="22"/>
        </w:rPr>
        <w:t>The implementation scheme is currently being discussed with the World Bank and the centers to address critical needs (aligned with the DLIs), avoid duplication and minimize complexity. The AFD grant will fund: research performing organizations, higher education institutions</w:t>
      </w:r>
      <w:r w:rsidR="00FE2CA0">
        <w:rPr>
          <w:rFonts w:ascii="Calibri" w:eastAsia="Calibri" w:hAnsi="Calibri" w:cs="Calibri"/>
          <w:bCs/>
          <w:spacing w:val="-1"/>
          <w:sz w:val="22"/>
          <w:szCs w:val="22"/>
        </w:rPr>
        <w:t>,</w:t>
      </w:r>
      <w:r w:rsidR="00960F3E" w:rsidRPr="002E1A3F">
        <w:rPr>
          <w:rFonts w:ascii="Calibri" w:eastAsia="Calibri" w:hAnsi="Calibri" w:cs="Calibri"/>
          <w:bCs/>
          <w:spacing w:val="-1"/>
          <w:sz w:val="22"/>
          <w:szCs w:val="22"/>
        </w:rPr>
        <w:t xml:space="preserve"> and </w:t>
      </w:r>
      <w:r w:rsidR="00CB6825">
        <w:rPr>
          <w:rFonts w:ascii="Calibri" w:eastAsia="Calibri" w:hAnsi="Calibri" w:cs="Calibri"/>
          <w:bCs/>
          <w:spacing w:val="-1"/>
          <w:sz w:val="22"/>
          <w:szCs w:val="22"/>
        </w:rPr>
        <w:t>quality assurance</w:t>
      </w:r>
      <w:r w:rsidR="00CB6825" w:rsidRPr="002E1A3F">
        <w:rPr>
          <w:rFonts w:ascii="Calibri" w:eastAsia="Calibri" w:hAnsi="Calibri" w:cs="Calibri"/>
          <w:bCs/>
          <w:spacing w:val="-1"/>
          <w:sz w:val="22"/>
          <w:szCs w:val="22"/>
        </w:rPr>
        <w:t xml:space="preserve"> </w:t>
      </w:r>
      <w:r w:rsidR="00960F3E" w:rsidRPr="002E1A3F">
        <w:rPr>
          <w:rFonts w:ascii="Calibri" w:eastAsia="Calibri" w:hAnsi="Calibri" w:cs="Calibri"/>
          <w:bCs/>
          <w:spacing w:val="-1"/>
          <w:sz w:val="22"/>
          <w:szCs w:val="22"/>
        </w:rPr>
        <w:t xml:space="preserve">experts to support these interventions. </w:t>
      </w:r>
      <w:r w:rsidR="008C41E3">
        <w:rPr>
          <w:rFonts w:ascii="Calibri" w:eastAsia="Calibri" w:hAnsi="Calibri" w:cs="Calibri"/>
          <w:bCs/>
          <w:spacing w:val="-1"/>
          <w:sz w:val="22"/>
          <w:szCs w:val="22"/>
        </w:rPr>
        <w:t xml:space="preserve">The </w:t>
      </w:r>
      <w:r w:rsidR="007F2303">
        <w:rPr>
          <w:rFonts w:ascii="Calibri" w:eastAsia="Calibri" w:hAnsi="Calibri" w:cs="Calibri"/>
          <w:bCs/>
          <w:spacing w:val="-1"/>
          <w:sz w:val="22"/>
          <w:szCs w:val="22"/>
        </w:rPr>
        <w:t xml:space="preserve">French </w:t>
      </w:r>
      <w:r w:rsidR="00D85568">
        <w:rPr>
          <w:rFonts w:ascii="Calibri" w:eastAsia="Calibri" w:hAnsi="Calibri" w:cs="Calibri"/>
          <w:bCs/>
          <w:spacing w:val="-1"/>
          <w:sz w:val="22"/>
          <w:szCs w:val="22"/>
        </w:rPr>
        <w:t>National Research Instit</w:t>
      </w:r>
      <w:r w:rsidR="00325A5E">
        <w:rPr>
          <w:rFonts w:ascii="Calibri" w:eastAsia="Calibri" w:hAnsi="Calibri" w:cs="Calibri"/>
          <w:bCs/>
          <w:spacing w:val="-1"/>
          <w:sz w:val="22"/>
          <w:szCs w:val="22"/>
        </w:rPr>
        <w:t xml:space="preserve">ute for </w:t>
      </w:r>
      <w:r w:rsidR="00533C1B">
        <w:rPr>
          <w:rFonts w:ascii="Calibri" w:eastAsia="Calibri" w:hAnsi="Calibri" w:cs="Calibri"/>
          <w:bCs/>
          <w:spacing w:val="-1"/>
          <w:sz w:val="22"/>
          <w:szCs w:val="22"/>
        </w:rPr>
        <w:t xml:space="preserve">Sustainable </w:t>
      </w:r>
      <w:r w:rsidR="008C41E3" w:rsidRPr="00F10BBD">
        <w:rPr>
          <w:rFonts w:asciiTheme="minorHAnsi" w:eastAsiaTheme="minorHAnsi" w:hAnsiTheme="minorHAnsi" w:cstheme="minorBidi"/>
          <w:color w:val="auto"/>
          <w:sz w:val="22"/>
          <w:szCs w:val="22"/>
        </w:rPr>
        <w:t xml:space="preserve">Development </w:t>
      </w:r>
      <w:r w:rsidR="005E2986" w:rsidRPr="00F10BBD">
        <w:rPr>
          <w:rFonts w:asciiTheme="minorHAnsi" w:eastAsiaTheme="minorHAnsi" w:hAnsiTheme="minorHAnsi" w:cstheme="minorBidi"/>
          <w:color w:val="auto"/>
          <w:sz w:val="22"/>
          <w:szCs w:val="22"/>
        </w:rPr>
        <w:t>(</w:t>
      </w:r>
      <w:r w:rsidR="005E2986" w:rsidRPr="000C46A6">
        <w:rPr>
          <w:rFonts w:asciiTheme="minorHAnsi" w:eastAsiaTheme="minorHAnsi" w:hAnsiTheme="minorHAnsi" w:cstheme="minorBidi"/>
          <w:i/>
          <w:color w:val="auto"/>
          <w:sz w:val="22"/>
          <w:szCs w:val="22"/>
        </w:rPr>
        <w:t>Institut de Recherche pour le Développement</w:t>
      </w:r>
      <w:r w:rsidR="008C41E3" w:rsidRPr="00F10BBD">
        <w:rPr>
          <w:rFonts w:asciiTheme="minorHAnsi" w:eastAsiaTheme="minorHAnsi" w:hAnsiTheme="minorHAnsi" w:cstheme="minorBidi"/>
          <w:color w:val="auto"/>
          <w:sz w:val="22"/>
          <w:szCs w:val="22"/>
        </w:rPr>
        <w:t xml:space="preserve"> </w:t>
      </w:r>
      <w:r w:rsidR="008C41E3">
        <w:rPr>
          <w:rFonts w:asciiTheme="minorHAnsi" w:eastAsiaTheme="minorHAnsi" w:hAnsiTheme="minorHAnsi" w:cstheme="minorBidi"/>
          <w:color w:val="auto"/>
          <w:sz w:val="22"/>
          <w:szCs w:val="22"/>
        </w:rPr>
        <w:t>-</w:t>
      </w:r>
      <w:r w:rsidR="005E2986">
        <w:rPr>
          <w:rFonts w:ascii="Calibri" w:eastAsia="Calibri" w:hAnsi="Calibri" w:cs="Calibri"/>
          <w:bCs/>
          <w:spacing w:val="-1"/>
          <w:sz w:val="22"/>
          <w:szCs w:val="22"/>
        </w:rPr>
        <w:t xml:space="preserve"> </w:t>
      </w:r>
      <w:r w:rsidR="00616042">
        <w:rPr>
          <w:rFonts w:ascii="Calibri" w:eastAsia="Calibri" w:hAnsi="Calibri" w:cs="Calibri"/>
          <w:bCs/>
          <w:spacing w:val="-1"/>
          <w:sz w:val="22"/>
          <w:szCs w:val="22"/>
        </w:rPr>
        <w:t>IRD</w:t>
      </w:r>
      <w:r w:rsidR="005E2986">
        <w:rPr>
          <w:rFonts w:ascii="Calibri" w:eastAsia="Calibri" w:hAnsi="Calibri" w:cs="Calibri"/>
          <w:bCs/>
          <w:spacing w:val="-1"/>
          <w:sz w:val="22"/>
          <w:szCs w:val="22"/>
        </w:rPr>
        <w:t>)</w:t>
      </w:r>
      <w:r w:rsidR="00616042">
        <w:rPr>
          <w:rFonts w:ascii="Calibri" w:eastAsia="Calibri" w:hAnsi="Calibri" w:cs="Calibri"/>
          <w:bCs/>
          <w:spacing w:val="-1"/>
          <w:sz w:val="22"/>
          <w:szCs w:val="22"/>
        </w:rPr>
        <w:t xml:space="preserve"> will serve as the technical </w:t>
      </w:r>
      <w:r w:rsidR="00787424">
        <w:rPr>
          <w:rFonts w:ascii="Calibri" w:eastAsia="Calibri" w:hAnsi="Calibri" w:cs="Calibri"/>
          <w:bCs/>
          <w:spacing w:val="-1"/>
          <w:sz w:val="22"/>
          <w:szCs w:val="22"/>
        </w:rPr>
        <w:t xml:space="preserve">coordinating </w:t>
      </w:r>
      <w:r w:rsidR="006A3934">
        <w:rPr>
          <w:rFonts w:ascii="Calibri" w:eastAsia="Calibri" w:hAnsi="Calibri" w:cs="Calibri"/>
          <w:bCs/>
          <w:spacing w:val="-1"/>
          <w:sz w:val="22"/>
          <w:szCs w:val="22"/>
        </w:rPr>
        <w:t xml:space="preserve">agency for the regional grant. </w:t>
      </w:r>
      <w:r w:rsidR="00731472">
        <w:rPr>
          <w:rFonts w:ascii="Calibri" w:eastAsia="Calibri" w:hAnsi="Calibri" w:cs="Calibri"/>
          <w:bCs/>
          <w:spacing w:val="-1"/>
          <w:sz w:val="22"/>
          <w:szCs w:val="22"/>
        </w:rPr>
        <w:t>T</w:t>
      </w:r>
      <w:r w:rsidR="006461DC">
        <w:rPr>
          <w:rFonts w:ascii="Calibri" w:eastAsia="Calibri" w:hAnsi="Calibri" w:cs="Calibri"/>
          <w:bCs/>
          <w:spacing w:val="-1"/>
          <w:sz w:val="22"/>
          <w:szCs w:val="22"/>
        </w:rPr>
        <w:t xml:space="preserve">he </w:t>
      </w:r>
      <w:r w:rsidR="00294CE8">
        <w:rPr>
          <w:rFonts w:ascii="Calibri" w:eastAsia="Calibri" w:hAnsi="Calibri" w:cs="Calibri"/>
          <w:bCs/>
          <w:spacing w:val="-1"/>
          <w:sz w:val="22"/>
          <w:szCs w:val="22"/>
        </w:rPr>
        <w:t>approval of</w:t>
      </w:r>
      <w:r w:rsidR="006461DC">
        <w:rPr>
          <w:rFonts w:ascii="Calibri" w:eastAsia="Calibri" w:hAnsi="Calibri" w:cs="Calibri"/>
          <w:bCs/>
          <w:spacing w:val="-1"/>
          <w:sz w:val="22"/>
          <w:szCs w:val="22"/>
        </w:rPr>
        <w:t xml:space="preserve"> </w:t>
      </w:r>
      <w:r w:rsidR="00904292">
        <w:rPr>
          <w:rFonts w:ascii="Calibri" w:eastAsia="Calibri" w:hAnsi="Calibri" w:cs="Calibri"/>
          <w:bCs/>
          <w:spacing w:val="-1"/>
          <w:sz w:val="22"/>
          <w:szCs w:val="22"/>
        </w:rPr>
        <w:t xml:space="preserve">the </w:t>
      </w:r>
      <w:r w:rsidR="00294CE8">
        <w:rPr>
          <w:rFonts w:ascii="Calibri" w:eastAsia="Calibri" w:hAnsi="Calibri" w:cs="Calibri"/>
          <w:bCs/>
          <w:spacing w:val="-1"/>
          <w:sz w:val="22"/>
          <w:szCs w:val="22"/>
        </w:rPr>
        <w:t>Nigeria</w:t>
      </w:r>
      <w:r w:rsidR="0013452B">
        <w:rPr>
          <w:rFonts w:ascii="Calibri" w:eastAsia="Calibri" w:hAnsi="Calibri" w:cs="Calibri"/>
          <w:bCs/>
          <w:spacing w:val="-1"/>
          <w:sz w:val="22"/>
          <w:szCs w:val="22"/>
        </w:rPr>
        <w:t xml:space="preserve"> </w:t>
      </w:r>
      <w:r w:rsidR="00294CE8">
        <w:rPr>
          <w:rFonts w:ascii="Calibri" w:eastAsia="Calibri" w:hAnsi="Calibri" w:cs="Calibri"/>
          <w:bCs/>
          <w:spacing w:val="-1"/>
          <w:sz w:val="22"/>
          <w:szCs w:val="22"/>
        </w:rPr>
        <w:t xml:space="preserve">and Benin projects by the AFD Board of Directors are expected </w:t>
      </w:r>
      <w:r w:rsidR="001B5A26">
        <w:rPr>
          <w:rFonts w:ascii="Calibri" w:eastAsia="Calibri" w:hAnsi="Calibri" w:cs="Calibri"/>
          <w:bCs/>
          <w:spacing w:val="-1"/>
          <w:sz w:val="22"/>
          <w:szCs w:val="22"/>
        </w:rPr>
        <w:t xml:space="preserve">in </w:t>
      </w:r>
      <w:r w:rsidR="00294CE8">
        <w:rPr>
          <w:rFonts w:ascii="Calibri" w:eastAsia="Calibri" w:hAnsi="Calibri" w:cs="Calibri"/>
          <w:bCs/>
          <w:spacing w:val="-1"/>
          <w:sz w:val="22"/>
          <w:szCs w:val="22"/>
        </w:rPr>
        <w:t xml:space="preserve">December 2019 and </w:t>
      </w:r>
      <w:r w:rsidR="000C475D">
        <w:rPr>
          <w:rFonts w:ascii="Calibri" w:eastAsia="Calibri" w:hAnsi="Calibri" w:cs="Calibri"/>
          <w:bCs/>
          <w:spacing w:val="-1"/>
          <w:sz w:val="22"/>
          <w:szCs w:val="22"/>
        </w:rPr>
        <w:t xml:space="preserve">January </w:t>
      </w:r>
      <w:r w:rsidR="00294CE8">
        <w:rPr>
          <w:rFonts w:ascii="Calibri" w:eastAsia="Calibri" w:hAnsi="Calibri" w:cs="Calibri"/>
          <w:bCs/>
          <w:spacing w:val="-1"/>
          <w:sz w:val="22"/>
          <w:szCs w:val="22"/>
        </w:rPr>
        <w:t>2020, respectively</w:t>
      </w:r>
      <w:r w:rsidR="00960F3E" w:rsidRPr="002E1A3F">
        <w:rPr>
          <w:rFonts w:ascii="Calibri" w:eastAsia="Calibri" w:hAnsi="Calibri" w:cs="Calibri"/>
          <w:bCs/>
          <w:spacing w:val="-1"/>
          <w:sz w:val="22"/>
          <w:szCs w:val="22"/>
        </w:rPr>
        <w:t>.</w:t>
      </w:r>
      <w:r w:rsidR="00960F3E" w:rsidRPr="002E1A3F">
        <w:rPr>
          <w:rFonts w:ascii="Calibri" w:eastAsia="Calibri" w:hAnsi="Calibri" w:cs="Calibri"/>
          <w:sz w:val="22"/>
          <w:szCs w:val="22"/>
        </w:rPr>
        <w:t xml:space="preserve">  </w:t>
      </w:r>
      <w:r w:rsidR="007D4561">
        <w:rPr>
          <w:rFonts w:ascii="Calibri" w:eastAsia="Calibri" w:hAnsi="Calibri" w:cs="Calibri"/>
          <w:sz w:val="22"/>
          <w:szCs w:val="22"/>
        </w:rPr>
        <w:t xml:space="preserve">In addition, AFD will finance </w:t>
      </w:r>
      <w:r w:rsidR="00977D98">
        <w:rPr>
          <w:rFonts w:ascii="Calibri" w:eastAsia="Calibri" w:hAnsi="Calibri" w:cs="Calibri"/>
          <w:sz w:val="22"/>
          <w:szCs w:val="22"/>
        </w:rPr>
        <w:t>C</w:t>
      </w:r>
      <w:r w:rsidR="00B04A2E">
        <w:rPr>
          <w:rFonts w:ascii="Calibri" w:eastAsia="Calibri" w:hAnsi="Calibri" w:cs="Calibri"/>
          <w:sz w:val="22"/>
          <w:szCs w:val="22"/>
        </w:rPr>
        <w:t>ô</w:t>
      </w:r>
      <w:r w:rsidR="00977D98">
        <w:rPr>
          <w:rFonts w:ascii="Calibri" w:eastAsia="Calibri" w:hAnsi="Calibri" w:cs="Calibri"/>
          <w:sz w:val="22"/>
          <w:szCs w:val="22"/>
        </w:rPr>
        <w:t xml:space="preserve">te d’Ivoire in </w:t>
      </w:r>
      <w:r w:rsidR="007D4561">
        <w:rPr>
          <w:rFonts w:ascii="Calibri" w:eastAsia="Calibri" w:hAnsi="Calibri" w:cs="Calibri"/>
          <w:sz w:val="22"/>
          <w:szCs w:val="22"/>
        </w:rPr>
        <w:t>a separate but related project</w:t>
      </w:r>
      <w:r w:rsidR="00222957">
        <w:rPr>
          <w:rFonts w:ascii="Calibri" w:eastAsia="Calibri" w:hAnsi="Calibri" w:cs="Calibri"/>
          <w:sz w:val="22"/>
          <w:szCs w:val="22"/>
        </w:rPr>
        <w:t>. The funding</w:t>
      </w:r>
      <w:r w:rsidR="007D4561">
        <w:rPr>
          <w:rFonts w:ascii="Calibri" w:eastAsia="Calibri" w:hAnsi="Calibri" w:cs="Calibri"/>
          <w:sz w:val="22"/>
          <w:szCs w:val="22"/>
        </w:rPr>
        <w:t xml:space="preserve"> allocation for that project </w:t>
      </w:r>
      <w:r w:rsidR="00274D4F">
        <w:rPr>
          <w:rFonts w:ascii="Calibri" w:eastAsia="Calibri" w:hAnsi="Calibri" w:cs="Calibri"/>
          <w:sz w:val="22"/>
          <w:szCs w:val="22"/>
        </w:rPr>
        <w:t>was</w:t>
      </w:r>
      <w:r w:rsidR="007D4561">
        <w:rPr>
          <w:rFonts w:ascii="Calibri" w:eastAsia="Calibri" w:hAnsi="Calibri" w:cs="Calibri"/>
          <w:sz w:val="22"/>
          <w:szCs w:val="22"/>
        </w:rPr>
        <w:t xml:space="preserve"> approved by the AFD Board of Directors in July 2019.</w:t>
      </w:r>
    </w:p>
    <w:p w14:paraId="1D72F20A" w14:textId="77777777" w:rsidR="00846A55"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E1A3F">
        <w:rPr>
          <w:rFonts w:ascii="Calibri" w:eastAsia="Calibri" w:hAnsi="Calibri" w:cs="Calibri"/>
          <w:b/>
          <w:sz w:val="22"/>
          <w:szCs w:val="22"/>
          <w:lang w:val="en"/>
        </w:rPr>
        <w:t xml:space="preserve">Research chairs supported by </w:t>
      </w:r>
      <w:r w:rsidR="00974ACF">
        <w:rPr>
          <w:rFonts w:ascii="Calibri" w:eastAsia="Calibri" w:hAnsi="Calibri" w:cs="Calibri"/>
          <w:b/>
          <w:sz w:val="22"/>
          <w:szCs w:val="22"/>
          <w:lang w:val="en"/>
        </w:rPr>
        <w:t>DPs</w:t>
      </w:r>
      <w:r w:rsidRPr="002E1A3F">
        <w:rPr>
          <w:rFonts w:ascii="Calibri" w:eastAsia="Calibri" w:hAnsi="Calibri" w:cs="Calibri"/>
          <w:b/>
          <w:sz w:val="22"/>
          <w:szCs w:val="22"/>
          <w:lang w:val="en"/>
        </w:rPr>
        <w:t xml:space="preserve"> will provide additional resources and academic capacity to ACE Impact centers</w:t>
      </w:r>
      <w:r w:rsidRPr="002E1A3F">
        <w:rPr>
          <w:rFonts w:ascii="Calibri,Times New Roman" w:eastAsia="Calibri,Times New Roman" w:hAnsi="Calibri,Times New Roman" w:cs="Calibri,Times New Roman"/>
          <w:b/>
          <w:sz w:val="22"/>
          <w:szCs w:val="22"/>
          <w:lang w:val="en"/>
        </w:rPr>
        <w:t xml:space="preserve">. </w:t>
      </w:r>
      <w:r w:rsidRPr="002E1A3F">
        <w:rPr>
          <w:rFonts w:ascii="Calibri" w:eastAsia="Calibri" w:hAnsi="Calibri" w:cs="Calibri"/>
          <w:sz w:val="22"/>
          <w:szCs w:val="22"/>
          <w:lang w:val="en"/>
        </w:rPr>
        <w:t xml:space="preserve">The Canadian International Development Research Center (IDRC), the German Ministry of Education and Research </w:t>
      </w:r>
      <w:r w:rsidRPr="002E1A3F">
        <w:rPr>
          <w:rFonts w:ascii="Calibri" w:eastAsia="Calibri" w:hAnsi="Calibri" w:cs="Times New Roman"/>
          <w:i/>
          <w:color w:val="auto"/>
          <w:sz w:val="22"/>
          <w:szCs w:val="22"/>
        </w:rPr>
        <w:t>(Bundesministerium für Bildung und Forschung,</w:t>
      </w:r>
      <w:r w:rsidRPr="002E1A3F">
        <w:rPr>
          <w:rFonts w:ascii="Calibri" w:eastAsia="Calibri" w:hAnsi="Calibri" w:cs="Calibri"/>
          <w:sz w:val="22"/>
          <w:szCs w:val="22"/>
          <w:lang w:val="en"/>
        </w:rPr>
        <w:t xml:space="preserve"> BMBF) and the German Academic Exchange Service (</w:t>
      </w:r>
      <w:r w:rsidRPr="002E1A3F">
        <w:rPr>
          <w:rFonts w:ascii="Calibri" w:eastAsia="Calibri" w:hAnsi="Calibri" w:cs="Calibri"/>
          <w:i/>
          <w:sz w:val="22"/>
          <w:szCs w:val="22"/>
          <w:lang w:val="en"/>
        </w:rPr>
        <w:t>Deutscher Akademischer Austauschdienst</w:t>
      </w:r>
      <w:r w:rsidRPr="002E1A3F">
        <w:rPr>
          <w:rFonts w:ascii="Calibri" w:eastAsia="Calibri" w:hAnsi="Calibri" w:cs="Calibri"/>
          <w:sz w:val="22"/>
          <w:szCs w:val="22"/>
          <w:lang w:val="en"/>
        </w:rPr>
        <w:t>, DAAD) are considering financing research chairs at selected ACE Impact centers.</w:t>
      </w:r>
    </w:p>
    <w:p w14:paraId="7CFFACCE" w14:textId="67D1161F" w:rsidR="002E1A3F" w:rsidRPr="002E1A3F" w:rsidRDefault="00B00100" w:rsidP="006C70A5">
      <w:pPr>
        <w:widowControl/>
        <w:tabs>
          <w:tab w:val="left" w:pos="0"/>
          <w:tab w:val="left" w:pos="720"/>
        </w:tabs>
        <w:autoSpaceDE/>
        <w:autoSpaceDN/>
        <w:adjustRightInd/>
        <w:spacing w:after="240"/>
        <w:jc w:val="both"/>
        <w:rPr>
          <w:rFonts w:ascii="Calibri,Times New Roman" w:eastAsia="Calibri,Times New Roman" w:hAnsi="Calibri,Times New Roman" w:cs="Calibri,Times New Roman"/>
          <w:b/>
          <w:sz w:val="22"/>
          <w:szCs w:val="22"/>
        </w:rPr>
      </w:pPr>
      <w:r w:rsidRPr="002E1A3F">
        <w:rPr>
          <w:rFonts w:ascii="Calibri" w:eastAsia="Calibri" w:hAnsi="Calibri" w:cs="Calibri"/>
          <w:sz w:val="22"/>
          <w:szCs w:val="22"/>
          <w:lang w:val="en"/>
        </w:rPr>
        <w:lastRenderedPageBreak/>
        <w:t>These research chairs will further strengthen faculty capacity at the centers, leverage the centers’</w:t>
      </w:r>
      <w:r w:rsidRPr="002E1A3F">
        <w:rPr>
          <w:rFonts w:ascii="Calibri,Times New Roman" w:eastAsia="Calibri,Times New Roman" w:hAnsi="Calibri,Times New Roman" w:cs="Calibri,Times New Roman"/>
          <w:sz w:val="22"/>
          <w:szCs w:val="22"/>
          <w:lang w:val="en"/>
        </w:rPr>
        <w:t xml:space="preserve"> </w:t>
      </w:r>
      <w:r w:rsidRPr="002E1A3F">
        <w:rPr>
          <w:rFonts w:ascii="Calibri" w:eastAsia="Calibri" w:hAnsi="Calibri" w:cs="Calibri"/>
          <w:sz w:val="22"/>
          <w:szCs w:val="22"/>
          <w:lang w:val="en"/>
        </w:rPr>
        <w:t xml:space="preserve">resources to accelerate </w:t>
      </w:r>
      <w:r w:rsidR="00642487">
        <w:rPr>
          <w:rFonts w:ascii="Calibri" w:eastAsia="Calibri" w:hAnsi="Calibri" w:cs="Calibri"/>
          <w:sz w:val="22"/>
          <w:szCs w:val="22"/>
          <w:lang w:val="en"/>
        </w:rPr>
        <w:t>and sustain</w:t>
      </w:r>
      <w:r w:rsidR="005B4CD0">
        <w:rPr>
          <w:rFonts w:ascii="Calibri" w:eastAsia="Calibri" w:hAnsi="Calibri" w:cs="Calibri"/>
          <w:sz w:val="22"/>
          <w:szCs w:val="22"/>
          <w:lang w:val="en"/>
        </w:rPr>
        <w:t xml:space="preserve"> </w:t>
      </w:r>
      <w:r w:rsidRPr="002E1A3F">
        <w:rPr>
          <w:rFonts w:ascii="Calibri" w:eastAsia="Calibri" w:hAnsi="Calibri" w:cs="Calibri"/>
          <w:sz w:val="22"/>
          <w:szCs w:val="22"/>
          <w:lang w:val="en"/>
        </w:rPr>
        <w:t>research programs anchored in world-class academic practices and deepen partnerships with collaborators in the funding country.</w:t>
      </w:r>
    </w:p>
    <w:p w14:paraId="7795471B"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bCs/>
          <w:sz w:val="22"/>
          <w:szCs w:val="22"/>
        </w:rPr>
      </w:pPr>
      <w:r w:rsidRPr="002E1A3F">
        <w:rPr>
          <w:rFonts w:ascii="Calibri" w:eastAsia="Calibri" w:hAnsi="Calibri" w:cs="Calibri"/>
          <w:b/>
          <w:bCs/>
          <w:sz w:val="22"/>
          <w:szCs w:val="22"/>
        </w:rPr>
        <w:t xml:space="preserve">Additional support for academic partnerships with international collaborators </w:t>
      </w:r>
      <w:r w:rsidRPr="002E1A3F">
        <w:rPr>
          <w:rFonts w:ascii="Calibri" w:eastAsia="Calibri" w:hAnsi="Calibri" w:cs="Calibri"/>
          <w:sz w:val="22"/>
          <w:szCs w:val="22"/>
        </w:rPr>
        <w:t>is expected from leading research funding agencies and research organizations following the selection of ACE Impact centers. These agencies and organizations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will share the list of selected ACE Centers with a focus on researchers who have ongoing collaboration with African partners. Research funders includ</w:t>
      </w:r>
      <w:r w:rsidR="008A7634">
        <w:rPr>
          <w:rFonts w:ascii="Calibri" w:eastAsia="Calibri" w:hAnsi="Calibri" w:cs="Calibri"/>
          <w:sz w:val="22"/>
          <w:szCs w:val="22"/>
        </w:rPr>
        <w:t>e</w:t>
      </w:r>
      <w:r w:rsidRPr="002E1A3F">
        <w:rPr>
          <w:rFonts w:ascii="Calibri" w:eastAsia="Calibri" w:hAnsi="Calibri" w:cs="Calibri"/>
          <w:sz w:val="22"/>
          <w:szCs w:val="22"/>
        </w:rPr>
        <w:t xml:space="preserve"> the </w:t>
      </w:r>
      <w:r w:rsidRPr="002E1A3F">
        <w:rPr>
          <w:rFonts w:ascii="Calibri" w:eastAsia="Calibri" w:hAnsi="Calibri" w:cs="Times New Roman"/>
          <w:color w:val="auto"/>
          <w:sz w:val="22"/>
          <w:szCs w:val="22"/>
        </w:rPr>
        <w:t>French National Research Agency (</w:t>
      </w:r>
      <w:r w:rsidRPr="002E1A3F">
        <w:rPr>
          <w:rFonts w:ascii="Calibri" w:eastAsia="Calibri" w:hAnsi="Calibri" w:cs="Times New Roman"/>
          <w:i/>
          <w:color w:val="auto"/>
          <w:sz w:val="22"/>
          <w:szCs w:val="22"/>
        </w:rPr>
        <w:t>Agence Nationale de la Re</w:t>
      </w:r>
      <w:r w:rsidRPr="002E1A3F">
        <w:rPr>
          <w:rFonts w:ascii="Calibri" w:eastAsia="Calibri" w:hAnsi="Calibri" w:cs="Calibri"/>
          <w:i/>
          <w:sz w:val="22"/>
          <w:szCs w:val="22"/>
        </w:rPr>
        <w:t xml:space="preserve">cherche, </w:t>
      </w:r>
      <w:r w:rsidRPr="002E1A3F">
        <w:rPr>
          <w:rFonts w:ascii="Calibri" w:eastAsia="Calibri" w:hAnsi="Calibri" w:cs="Calibri"/>
          <w:sz w:val="22"/>
          <w:szCs w:val="22"/>
        </w:rPr>
        <w:t xml:space="preserve">ANR) (France), </w:t>
      </w:r>
      <w:r w:rsidR="008A7634">
        <w:rPr>
          <w:rFonts w:ascii="Calibri" w:eastAsia="Calibri" w:hAnsi="Calibri" w:cs="Calibri"/>
          <w:sz w:val="22"/>
          <w:szCs w:val="22"/>
        </w:rPr>
        <w:t xml:space="preserve">the </w:t>
      </w:r>
      <w:r w:rsidRPr="002E1A3F">
        <w:rPr>
          <w:rFonts w:ascii="Calibri" w:eastAsia="Calibri" w:hAnsi="Calibri" w:cs="Calibri"/>
          <w:sz w:val="22"/>
          <w:szCs w:val="22"/>
        </w:rPr>
        <w:t>German Research Foundation (</w:t>
      </w:r>
      <w:r w:rsidRPr="002E1A3F">
        <w:rPr>
          <w:rFonts w:ascii="Calibri" w:eastAsia="Calibri" w:hAnsi="Calibri" w:cs="Calibri"/>
          <w:i/>
          <w:sz w:val="22"/>
          <w:szCs w:val="22"/>
        </w:rPr>
        <w:t>Deutsche Forschungsgemeinschaft,</w:t>
      </w:r>
      <w:r w:rsidRPr="002E1A3F">
        <w:rPr>
          <w:rFonts w:ascii="Calibri" w:eastAsia="Calibri" w:hAnsi="Calibri" w:cs="Calibri"/>
          <w:sz w:val="22"/>
          <w:szCs w:val="22"/>
        </w:rPr>
        <w:t xml:space="preserve"> DFG) and BMBF/DLR (Germany), United Kingdom Research and Innovation (UKRI) and </w:t>
      </w:r>
      <w:r w:rsidR="008A7634">
        <w:rPr>
          <w:rFonts w:ascii="Calibri" w:eastAsia="Calibri" w:hAnsi="Calibri" w:cs="Calibri"/>
          <w:sz w:val="22"/>
          <w:szCs w:val="22"/>
        </w:rPr>
        <w:t xml:space="preserve">the </w:t>
      </w:r>
      <w:r w:rsidRPr="002E1A3F">
        <w:rPr>
          <w:rFonts w:ascii="Calibri" w:eastAsia="Calibri" w:hAnsi="Calibri" w:cs="Calibri"/>
          <w:sz w:val="22"/>
          <w:szCs w:val="22"/>
        </w:rPr>
        <w:t>United States National Science Foundation</w:t>
      </w:r>
      <w:r w:rsidR="00E854BC">
        <w:rPr>
          <w:rFonts w:ascii="Calibri" w:eastAsia="Calibri" w:hAnsi="Calibri" w:cs="Calibri"/>
          <w:sz w:val="22"/>
          <w:szCs w:val="22"/>
        </w:rPr>
        <w:t>, USA</w:t>
      </w:r>
      <w:r w:rsidRPr="002E1A3F">
        <w:rPr>
          <w:rFonts w:ascii="Calibri" w:eastAsia="Calibri" w:hAnsi="Calibri" w:cs="Calibri"/>
          <w:sz w:val="22"/>
          <w:szCs w:val="22"/>
        </w:rPr>
        <w:t xml:space="preserve"> (NSF) who have committed to workshops with ACE Impact centers on research topics of common interest and anticipate supporting research collaborations between their national researchers and ACE Impact centers.  DAAD has supported a study tour to Germany for selected center directors to facilitate connections and future collaborations. Research organizations including the </w:t>
      </w:r>
      <w:r w:rsidRPr="002E1A3F">
        <w:rPr>
          <w:rFonts w:ascii="Calibri" w:eastAsia="Calibri" w:hAnsi="Calibri" w:cs="Times New Roman"/>
          <w:color w:val="auto"/>
          <w:sz w:val="22"/>
          <w:szCs w:val="22"/>
        </w:rPr>
        <w:t>National Center for Scientific Research (</w:t>
      </w:r>
      <w:hyperlink r:id="rId34" w:history="1">
        <w:r w:rsidRPr="002E1A3F">
          <w:rPr>
            <w:rFonts w:ascii="Calibri" w:eastAsia="Calibri" w:hAnsi="Calibri" w:cs="Times New Roman"/>
            <w:i/>
            <w:color w:val="auto"/>
            <w:sz w:val="22"/>
            <w:szCs w:val="22"/>
          </w:rPr>
          <w:t>Center National de la Recherche Scientifique</w:t>
        </w:r>
      </w:hyperlink>
      <w:r w:rsidRPr="002E1A3F">
        <w:rPr>
          <w:rFonts w:eastAsia="Times New Roman"/>
        </w:rPr>
        <w:t>,</w:t>
      </w:r>
      <w:r w:rsidRPr="002E1A3F">
        <w:rPr>
          <w:rFonts w:ascii="Calibri" w:eastAsia="Calibri" w:hAnsi="Calibri" w:cs="Times New Roman"/>
          <w:color w:val="auto"/>
          <w:sz w:val="22"/>
          <w:szCs w:val="22"/>
        </w:rPr>
        <w:t xml:space="preserve"> </w:t>
      </w:r>
      <w:r w:rsidRPr="002E1A3F">
        <w:rPr>
          <w:rFonts w:ascii="Calibri" w:eastAsia="Calibri" w:hAnsi="Calibri" w:cs="Calibri"/>
          <w:sz w:val="22"/>
          <w:szCs w:val="22"/>
        </w:rPr>
        <w:t xml:space="preserve">CNRS) and </w:t>
      </w:r>
      <w:r w:rsidR="00CB5DDB">
        <w:rPr>
          <w:rFonts w:ascii="Calibri" w:eastAsia="Calibri" w:hAnsi="Calibri" w:cs="Calibri"/>
          <w:sz w:val="22"/>
          <w:szCs w:val="22"/>
        </w:rPr>
        <w:t>the</w:t>
      </w:r>
      <w:r w:rsidRPr="002E1A3F">
        <w:rPr>
          <w:rFonts w:ascii="Calibri" w:eastAsia="Calibri" w:hAnsi="Calibri" w:cs="Calibri"/>
          <w:sz w:val="22"/>
          <w:szCs w:val="22"/>
        </w:rPr>
        <w:t xml:space="preserve"> IRD already provide financial support to researchers associated with centers planning on responding to the Call for Proposals.</w:t>
      </w:r>
      <w:r w:rsidR="005B4CD0">
        <w:rPr>
          <w:rFonts w:ascii="Calibri" w:eastAsia="Calibri" w:hAnsi="Calibri" w:cs="Calibri"/>
          <w:sz w:val="22"/>
          <w:szCs w:val="22"/>
        </w:rPr>
        <w:t xml:space="preserve"> </w:t>
      </w:r>
      <w:r w:rsidR="00367198">
        <w:rPr>
          <w:rFonts w:ascii="Calibri" w:eastAsia="Calibri" w:hAnsi="Calibri" w:cs="Calibri"/>
          <w:sz w:val="22"/>
          <w:szCs w:val="22"/>
        </w:rPr>
        <w:t>For Centers to achieve long-term financial sustainability, it is essential that they seek and obtain competitive research funding</w:t>
      </w:r>
      <w:r w:rsidR="00133887">
        <w:rPr>
          <w:rFonts w:ascii="Calibri" w:eastAsia="Calibri" w:hAnsi="Calibri" w:cs="Calibri"/>
          <w:sz w:val="22"/>
          <w:szCs w:val="22"/>
        </w:rPr>
        <w:t>.</w:t>
      </w:r>
    </w:p>
    <w:p w14:paraId="34D5C2C8"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sz w:val="22"/>
          <w:szCs w:val="22"/>
        </w:rPr>
      </w:pPr>
      <w:r w:rsidRPr="002E1A3F">
        <w:rPr>
          <w:rFonts w:ascii="Calibri" w:eastAsia="Calibri" w:hAnsi="Calibri" w:cs="Calibri"/>
          <w:b/>
          <w:bCs/>
          <w:sz w:val="22"/>
          <w:szCs w:val="22"/>
        </w:rPr>
        <w:t xml:space="preserve">Several public and private sector partners in relevant sectors are expected to commit financial resources to ACE Impact centers. </w:t>
      </w:r>
      <w:r w:rsidRPr="002E1A3F">
        <w:rPr>
          <w:rFonts w:ascii="Calibri" w:eastAsia="Calibri" w:hAnsi="Calibri" w:cs="Calibri"/>
          <w:bCs/>
          <w:sz w:val="22"/>
          <w:szCs w:val="22"/>
        </w:rPr>
        <w:t>Industry and sectoral stakeholders are essential for ensuring long-term financial and academic sustainability of ACE Impact centers.</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3D9799CE" w14:textId="77777777" w:rsidTr="009277AD">
        <w:trPr>
          <w:trHeight w:val="80"/>
        </w:trPr>
        <w:tc>
          <w:tcPr>
            <w:tcW w:w="10710" w:type="dxa"/>
          </w:tcPr>
          <w:p w14:paraId="079E42C2" w14:textId="77777777" w:rsidR="002E1A3F" w:rsidRPr="002E1A3F" w:rsidRDefault="00B00100">
            <w:pPr>
              <w:keepNext/>
              <w:widowControl/>
              <w:autoSpaceDE/>
              <w:autoSpaceDN/>
              <w:adjustRightInd/>
              <w:spacing w:before="40"/>
              <w:outlineLvl w:val="1"/>
              <w:rPr>
                <w:rFonts w:ascii="Calibri" w:eastAsia="Times New Roman" w:hAnsi="Calibri" w:cs="Times New Roman"/>
                <w:b/>
                <w:color w:val="172D5F"/>
                <w:sz w:val="22"/>
                <w:szCs w:val="22"/>
              </w:rPr>
            </w:pPr>
            <w:bookmarkStart w:id="138" w:name="_Toc256000141"/>
            <w:bookmarkStart w:id="139" w:name="_Toc256000112"/>
            <w:bookmarkStart w:id="140" w:name="_Toc256000079"/>
            <w:bookmarkStart w:id="141" w:name="_Toc256000047"/>
            <w:bookmarkStart w:id="142" w:name="_Toc256000015"/>
            <w:bookmarkStart w:id="143" w:name="_Toc8301928"/>
            <w:bookmarkStart w:id="144" w:name="_Toc14789344"/>
            <w:bookmarkStart w:id="145" w:name="_Toc22655914"/>
            <w:bookmarkStart w:id="146" w:name="_Toc23779843"/>
            <w:bookmarkStart w:id="147" w:name="_Toc23866059"/>
            <w:bookmarkStart w:id="148" w:name="_Toc23930670"/>
            <w:r w:rsidRPr="002E1A3F">
              <w:rPr>
                <w:rFonts w:ascii="Calibri" w:eastAsia="Times New Roman" w:hAnsi="Calibri" w:cs="Times New Roman"/>
                <w:b/>
                <w:color w:val="172D5F"/>
                <w:sz w:val="22"/>
                <w:szCs w:val="22"/>
              </w:rPr>
              <w:t>F. Lessons Learned and Reflected in the Project Design</w:t>
            </w:r>
            <w:bookmarkEnd w:id="138"/>
            <w:bookmarkEnd w:id="139"/>
            <w:bookmarkEnd w:id="140"/>
            <w:bookmarkEnd w:id="141"/>
            <w:bookmarkEnd w:id="142"/>
            <w:bookmarkEnd w:id="143"/>
            <w:bookmarkEnd w:id="144"/>
            <w:bookmarkEnd w:id="145"/>
            <w:bookmarkEnd w:id="146"/>
            <w:bookmarkEnd w:id="147"/>
            <w:bookmarkEnd w:id="148"/>
          </w:p>
          <w:p w14:paraId="5D73C69F" w14:textId="77777777" w:rsidR="002E1A3F" w:rsidRPr="002E1A3F" w:rsidRDefault="002E1A3F" w:rsidP="00F463C2">
            <w:pPr>
              <w:widowControl/>
              <w:autoSpaceDE/>
              <w:autoSpaceDN/>
              <w:adjustRightInd/>
              <w:rPr>
                <w:rFonts w:ascii="Calibri Light" w:eastAsia="Calibri" w:hAnsi="Calibri Light" w:cs="Times New Roman"/>
                <w:color w:val="4472C4"/>
                <w:sz w:val="26"/>
                <w:szCs w:val="26"/>
              </w:rPr>
            </w:pPr>
          </w:p>
        </w:tc>
      </w:tr>
    </w:tbl>
    <w:p w14:paraId="7BF437B8" w14:textId="77777777" w:rsidR="002E1A3F" w:rsidRPr="002E1A3F" w:rsidRDefault="00B00100" w:rsidP="008E2709">
      <w:pPr>
        <w:widowControl/>
        <w:numPr>
          <w:ilvl w:val="0"/>
          <w:numId w:val="7"/>
        </w:numPr>
        <w:tabs>
          <w:tab w:val="left" w:pos="0"/>
          <w:tab w:val="left" w:pos="720"/>
        </w:tabs>
        <w:autoSpaceDE/>
        <w:autoSpaceDN/>
        <w:adjustRightInd/>
        <w:spacing w:after="12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bCs/>
          <w:sz w:val="22"/>
          <w:szCs w:val="22"/>
        </w:rPr>
        <w:t>The ACE Impact project</w:t>
      </w:r>
      <w:r w:rsidR="00371A77">
        <w:rPr>
          <w:rFonts w:ascii="Calibri" w:eastAsia="Calibri" w:hAnsi="Calibri" w:cs="Calibri"/>
          <w:b/>
          <w:bCs/>
          <w:sz w:val="22"/>
          <w:szCs w:val="22"/>
        </w:rPr>
        <w:t>s</w:t>
      </w:r>
      <w:r w:rsidRPr="002E1A3F">
        <w:rPr>
          <w:rFonts w:ascii="Calibri" w:eastAsia="Calibri" w:hAnsi="Calibri" w:cs="Calibri"/>
          <w:b/>
          <w:bCs/>
          <w:sz w:val="22"/>
          <w:szCs w:val="22"/>
        </w:rPr>
        <w:t xml:space="preserve"> benefit from lessons learned under the ACE I and ACE II projects as well as other World Bank-financed projects in other regions and global best practices. </w:t>
      </w:r>
      <w:r w:rsidRPr="002E1A3F">
        <w:rPr>
          <w:rFonts w:ascii="Calibri" w:eastAsia="Calibri" w:hAnsi="Calibri" w:cs="Calibri"/>
          <w:spacing w:val="-1"/>
          <w:sz w:val="22"/>
          <w:szCs w:val="22"/>
        </w:rPr>
        <w:t>Key drivers for successful ACE centers have been: capable faculty teams; strong government and university ownership; and visionary center directors</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that have attracted relevant international partners as well as additional donor funding</w:t>
      </w:r>
      <w:r w:rsidRPr="002E1A3F">
        <w:rPr>
          <w:rFonts w:ascii="Calibri,Times New Roman" w:eastAsia="Calibri,Times New Roman" w:hAnsi="Calibri,Times New Roman" w:cs="Calibri,Times New Roman"/>
          <w:spacing w:val="-1"/>
          <w:sz w:val="22"/>
          <w:szCs w:val="22"/>
        </w:rPr>
        <w:t>.</w:t>
      </w:r>
      <w:r w:rsidRPr="002E1A3F">
        <w:rPr>
          <w:rFonts w:ascii="Calibri" w:eastAsia="Calibri" w:hAnsi="Calibri" w:cs="Calibri"/>
          <w:spacing w:val="-1"/>
          <w:sz w:val="22"/>
          <w:szCs w:val="22"/>
        </w:rPr>
        <w:t xml:space="preserve"> Despite these achievements, the development impact of these centers can be further strengthened through: (i) more targeted selection of centers to more effectively respond to the regional demands for skills and research; (ii) improved upfront linkages to industry; (iii) increased institutional impact on the ACE host university; and (iv) better coordination with regional and international partners. The outcome of </w:t>
      </w:r>
      <w:r w:rsidRPr="002E1A3F">
        <w:rPr>
          <w:rFonts w:ascii="Calibri" w:eastAsia="Calibri" w:hAnsi="Calibri" w:cs="Calibri"/>
          <w:sz w:val="22"/>
          <w:szCs w:val="22"/>
        </w:rPr>
        <w:t xml:space="preserve">consultations with ACE I center leadership, experts involved in evaluating the current centers, national governments, Ministers of </w:t>
      </w:r>
      <w:r w:rsidR="00BE0447">
        <w:rPr>
          <w:rFonts w:ascii="Calibri" w:eastAsia="Calibri" w:hAnsi="Calibri" w:cs="Calibri"/>
          <w:sz w:val="22"/>
          <w:szCs w:val="22"/>
        </w:rPr>
        <w:t>E</w:t>
      </w:r>
      <w:r w:rsidRPr="002E1A3F">
        <w:rPr>
          <w:rFonts w:ascii="Calibri" w:eastAsia="Calibri" w:hAnsi="Calibri" w:cs="Calibri"/>
          <w:sz w:val="22"/>
          <w:szCs w:val="22"/>
        </w:rPr>
        <w:t>ducation, and World Bank staff (both at the country and GP levels) were incorporated into the design of th</w:t>
      </w:r>
      <w:r w:rsidRPr="002E1A3F">
        <w:rPr>
          <w:rFonts w:ascii="Calibri,Times New Roman" w:eastAsia="Calibri,Times New Roman" w:hAnsi="Calibri,Times New Roman" w:cs="Calibri,Times New Roman"/>
          <w:sz w:val="22"/>
          <w:szCs w:val="22"/>
        </w:rPr>
        <w:t xml:space="preserve">e </w:t>
      </w:r>
      <w:r w:rsidRPr="002E1A3F">
        <w:rPr>
          <w:rFonts w:ascii="Calibri" w:eastAsia="Calibri" w:hAnsi="Calibri" w:cs="Calibri"/>
          <w:sz w:val="22"/>
          <w:szCs w:val="22"/>
        </w:rPr>
        <w:t>First and Second</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ACE Impact projects (see </w:t>
      </w:r>
      <w:r w:rsidR="00126707">
        <w:rPr>
          <w:rFonts w:ascii="Calibri" w:eastAsia="Calibri" w:hAnsi="Calibri" w:cs="Calibri"/>
          <w:sz w:val="22"/>
          <w:szCs w:val="22"/>
        </w:rPr>
        <w:t xml:space="preserve">Table </w:t>
      </w:r>
      <w:r w:rsidR="00893F8E">
        <w:rPr>
          <w:rFonts w:ascii="Calibri" w:eastAsia="Calibri" w:hAnsi="Calibri" w:cs="Calibri"/>
          <w:sz w:val="22"/>
          <w:szCs w:val="22"/>
        </w:rPr>
        <w:t>A1</w:t>
      </w:r>
      <w:r w:rsidR="00BC30D6">
        <w:rPr>
          <w:rFonts w:ascii="Calibri" w:eastAsia="Calibri" w:hAnsi="Calibri" w:cs="Calibri"/>
          <w:sz w:val="22"/>
          <w:szCs w:val="22"/>
        </w:rPr>
        <w:t>.2</w:t>
      </w:r>
      <w:r w:rsidR="00893F8E">
        <w:rPr>
          <w:rFonts w:ascii="Calibri" w:eastAsia="Calibri" w:hAnsi="Calibri" w:cs="Calibri"/>
          <w:sz w:val="22"/>
          <w:szCs w:val="22"/>
        </w:rPr>
        <w:t xml:space="preserve"> in </w:t>
      </w:r>
      <w:r w:rsidR="00126707">
        <w:rPr>
          <w:rFonts w:ascii="Calibri" w:eastAsia="Calibri" w:hAnsi="Calibri" w:cs="Calibri"/>
          <w:sz w:val="22"/>
          <w:szCs w:val="22"/>
        </w:rPr>
        <w:t>Annex 1</w:t>
      </w:r>
      <w:r w:rsidR="00893F8E">
        <w:rPr>
          <w:rFonts w:ascii="Calibri" w:eastAsia="Calibri" w:hAnsi="Calibri" w:cs="Calibri"/>
          <w:sz w:val="22"/>
          <w:szCs w:val="22"/>
        </w:rPr>
        <w:t>)</w:t>
      </w:r>
      <w:r w:rsidRPr="002E1A3F">
        <w:rPr>
          <w:rFonts w:ascii="Calibri" w:eastAsia="Calibri" w:hAnsi="Calibri" w:cs="Calibri"/>
          <w:sz w:val="22"/>
          <w:szCs w:val="22"/>
        </w:rPr>
        <w:t xml:space="preserve"> for the summary of stakeholders consulted during project preparation)</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Lessons learned which have been incorporated into the project’s design, particularly in the Call for Proposals stage, evaluation and selection processes, the DLI disbursement and verification protocols and project implementation, include, </w:t>
      </w:r>
      <w:r w:rsidRPr="002E1A3F">
        <w:rPr>
          <w:rFonts w:ascii="Calibri" w:eastAsia="Calibri" w:hAnsi="Calibri" w:cs="Calibri"/>
          <w:i/>
          <w:sz w:val="22"/>
          <w:szCs w:val="22"/>
        </w:rPr>
        <w:t>inter alia</w:t>
      </w:r>
      <w:r w:rsidRPr="002E1A3F">
        <w:rPr>
          <w:rFonts w:ascii="Calibri,Times New Roman" w:eastAsia="Calibri,Times New Roman" w:hAnsi="Calibri,Times New Roman" w:cs="Calibri,Times New Roman"/>
          <w:sz w:val="22"/>
          <w:szCs w:val="22"/>
        </w:rPr>
        <w:t>:</w:t>
      </w:r>
    </w:p>
    <w:p w14:paraId="630A7D69" w14:textId="77777777" w:rsidR="002E1A3F" w:rsidRPr="002E1A3F" w:rsidRDefault="00B00100" w:rsidP="006C70A5">
      <w:pPr>
        <w:widowControl/>
        <w:numPr>
          <w:ilvl w:val="0"/>
          <w:numId w:val="46"/>
        </w:numPr>
        <w:autoSpaceDE/>
        <w:autoSpaceDN/>
        <w:adjustRightInd/>
        <w:spacing w:after="120"/>
        <w:ind w:left="1260" w:hanging="450"/>
        <w:jc w:val="both"/>
        <w:rPr>
          <w:rFonts w:ascii="Calibri" w:eastAsia="Calibri" w:hAnsi="Calibri" w:cs="Calibri"/>
          <w:b/>
          <w:bCs/>
          <w:spacing w:val="-1"/>
          <w:sz w:val="22"/>
          <w:szCs w:val="22"/>
        </w:rPr>
      </w:pPr>
      <w:r w:rsidRPr="002E1A3F">
        <w:rPr>
          <w:rFonts w:ascii="Calibri" w:eastAsia="Calibri" w:hAnsi="Calibri" w:cs="Calibri"/>
          <w:b/>
          <w:bCs/>
          <w:sz w:val="22"/>
          <w:szCs w:val="22"/>
        </w:rPr>
        <w:lastRenderedPageBreak/>
        <w:t>Strengthened regional focus</w:t>
      </w:r>
      <w:r w:rsidRPr="002E1A3F">
        <w:rPr>
          <w:rFonts w:ascii="Calibri,Times New Roman" w:eastAsia="Calibri,Times New Roman" w:hAnsi="Calibri,Times New Roman" w:cs="Calibri,Times New Roman"/>
          <w:b/>
          <w:bCs/>
          <w:sz w:val="22"/>
          <w:szCs w:val="22"/>
        </w:rPr>
        <w:t>:</w:t>
      </w:r>
      <w:r w:rsidRPr="002E1A3F">
        <w:rPr>
          <w:rFonts w:ascii="Calibri" w:eastAsia="Calibri" w:hAnsi="Calibri" w:cs="Calibri"/>
          <w:sz w:val="22"/>
          <w:szCs w:val="22"/>
        </w:rPr>
        <w:t xml:space="preserve"> While ACE I centers have been successful in recruiting regional students (approaching the ACE I </w:t>
      </w:r>
      <w:r w:rsidR="00BB4A89">
        <w:rPr>
          <w:rFonts w:ascii="Calibri" w:eastAsia="Calibri" w:hAnsi="Calibri" w:cs="Calibri"/>
          <w:sz w:val="22"/>
          <w:szCs w:val="22"/>
        </w:rPr>
        <w:t>P</w:t>
      </w:r>
      <w:r w:rsidRPr="002E1A3F">
        <w:rPr>
          <w:rFonts w:ascii="Calibri" w:eastAsia="Calibri" w:hAnsi="Calibri" w:cs="Calibri"/>
          <w:sz w:val="22"/>
          <w:szCs w:val="22"/>
        </w:rPr>
        <w:t>roject set target of 30 percent), there continues to be a need for stronger regional engagement of</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centers</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including improved industry/sectoral partnerships and strengthened political buy-in. The ACE Impact projects will incorporate a strong regional engagement through various channels, including ECOWAS’ participation on the PSC, and the introduction of a two-tiered regional steering committee wherein the Committee meets annually at the Ministerial level and more frequently at the government representative level.</w:t>
      </w:r>
      <w:r w:rsidRPr="002E1A3F">
        <w:rPr>
          <w:rFonts w:ascii="Calibri" w:eastAsia="Calibri" w:hAnsi="Calibri" w:cs="Calibri"/>
          <w:b/>
          <w:bCs/>
          <w:spacing w:val="-1"/>
          <w:sz w:val="22"/>
          <w:szCs w:val="22"/>
        </w:rPr>
        <w:t xml:space="preserve"> </w:t>
      </w:r>
    </w:p>
    <w:p w14:paraId="247A10D2" w14:textId="77777777" w:rsidR="002E1A3F" w:rsidRPr="002E1A3F" w:rsidRDefault="00B00100" w:rsidP="006C70A5">
      <w:pPr>
        <w:widowControl/>
        <w:numPr>
          <w:ilvl w:val="0"/>
          <w:numId w:val="46"/>
        </w:numPr>
        <w:autoSpaceDE/>
        <w:autoSpaceDN/>
        <w:adjustRightInd/>
        <w:spacing w:after="120"/>
        <w:ind w:left="1260" w:hanging="540"/>
        <w:jc w:val="both"/>
        <w:rPr>
          <w:rFonts w:ascii="Calibri" w:eastAsia="Calibri" w:hAnsi="Calibri" w:cs="Calibri"/>
          <w:b/>
          <w:bCs/>
          <w:sz w:val="22"/>
          <w:szCs w:val="22"/>
        </w:rPr>
      </w:pPr>
      <w:r w:rsidRPr="002E1A3F">
        <w:rPr>
          <w:rFonts w:ascii="Calibri" w:eastAsia="Calibri" w:hAnsi="Calibri" w:cs="Calibri"/>
          <w:b/>
          <w:bCs/>
          <w:sz w:val="22"/>
          <w:szCs w:val="22"/>
        </w:rPr>
        <w:t xml:space="preserve">Stronger national government and ministerial ownership: </w:t>
      </w:r>
      <w:r w:rsidRPr="002E1A3F">
        <w:rPr>
          <w:rFonts w:ascii="Calibri" w:eastAsia="Calibri" w:hAnsi="Calibri" w:cs="Calibri"/>
          <w:bCs/>
          <w:sz w:val="22"/>
          <w:szCs w:val="22"/>
        </w:rPr>
        <w:t xml:space="preserve">It was evident during the preparatory phase of the proposed project that some Ministers responsible for higher education and from countries participating in the ACE I </w:t>
      </w:r>
      <w:r w:rsidR="00BB4A89">
        <w:rPr>
          <w:rFonts w:ascii="Calibri" w:eastAsia="Calibri" w:hAnsi="Calibri" w:cs="Calibri"/>
          <w:bCs/>
          <w:sz w:val="22"/>
          <w:szCs w:val="22"/>
        </w:rPr>
        <w:t>P</w:t>
      </w:r>
      <w:r w:rsidRPr="002E1A3F">
        <w:rPr>
          <w:rFonts w:ascii="Calibri" w:eastAsia="Calibri" w:hAnsi="Calibri" w:cs="Calibri"/>
          <w:bCs/>
          <w:sz w:val="22"/>
          <w:szCs w:val="22"/>
        </w:rPr>
        <w:t xml:space="preserve">roject were not fully aware of the </w:t>
      </w:r>
      <w:r w:rsidR="002E319D">
        <w:rPr>
          <w:rFonts w:ascii="Calibri" w:eastAsia="Calibri" w:hAnsi="Calibri" w:cs="Calibri"/>
          <w:bCs/>
          <w:sz w:val="22"/>
          <w:szCs w:val="22"/>
        </w:rPr>
        <w:t>p</w:t>
      </w:r>
      <w:r w:rsidRPr="002E1A3F">
        <w:rPr>
          <w:rFonts w:ascii="Calibri" w:eastAsia="Calibri" w:hAnsi="Calibri" w:cs="Calibri"/>
          <w:bCs/>
          <w:sz w:val="22"/>
          <w:szCs w:val="22"/>
        </w:rPr>
        <w:t xml:space="preserve">roject nor the accomplishments of their national ACE I centers.  </w:t>
      </w:r>
      <w:r w:rsidR="00637586">
        <w:rPr>
          <w:rFonts w:ascii="Calibri" w:eastAsia="Calibri" w:hAnsi="Calibri" w:cs="Calibri"/>
          <w:bCs/>
          <w:sz w:val="22"/>
          <w:szCs w:val="22"/>
        </w:rPr>
        <w:t xml:space="preserve">The </w:t>
      </w:r>
      <w:r w:rsidRPr="002E1A3F">
        <w:rPr>
          <w:rFonts w:ascii="Calibri" w:eastAsia="Calibri" w:hAnsi="Calibri" w:cs="Calibri"/>
          <w:bCs/>
          <w:sz w:val="22"/>
          <w:szCs w:val="22"/>
        </w:rPr>
        <w:t xml:space="preserve">ACE Impact </w:t>
      </w:r>
      <w:r w:rsidR="00637586">
        <w:rPr>
          <w:rFonts w:ascii="Calibri" w:eastAsia="Calibri" w:hAnsi="Calibri" w:cs="Calibri"/>
          <w:bCs/>
          <w:sz w:val="22"/>
          <w:szCs w:val="22"/>
        </w:rPr>
        <w:t xml:space="preserve">projects </w:t>
      </w:r>
      <w:r w:rsidRPr="002E1A3F">
        <w:rPr>
          <w:rFonts w:ascii="Calibri" w:eastAsia="Calibri" w:hAnsi="Calibri" w:cs="Calibri"/>
          <w:bCs/>
          <w:sz w:val="22"/>
          <w:szCs w:val="22"/>
        </w:rPr>
        <w:t xml:space="preserve">in addition to the national steering committees (NSCs) will convene an annual Ministerial PSC meeting to ensure that Ministers are fully informed of the progress of the overall program and to ensure stronger ownership of the achievements of their national centers. It is envisioned that each participating government, as part of the mandate of its NSC, will develop a national plan aimed at supporting the sustainability of their centers beyond the World Bank’s funding. The NSC and national focal points will be critical in ensuring </w:t>
      </w:r>
      <w:r w:rsidR="005E3E18">
        <w:rPr>
          <w:rFonts w:ascii="Calibri" w:eastAsia="Calibri" w:hAnsi="Calibri" w:cs="Calibri"/>
          <w:bCs/>
          <w:sz w:val="22"/>
          <w:szCs w:val="22"/>
        </w:rPr>
        <w:t xml:space="preserve">that </w:t>
      </w:r>
      <w:r w:rsidRPr="002E1A3F">
        <w:rPr>
          <w:rFonts w:ascii="Calibri" w:eastAsia="Calibri" w:hAnsi="Calibri" w:cs="Calibri"/>
          <w:bCs/>
          <w:sz w:val="22"/>
          <w:szCs w:val="22"/>
        </w:rPr>
        <w:t>bottlenecks affecting their ACEs are solved at the country level.</w:t>
      </w:r>
      <w:r w:rsidRPr="002E1A3F">
        <w:rPr>
          <w:rFonts w:ascii="Calibri" w:eastAsia="Calibri" w:hAnsi="Calibri" w:cs="Calibri"/>
          <w:b/>
          <w:bCs/>
          <w:sz w:val="22"/>
          <w:szCs w:val="22"/>
        </w:rPr>
        <w:t xml:space="preserve"> </w:t>
      </w:r>
    </w:p>
    <w:p w14:paraId="79E3FC70" w14:textId="77777777" w:rsidR="002E1A3F" w:rsidRDefault="00B00100" w:rsidP="006C70A5">
      <w:pPr>
        <w:widowControl/>
        <w:numPr>
          <w:ilvl w:val="0"/>
          <w:numId w:val="46"/>
        </w:numPr>
        <w:autoSpaceDE/>
        <w:autoSpaceDN/>
        <w:adjustRightInd/>
        <w:spacing w:after="120"/>
        <w:ind w:left="1260" w:hanging="540"/>
        <w:jc w:val="both"/>
        <w:rPr>
          <w:rFonts w:ascii="Calibri" w:eastAsia="Calibri" w:hAnsi="Calibri" w:cs="Calibri"/>
          <w:b/>
          <w:bCs/>
          <w:sz w:val="22"/>
          <w:szCs w:val="22"/>
        </w:rPr>
      </w:pPr>
      <w:r w:rsidRPr="002E1A3F">
        <w:rPr>
          <w:rFonts w:ascii="Calibri" w:eastAsia="Calibri" w:hAnsi="Calibri" w:cs="Calibri"/>
          <w:b/>
          <w:bCs/>
          <w:sz w:val="22"/>
          <w:szCs w:val="22"/>
        </w:rPr>
        <w:t xml:space="preserve">Improved institutional ownership: </w:t>
      </w:r>
      <w:r w:rsidRPr="002E1A3F">
        <w:rPr>
          <w:rFonts w:ascii="Calibri" w:eastAsia="Calibri" w:hAnsi="Calibri" w:cs="Calibri"/>
          <w:bCs/>
          <w:sz w:val="22"/>
          <w:szCs w:val="22"/>
        </w:rPr>
        <w:t xml:space="preserve">In the ACE I </w:t>
      </w:r>
      <w:r w:rsidR="00BB4A89">
        <w:rPr>
          <w:rFonts w:ascii="Calibri" w:eastAsia="Calibri" w:hAnsi="Calibri" w:cs="Calibri"/>
          <w:bCs/>
          <w:sz w:val="22"/>
          <w:szCs w:val="22"/>
        </w:rPr>
        <w:t>P</w:t>
      </w:r>
      <w:r w:rsidRPr="002E1A3F">
        <w:rPr>
          <w:rFonts w:ascii="Calibri" w:eastAsia="Calibri" w:hAnsi="Calibri" w:cs="Calibri"/>
          <w:bCs/>
          <w:sz w:val="22"/>
          <w:szCs w:val="22"/>
        </w:rPr>
        <w:t xml:space="preserve">roject, there appears to be a reasonable correlation between an ACE center’s success and the institutional support </w:t>
      </w:r>
      <w:r w:rsidR="00B34AEB">
        <w:rPr>
          <w:rFonts w:ascii="Calibri" w:eastAsia="Calibri" w:hAnsi="Calibri" w:cs="Calibri"/>
          <w:bCs/>
          <w:sz w:val="22"/>
          <w:szCs w:val="22"/>
        </w:rPr>
        <w:t>it</w:t>
      </w:r>
      <w:r w:rsidRPr="002E1A3F">
        <w:rPr>
          <w:rFonts w:ascii="Calibri" w:eastAsia="Calibri" w:hAnsi="Calibri" w:cs="Calibri"/>
          <w:bCs/>
          <w:sz w:val="22"/>
          <w:szCs w:val="22"/>
        </w:rPr>
        <w:t xml:space="preserve"> receive</w:t>
      </w:r>
      <w:r w:rsidR="00B34AEB">
        <w:rPr>
          <w:rFonts w:ascii="Calibri" w:eastAsia="Calibri" w:hAnsi="Calibri" w:cs="Calibri"/>
          <w:bCs/>
          <w:sz w:val="22"/>
          <w:szCs w:val="22"/>
        </w:rPr>
        <w:t>s</w:t>
      </w:r>
      <w:r w:rsidRPr="002E1A3F">
        <w:rPr>
          <w:rFonts w:ascii="Calibri" w:eastAsia="Calibri" w:hAnsi="Calibri" w:cs="Calibri"/>
          <w:bCs/>
          <w:sz w:val="22"/>
          <w:szCs w:val="22"/>
        </w:rPr>
        <w:t>.  In the ACE Impact center selection process, there w</w:t>
      </w:r>
      <w:r w:rsidR="00762EAB">
        <w:rPr>
          <w:rFonts w:ascii="Calibri" w:eastAsia="Calibri" w:hAnsi="Calibri" w:cs="Calibri"/>
          <w:bCs/>
          <w:sz w:val="22"/>
          <w:szCs w:val="22"/>
        </w:rPr>
        <w:t>as</w:t>
      </w:r>
      <w:r w:rsidRPr="002E1A3F">
        <w:rPr>
          <w:rFonts w:ascii="Calibri" w:eastAsia="Calibri" w:hAnsi="Calibri" w:cs="Calibri"/>
          <w:bCs/>
          <w:sz w:val="22"/>
          <w:szCs w:val="22"/>
        </w:rPr>
        <w:t xml:space="preserve"> a stronger focus on the evaluation of institutional support for proposed centers, and the design of DLIs that provide incentives to encourage institutional support for center activities.</w:t>
      </w:r>
      <w:r w:rsidRPr="002E1A3F">
        <w:rPr>
          <w:rFonts w:ascii="Calibri" w:eastAsia="Calibri" w:hAnsi="Calibri" w:cs="Calibri"/>
          <w:b/>
          <w:bCs/>
          <w:sz w:val="22"/>
          <w:szCs w:val="22"/>
        </w:rPr>
        <w:t xml:space="preserve">  </w:t>
      </w:r>
    </w:p>
    <w:p w14:paraId="3A583EB6" w14:textId="77777777" w:rsidR="002E1A3F" w:rsidRPr="002E1A3F" w:rsidRDefault="00B00100" w:rsidP="006C70A5">
      <w:pPr>
        <w:widowControl/>
        <w:numPr>
          <w:ilvl w:val="0"/>
          <w:numId w:val="46"/>
        </w:numPr>
        <w:autoSpaceDE/>
        <w:autoSpaceDN/>
        <w:adjustRightInd/>
        <w:spacing w:after="120"/>
        <w:ind w:left="1260" w:hanging="540"/>
        <w:jc w:val="both"/>
        <w:rPr>
          <w:rFonts w:ascii="Calibri" w:eastAsia="Calibri" w:hAnsi="Calibri" w:cs="Calibri"/>
          <w:b/>
          <w:bCs/>
          <w:sz w:val="22"/>
          <w:szCs w:val="22"/>
        </w:rPr>
      </w:pPr>
      <w:r w:rsidRPr="002E1A3F">
        <w:rPr>
          <w:rFonts w:ascii="Calibri" w:eastAsia="Calibri" w:hAnsi="Calibri" w:cs="Calibri"/>
          <w:b/>
          <w:bCs/>
          <w:sz w:val="22"/>
          <w:szCs w:val="22"/>
        </w:rPr>
        <w:t xml:space="preserve">Strengthened institutional impact: </w:t>
      </w:r>
      <w:r w:rsidRPr="002E1A3F">
        <w:rPr>
          <w:rFonts w:ascii="Calibri" w:eastAsia="Calibri" w:hAnsi="Calibri" w:cs="Calibri"/>
          <w:bCs/>
          <w:sz w:val="22"/>
          <w:szCs w:val="22"/>
        </w:rPr>
        <w:t xml:space="preserve">Successful ACE I centers implemented policies and practices aligned with global best practices for higher education. However, there is limited evidence that operational excellence of these centers has positively influenced institutional transformation beyond the centers.  </w:t>
      </w:r>
      <w:r w:rsidR="00637586">
        <w:rPr>
          <w:rFonts w:ascii="Calibri" w:eastAsia="Calibri" w:hAnsi="Calibri" w:cs="Calibri"/>
          <w:bCs/>
          <w:sz w:val="22"/>
          <w:szCs w:val="22"/>
        </w:rPr>
        <w:t xml:space="preserve">The </w:t>
      </w:r>
      <w:r w:rsidRPr="002E1A3F">
        <w:rPr>
          <w:rFonts w:ascii="Calibri" w:eastAsia="Calibri" w:hAnsi="Calibri" w:cs="Calibri"/>
          <w:bCs/>
          <w:sz w:val="22"/>
          <w:szCs w:val="22"/>
        </w:rPr>
        <w:t>ACE Impact</w:t>
      </w:r>
      <w:r w:rsidR="00637586">
        <w:rPr>
          <w:rFonts w:ascii="Calibri" w:eastAsia="Calibri" w:hAnsi="Calibri" w:cs="Calibri"/>
          <w:bCs/>
          <w:sz w:val="22"/>
          <w:szCs w:val="22"/>
        </w:rPr>
        <w:t xml:space="preserve"> projects</w:t>
      </w:r>
      <w:r w:rsidRPr="002E1A3F">
        <w:rPr>
          <w:rFonts w:ascii="Calibri" w:eastAsia="Calibri" w:hAnsi="Calibri" w:cs="Calibri"/>
          <w:bCs/>
          <w:sz w:val="22"/>
          <w:szCs w:val="22"/>
        </w:rPr>
        <w:t xml:space="preserve"> will proactively encourage institutional impact:  each proposal </w:t>
      </w:r>
      <w:r w:rsidR="00EE0EBB">
        <w:rPr>
          <w:rFonts w:ascii="Calibri" w:eastAsia="Calibri" w:hAnsi="Calibri" w:cs="Calibri"/>
          <w:bCs/>
          <w:sz w:val="22"/>
          <w:szCs w:val="22"/>
        </w:rPr>
        <w:t>identifies</w:t>
      </w:r>
      <w:r w:rsidRPr="002E1A3F">
        <w:rPr>
          <w:rFonts w:ascii="Calibri" w:eastAsia="Calibri" w:hAnsi="Calibri" w:cs="Calibri"/>
          <w:bCs/>
          <w:sz w:val="22"/>
          <w:szCs w:val="22"/>
        </w:rPr>
        <w:t xml:space="preserve"> specific anticipated interventions; and DLIs will reward the adoption of best practices at the institutional level. At least 10 percent of each center’s funding will be allocated to activities at the ACE host institutional level. In addition, under Component 1</w:t>
      </w:r>
      <w:r w:rsidR="00607C13">
        <w:rPr>
          <w:rFonts w:ascii="Calibri" w:eastAsia="Calibri" w:hAnsi="Calibri" w:cs="Calibri"/>
          <w:bCs/>
          <w:sz w:val="22"/>
          <w:szCs w:val="22"/>
        </w:rPr>
        <w:t>,</w:t>
      </w:r>
      <w:r w:rsidRPr="002E1A3F">
        <w:rPr>
          <w:rFonts w:ascii="Calibri" w:eastAsia="Calibri" w:hAnsi="Calibri" w:cs="Calibri"/>
          <w:bCs/>
          <w:sz w:val="22"/>
          <w:szCs w:val="22"/>
        </w:rPr>
        <w:t xml:space="preserve"> substantial additional funding will be available to selected Colleges of Engineering and/or Technology – beyond that provided to the ACE Impact centers – with the specific purpose of strengthening the institutional impact of the project.</w:t>
      </w:r>
      <w:r w:rsidRPr="002E1A3F">
        <w:rPr>
          <w:rFonts w:ascii="Calibri" w:eastAsia="Calibri" w:hAnsi="Calibri" w:cs="Calibri"/>
          <w:b/>
          <w:bCs/>
          <w:sz w:val="22"/>
          <w:szCs w:val="22"/>
        </w:rPr>
        <w:t xml:space="preserve"> </w:t>
      </w:r>
    </w:p>
    <w:p w14:paraId="666AA6DA" w14:textId="58206CE7" w:rsidR="002E1A3F" w:rsidRPr="002E1A3F" w:rsidRDefault="00B00100" w:rsidP="006C70A5">
      <w:pPr>
        <w:widowControl/>
        <w:numPr>
          <w:ilvl w:val="0"/>
          <w:numId w:val="46"/>
        </w:numPr>
        <w:autoSpaceDE/>
        <w:autoSpaceDN/>
        <w:adjustRightInd/>
        <w:spacing w:after="120"/>
        <w:ind w:left="1260" w:hanging="540"/>
        <w:jc w:val="both"/>
        <w:rPr>
          <w:rFonts w:ascii="Calibri" w:eastAsia="Calibri" w:hAnsi="Calibri" w:cs="Calibri"/>
          <w:b/>
          <w:bCs/>
          <w:sz w:val="22"/>
          <w:szCs w:val="22"/>
        </w:rPr>
      </w:pPr>
      <w:r w:rsidRPr="002E1A3F">
        <w:rPr>
          <w:rFonts w:ascii="Calibri" w:eastAsia="Calibri" w:hAnsi="Calibri" w:cs="Calibri"/>
          <w:b/>
          <w:bCs/>
          <w:sz w:val="22"/>
          <w:szCs w:val="22"/>
        </w:rPr>
        <w:t xml:space="preserve">Improved sectoral commitment to ACE Impact centers:  </w:t>
      </w:r>
      <w:r w:rsidRPr="002E1A3F">
        <w:rPr>
          <w:rFonts w:ascii="Calibri" w:eastAsia="Calibri" w:hAnsi="Calibri" w:cs="Calibri"/>
          <w:bCs/>
          <w:sz w:val="22"/>
          <w:szCs w:val="22"/>
        </w:rPr>
        <w:t>Given the scope of ACE Impact centers, a rapid implementation startup is essential to successfully complete the proposed work</w:t>
      </w:r>
      <w:r w:rsidR="00D64F3A">
        <w:rPr>
          <w:rFonts w:ascii="Calibri" w:eastAsia="Calibri" w:hAnsi="Calibri" w:cs="Calibri"/>
          <w:bCs/>
          <w:sz w:val="22"/>
          <w:szCs w:val="22"/>
        </w:rPr>
        <w:t xml:space="preserve"> </w:t>
      </w:r>
      <w:r w:rsidRPr="002E1A3F">
        <w:rPr>
          <w:rFonts w:ascii="Calibri" w:eastAsia="Calibri" w:hAnsi="Calibri" w:cs="Calibri"/>
          <w:bCs/>
          <w:sz w:val="22"/>
          <w:szCs w:val="22"/>
        </w:rPr>
        <w:t xml:space="preserve">plan and achieve the DLR targets.  The ACE Impact projects require that </w:t>
      </w:r>
      <w:r w:rsidR="004C6B8F">
        <w:rPr>
          <w:rFonts w:ascii="Calibri" w:eastAsia="Calibri" w:hAnsi="Calibri" w:cs="Calibri"/>
          <w:bCs/>
          <w:sz w:val="22"/>
          <w:szCs w:val="22"/>
        </w:rPr>
        <w:t>participating</w:t>
      </w:r>
      <w:r w:rsidR="004C6B8F" w:rsidRPr="002E1A3F">
        <w:rPr>
          <w:rFonts w:ascii="Calibri" w:eastAsia="Calibri" w:hAnsi="Calibri" w:cs="Calibri"/>
          <w:bCs/>
          <w:sz w:val="22"/>
          <w:szCs w:val="22"/>
        </w:rPr>
        <w:t xml:space="preserve"> </w:t>
      </w:r>
      <w:r w:rsidRPr="002E1A3F">
        <w:rPr>
          <w:rFonts w:ascii="Calibri" w:eastAsia="Calibri" w:hAnsi="Calibri" w:cs="Calibri"/>
          <w:bCs/>
          <w:sz w:val="22"/>
          <w:szCs w:val="22"/>
        </w:rPr>
        <w:t>centers (including the Emerging centers) identify upfront</w:t>
      </w:r>
      <w:r w:rsidR="004C6B8F">
        <w:rPr>
          <w:rFonts w:ascii="Calibri" w:eastAsia="Calibri" w:hAnsi="Calibri" w:cs="Calibri"/>
          <w:bCs/>
          <w:sz w:val="22"/>
          <w:szCs w:val="22"/>
        </w:rPr>
        <w:t xml:space="preserve"> the following</w:t>
      </w:r>
      <w:r w:rsidRPr="002E1A3F">
        <w:rPr>
          <w:rFonts w:ascii="Calibri" w:eastAsia="Calibri" w:hAnsi="Calibri" w:cs="Calibri"/>
          <w:bCs/>
          <w:sz w:val="22"/>
          <w:szCs w:val="22"/>
        </w:rPr>
        <w:t>:</w:t>
      </w:r>
      <w:r w:rsidRPr="002E1A3F">
        <w:rPr>
          <w:rFonts w:ascii="Calibri" w:eastAsia="Calibri" w:hAnsi="Calibri" w:cs="Calibri"/>
          <w:b/>
          <w:bCs/>
          <w:sz w:val="22"/>
          <w:szCs w:val="22"/>
        </w:rPr>
        <w:t xml:space="preserve"> </w:t>
      </w:r>
    </w:p>
    <w:p w14:paraId="248FF820" w14:textId="77777777" w:rsidR="002E1A3F" w:rsidRPr="002E1A3F" w:rsidRDefault="00B00100" w:rsidP="006C70A5">
      <w:pPr>
        <w:widowControl/>
        <w:numPr>
          <w:ilvl w:val="0"/>
          <w:numId w:val="8"/>
        </w:numPr>
        <w:tabs>
          <w:tab w:val="left" w:pos="0"/>
          <w:tab w:val="left" w:pos="810"/>
        </w:tabs>
        <w:autoSpaceDE/>
        <w:autoSpaceDN/>
        <w:adjustRightInd/>
        <w:spacing w:after="60"/>
        <w:ind w:left="1620"/>
        <w:jc w:val="both"/>
        <w:rPr>
          <w:rFonts w:ascii="Calibri" w:eastAsia="Calibri" w:hAnsi="Calibri" w:cs="Calibri"/>
          <w:spacing w:val="-1"/>
          <w:sz w:val="22"/>
          <w:szCs w:val="22"/>
        </w:rPr>
      </w:pPr>
      <w:r w:rsidRPr="002E1A3F">
        <w:rPr>
          <w:rFonts w:ascii="Calibri" w:eastAsia="Calibri" w:hAnsi="Calibri" w:cs="Calibri"/>
          <w:b/>
          <w:spacing w:val="-1"/>
          <w:sz w:val="22"/>
          <w:szCs w:val="22"/>
        </w:rPr>
        <w:lastRenderedPageBreak/>
        <w:t>A Sectoral Advisory Board (SAB)</w:t>
      </w:r>
      <w:r w:rsidRPr="002E1A3F">
        <w:rPr>
          <w:rFonts w:ascii="Calibri" w:eastAsia="Calibri" w:hAnsi="Calibri" w:cs="Calibri"/>
          <w:spacing w:val="-1"/>
          <w:sz w:val="22"/>
          <w:szCs w:val="22"/>
        </w:rPr>
        <w:t xml:space="preserve"> to help guide the academic and applied research programs;</w:t>
      </w:r>
    </w:p>
    <w:p w14:paraId="422EB1ED" w14:textId="77777777" w:rsidR="002E1A3F" w:rsidRPr="002E1A3F" w:rsidRDefault="00B00100" w:rsidP="006C70A5">
      <w:pPr>
        <w:widowControl/>
        <w:numPr>
          <w:ilvl w:val="0"/>
          <w:numId w:val="8"/>
        </w:numPr>
        <w:tabs>
          <w:tab w:val="left" w:pos="0"/>
          <w:tab w:val="left" w:pos="810"/>
        </w:tabs>
        <w:autoSpaceDE/>
        <w:autoSpaceDN/>
        <w:adjustRightInd/>
        <w:spacing w:after="60"/>
        <w:ind w:left="1620"/>
        <w:jc w:val="both"/>
        <w:rPr>
          <w:rFonts w:ascii="Calibri" w:eastAsia="Calibri" w:hAnsi="Calibri" w:cs="Calibri"/>
          <w:spacing w:val="-1"/>
          <w:sz w:val="22"/>
          <w:szCs w:val="22"/>
        </w:rPr>
      </w:pPr>
      <w:r w:rsidRPr="002E1A3F">
        <w:rPr>
          <w:rFonts w:ascii="Calibri" w:eastAsia="Calibri" w:hAnsi="Calibri" w:cs="Calibri"/>
          <w:b/>
          <w:spacing w:val="-1"/>
          <w:sz w:val="22"/>
          <w:szCs w:val="22"/>
        </w:rPr>
        <w:t>Industry/sectoral partners</w:t>
      </w:r>
      <w:r w:rsidRPr="002E1A3F">
        <w:rPr>
          <w:rFonts w:ascii="Calibri" w:eastAsia="Calibri" w:hAnsi="Calibri" w:cs="Calibri"/>
          <w:spacing w:val="-1"/>
          <w:sz w:val="22"/>
          <w:szCs w:val="22"/>
        </w:rPr>
        <w:t>, who will collaborate on applied research, provide internships for students, hire program graduates, and contribute financially to the sustainability of the center; and</w:t>
      </w:r>
    </w:p>
    <w:p w14:paraId="146CA3D2" w14:textId="77777777" w:rsidR="002E1A3F" w:rsidRPr="002E1A3F" w:rsidRDefault="00B00100" w:rsidP="006C70A5">
      <w:pPr>
        <w:widowControl/>
        <w:numPr>
          <w:ilvl w:val="0"/>
          <w:numId w:val="8"/>
        </w:numPr>
        <w:tabs>
          <w:tab w:val="left" w:pos="0"/>
          <w:tab w:val="left" w:pos="810"/>
        </w:tabs>
        <w:autoSpaceDE/>
        <w:autoSpaceDN/>
        <w:adjustRightInd/>
        <w:spacing w:after="60"/>
        <w:ind w:left="1620"/>
        <w:jc w:val="both"/>
        <w:rPr>
          <w:rFonts w:ascii="Calibri" w:eastAsia="Calibri" w:hAnsi="Calibri" w:cs="Calibri"/>
          <w:spacing w:val="-1"/>
          <w:sz w:val="22"/>
          <w:szCs w:val="22"/>
        </w:rPr>
      </w:pPr>
      <w:r w:rsidRPr="002E1A3F">
        <w:rPr>
          <w:rFonts w:ascii="Calibri" w:eastAsia="Calibri" w:hAnsi="Calibri" w:cs="Calibri"/>
          <w:b/>
          <w:spacing w:val="-1"/>
          <w:sz w:val="22"/>
          <w:szCs w:val="22"/>
        </w:rPr>
        <w:t>Regional and Global Academic collaborators</w:t>
      </w:r>
      <w:r w:rsidRPr="002E1A3F">
        <w:rPr>
          <w:rFonts w:ascii="Calibri" w:eastAsia="Calibri" w:hAnsi="Calibri" w:cs="Calibri"/>
          <w:spacing w:val="-1"/>
          <w:sz w:val="22"/>
          <w:szCs w:val="22"/>
        </w:rPr>
        <w:t>, who contribute the necessary technical expertise to deliver the proposed teaching and research activities of the center</w:t>
      </w:r>
      <w:r w:rsidR="0034741A">
        <w:rPr>
          <w:rFonts w:ascii="Calibri" w:eastAsia="Calibri" w:hAnsi="Calibri" w:cs="Calibri"/>
          <w:spacing w:val="-1"/>
          <w:sz w:val="22"/>
          <w:szCs w:val="22"/>
        </w:rPr>
        <w:t xml:space="preserve">, and </w:t>
      </w:r>
      <w:r w:rsidR="006107E0">
        <w:rPr>
          <w:rFonts w:ascii="Calibri" w:eastAsia="Calibri" w:hAnsi="Calibri" w:cs="Calibri"/>
          <w:spacing w:val="-1"/>
          <w:sz w:val="22"/>
          <w:szCs w:val="22"/>
        </w:rPr>
        <w:t xml:space="preserve">who partner on international research collaborations that contribute to </w:t>
      </w:r>
      <w:r w:rsidR="00C95B26">
        <w:rPr>
          <w:rFonts w:ascii="Calibri" w:eastAsia="Calibri" w:hAnsi="Calibri" w:cs="Calibri"/>
          <w:spacing w:val="-1"/>
          <w:sz w:val="22"/>
          <w:szCs w:val="22"/>
        </w:rPr>
        <w:t>c</w:t>
      </w:r>
      <w:r w:rsidR="006107E0">
        <w:rPr>
          <w:rFonts w:ascii="Calibri" w:eastAsia="Calibri" w:hAnsi="Calibri" w:cs="Calibri"/>
          <w:spacing w:val="-1"/>
          <w:sz w:val="22"/>
          <w:szCs w:val="22"/>
        </w:rPr>
        <w:t>enter sustainability</w:t>
      </w:r>
      <w:r w:rsidRPr="002E1A3F">
        <w:rPr>
          <w:rFonts w:ascii="Calibri" w:eastAsia="Calibri" w:hAnsi="Calibri" w:cs="Calibri"/>
          <w:spacing w:val="-1"/>
          <w:sz w:val="22"/>
          <w:szCs w:val="22"/>
        </w:rPr>
        <w:t>.</w:t>
      </w:r>
    </w:p>
    <w:p w14:paraId="26D57726" w14:textId="3A692F72" w:rsidR="00A81545" w:rsidRPr="00A81545" w:rsidRDefault="006E45CF" w:rsidP="006C70A5">
      <w:pPr>
        <w:tabs>
          <w:tab w:val="left" w:pos="810"/>
        </w:tabs>
        <w:ind w:left="1620" w:hanging="360"/>
        <w:jc w:val="both"/>
        <w:rPr>
          <w:rFonts w:ascii="Calibri" w:eastAsia="Calibri" w:hAnsi="Calibri" w:cs="Calibri"/>
          <w:sz w:val="22"/>
          <w:szCs w:val="22"/>
        </w:rPr>
      </w:pPr>
      <w:r>
        <w:rPr>
          <w:rFonts w:ascii="Calibri" w:eastAsia="Calibri" w:hAnsi="Calibri" w:cs="Calibri"/>
          <w:sz w:val="22"/>
          <w:szCs w:val="22"/>
        </w:rPr>
        <w:tab/>
      </w:r>
      <w:r w:rsidR="00B00100" w:rsidRPr="002E1A3F">
        <w:rPr>
          <w:rFonts w:ascii="Calibri" w:eastAsia="Calibri" w:hAnsi="Calibri" w:cs="Calibri"/>
          <w:sz w:val="22"/>
          <w:szCs w:val="22"/>
        </w:rPr>
        <w:t xml:space="preserve">Furthermore, in the proposal evaluation phase, the expert evaluators </w:t>
      </w:r>
      <w:r w:rsidR="00637586">
        <w:rPr>
          <w:rFonts w:ascii="Calibri" w:eastAsia="Calibri" w:hAnsi="Calibri" w:cs="Calibri"/>
          <w:sz w:val="22"/>
          <w:szCs w:val="22"/>
        </w:rPr>
        <w:t>considered</w:t>
      </w:r>
      <w:r w:rsidR="00B00100" w:rsidRPr="002E1A3F">
        <w:rPr>
          <w:rFonts w:ascii="Calibri" w:eastAsia="Calibri" w:hAnsi="Calibri" w:cs="Calibri"/>
          <w:sz w:val="22"/>
          <w:szCs w:val="22"/>
        </w:rPr>
        <w:t xml:space="preserve"> sectoral commitment both in the written proposal and through meetings with sectoral stakeholders during the on-site evaluations of potential ACE </w:t>
      </w:r>
      <w:r w:rsidR="00637586">
        <w:rPr>
          <w:rFonts w:ascii="Calibri" w:eastAsia="Calibri" w:hAnsi="Calibri" w:cs="Calibri"/>
          <w:sz w:val="22"/>
          <w:szCs w:val="22"/>
        </w:rPr>
        <w:t xml:space="preserve">Impact </w:t>
      </w:r>
      <w:r w:rsidR="00B00100" w:rsidRPr="002E1A3F">
        <w:rPr>
          <w:rFonts w:ascii="Calibri" w:eastAsia="Calibri" w:hAnsi="Calibri" w:cs="Calibri"/>
          <w:sz w:val="22"/>
          <w:szCs w:val="22"/>
        </w:rPr>
        <w:t>centers.</w:t>
      </w:r>
    </w:p>
    <w:p w14:paraId="6648A7B2" w14:textId="77777777" w:rsidR="00BF1FB9" w:rsidRPr="002E1A3F" w:rsidRDefault="00BF1FB9" w:rsidP="008E2709">
      <w:pPr>
        <w:ind w:left="720" w:hanging="14"/>
        <w:jc w:val="both"/>
        <w:rPr>
          <w:rFonts w:ascii="Calibri,Times New Roman" w:eastAsia="Calibri,Times New Roman" w:hAnsi="Calibri,Times New Roman" w:cs="Calibri,Times New Roman"/>
          <w:sz w:val="22"/>
          <w:szCs w:val="22"/>
        </w:rPr>
      </w:pPr>
    </w:p>
    <w:p w14:paraId="0C564F07" w14:textId="77777777" w:rsidR="002E1A3F" w:rsidRPr="002E1A3F" w:rsidRDefault="00B00100" w:rsidP="002B233F">
      <w:pPr>
        <w:widowControl/>
        <w:numPr>
          <w:ilvl w:val="0"/>
          <w:numId w:val="46"/>
        </w:numPr>
        <w:autoSpaceDE/>
        <w:autoSpaceDN/>
        <w:adjustRightInd/>
        <w:ind w:left="1350" w:hanging="540"/>
        <w:jc w:val="both"/>
        <w:rPr>
          <w:rFonts w:ascii="Calibri" w:eastAsia="Calibri" w:hAnsi="Calibri" w:cs="Calibri"/>
          <w:b/>
          <w:bCs/>
          <w:sz w:val="22"/>
          <w:szCs w:val="22"/>
        </w:rPr>
      </w:pPr>
      <w:r w:rsidRPr="002E1A3F">
        <w:rPr>
          <w:rFonts w:ascii="Calibri" w:eastAsia="Calibri" w:hAnsi="Calibri" w:cs="Calibri"/>
          <w:b/>
          <w:sz w:val="22"/>
          <w:szCs w:val="22"/>
        </w:rPr>
        <w:t xml:space="preserve">Strengthened strategic networking: </w:t>
      </w:r>
      <w:r w:rsidRPr="002E1A3F">
        <w:rPr>
          <w:rFonts w:ascii="Calibri" w:eastAsia="Calibri" w:hAnsi="Calibri" w:cs="Calibri"/>
          <w:sz w:val="22"/>
          <w:szCs w:val="22"/>
        </w:rPr>
        <w:t>University-based research centers, whether in Africa or globally, rely upon networking to deliver on their work plans.  Building relationships to recruit students, to strengthen capacity and impact across West and Central Africa, and to disseminate research results that address development challenges is integral to the success of ACE centers.  The design of DLIs will provide incentives to ensure that centers focus on these critical activities</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b/>
          <w:bCs/>
          <w:sz w:val="22"/>
          <w:szCs w:val="22"/>
        </w:rPr>
        <w:t xml:space="preserve">  </w:t>
      </w:r>
    </w:p>
    <w:p w14:paraId="66228094" w14:textId="77777777" w:rsidR="002E1A3F" w:rsidRPr="002E1A3F" w:rsidRDefault="00B00100" w:rsidP="006C70A5">
      <w:pPr>
        <w:widowControl/>
        <w:numPr>
          <w:ilvl w:val="0"/>
          <w:numId w:val="46"/>
        </w:numPr>
        <w:autoSpaceDE/>
        <w:autoSpaceDN/>
        <w:adjustRightInd/>
        <w:spacing w:after="120"/>
        <w:ind w:left="1260" w:hanging="450"/>
        <w:jc w:val="both"/>
        <w:rPr>
          <w:rFonts w:ascii="Calibri" w:eastAsia="Calibri" w:hAnsi="Calibri" w:cs="Calibri"/>
          <w:b/>
          <w:bCs/>
          <w:sz w:val="22"/>
          <w:szCs w:val="22"/>
        </w:rPr>
      </w:pPr>
      <w:r w:rsidRPr="002E1A3F">
        <w:rPr>
          <w:rFonts w:ascii="Calibri" w:eastAsia="Calibri" w:hAnsi="Calibri" w:cs="Calibri"/>
          <w:b/>
          <w:sz w:val="22"/>
          <w:szCs w:val="22"/>
        </w:rPr>
        <w:t xml:space="preserve">Increased gender-balance focus: </w:t>
      </w:r>
      <w:r w:rsidRPr="002E1A3F">
        <w:rPr>
          <w:rFonts w:ascii="Calibri" w:eastAsia="Calibri" w:hAnsi="Calibri" w:cs="Calibri"/>
          <w:sz w:val="22"/>
          <w:szCs w:val="22"/>
        </w:rPr>
        <w:t xml:space="preserve">While progress is being made, targets for female postgraduate students under the ACE I </w:t>
      </w:r>
      <w:r w:rsidR="00BB4A89">
        <w:rPr>
          <w:rFonts w:ascii="Calibri" w:eastAsia="Calibri" w:hAnsi="Calibri" w:cs="Calibri"/>
          <w:sz w:val="22"/>
          <w:szCs w:val="22"/>
        </w:rPr>
        <w:t>P</w:t>
      </w:r>
      <w:r w:rsidRPr="002E1A3F">
        <w:rPr>
          <w:rFonts w:ascii="Calibri" w:eastAsia="Calibri" w:hAnsi="Calibri" w:cs="Calibri"/>
          <w:sz w:val="22"/>
          <w:szCs w:val="22"/>
        </w:rPr>
        <w:t>roject are not being fully achieved</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There are also no female directors of ACE I centers, and female faculty members are rare participants in ACE activities. Partly </w:t>
      </w:r>
      <w:r w:rsidR="00A223F8">
        <w:rPr>
          <w:rFonts w:ascii="Calibri" w:eastAsia="Calibri" w:hAnsi="Calibri" w:cs="Calibri"/>
          <w:sz w:val="22"/>
          <w:szCs w:val="22"/>
        </w:rPr>
        <w:t xml:space="preserve">thanks </w:t>
      </w:r>
      <w:r w:rsidRPr="002E1A3F">
        <w:rPr>
          <w:rFonts w:ascii="Calibri" w:eastAsia="Calibri" w:hAnsi="Calibri" w:cs="Calibri"/>
          <w:sz w:val="22"/>
          <w:szCs w:val="22"/>
        </w:rPr>
        <w:t xml:space="preserve">to an explicit selection process that promoted selection of centers with female directors or deputy directors, there are now four female ACE Impact center directors or deputy center directors </w:t>
      </w:r>
      <w:r w:rsidR="00B2640D">
        <w:rPr>
          <w:rFonts w:ascii="Calibri" w:eastAsia="Calibri" w:hAnsi="Calibri" w:cs="Calibri"/>
          <w:sz w:val="22"/>
          <w:szCs w:val="22"/>
        </w:rPr>
        <w:t>(across both ACE Impact projects)</w:t>
      </w:r>
      <w:r w:rsidRPr="002E1A3F">
        <w:rPr>
          <w:rFonts w:ascii="Calibri" w:eastAsia="Calibri" w:hAnsi="Calibri" w:cs="Calibri"/>
          <w:sz w:val="22"/>
          <w:szCs w:val="22"/>
        </w:rPr>
        <w:t xml:space="preserve">. Addressing gender imbalances is an explicit part of the design of the Call for </w:t>
      </w:r>
      <w:r w:rsidR="00A360AE">
        <w:rPr>
          <w:rFonts w:ascii="Calibri" w:eastAsia="Calibri" w:hAnsi="Calibri" w:cs="Calibri"/>
          <w:sz w:val="22"/>
          <w:szCs w:val="22"/>
        </w:rPr>
        <w:t>P</w:t>
      </w:r>
      <w:r w:rsidRPr="002E1A3F">
        <w:rPr>
          <w:rFonts w:ascii="Calibri" w:eastAsia="Calibri" w:hAnsi="Calibri" w:cs="Calibri"/>
          <w:sz w:val="22"/>
          <w:szCs w:val="22"/>
        </w:rPr>
        <w:t>roposals template</w:t>
      </w:r>
      <w:r w:rsidR="00A360AE">
        <w:rPr>
          <w:rFonts w:ascii="Calibri" w:eastAsia="Calibri" w:hAnsi="Calibri" w:cs="Calibri"/>
          <w:sz w:val="22"/>
          <w:szCs w:val="22"/>
        </w:rPr>
        <w:t xml:space="preserve"> and</w:t>
      </w:r>
      <w:r w:rsidRPr="002E1A3F">
        <w:rPr>
          <w:rFonts w:ascii="Calibri" w:eastAsia="Calibri" w:hAnsi="Calibri" w:cs="Calibri"/>
          <w:sz w:val="22"/>
          <w:szCs w:val="22"/>
        </w:rPr>
        <w:t xml:space="preserve"> implementation plans</w:t>
      </w:r>
      <w:r w:rsidR="00A360AE">
        <w:rPr>
          <w:rFonts w:ascii="Calibri" w:eastAsia="Calibri" w:hAnsi="Calibri" w:cs="Calibri"/>
          <w:sz w:val="22"/>
          <w:szCs w:val="22"/>
        </w:rPr>
        <w:t>,</w:t>
      </w:r>
      <w:r w:rsidRPr="002E1A3F">
        <w:rPr>
          <w:rFonts w:ascii="Calibri" w:eastAsia="Calibri" w:hAnsi="Calibri" w:cs="Calibri"/>
          <w:sz w:val="22"/>
          <w:szCs w:val="22"/>
        </w:rPr>
        <w:t xml:space="preserve"> and the design of the selected DLIs will provide incentives to encourage greater female participation in all aspects of the centers.</w:t>
      </w:r>
      <w:r w:rsidRPr="002E1A3F">
        <w:rPr>
          <w:rFonts w:ascii="Calibri" w:eastAsia="Calibri" w:hAnsi="Calibri" w:cs="Calibri"/>
          <w:b/>
          <w:bCs/>
          <w:sz w:val="22"/>
          <w:szCs w:val="22"/>
        </w:rPr>
        <w:t xml:space="preserve">  </w:t>
      </w:r>
    </w:p>
    <w:p w14:paraId="3DE76432" w14:textId="5E02DF26" w:rsidR="00DF1AEE" w:rsidRPr="006C70A5" w:rsidRDefault="00B00100" w:rsidP="00DF1AEE">
      <w:pPr>
        <w:pStyle w:val="ListParagraph"/>
        <w:widowControl/>
        <w:numPr>
          <w:ilvl w:val="0"/>
          <w:numId w:val="46"/>
        </w:numPr>
        <w:autoSpaceDE/>
        <w:autoSpaceDN/>
        <w:adjustRightInd/>
        <w:spacing w:after="120"/>
        <w:ind w:left="1260" w:hanging="450"/>
        <w:jc w:val="both"/>
        <w:rPr>
          <w:rFonts w:ascii="Calibri" w:eastAsia="Calibri" w:hAnsi="Calibri" w:cs="Calibri"/>
          <w:b/>
          <w:bCs/>
          <w:sz w:val="22"/>
          <w:szCs w:val="22"/>
        </w:rPr>
      </w:pPr>
      <w:r w:rsidRPr="006C70A5">
        <w:rPr>
          <w:rFonts w:ascii="Calibri" w:eastAsia="Calibri" w:hAnsi="Calibri" w:cs="Calibri"/>
          <w:b/>
          <w:sz w:val="22"/>
          <w:szCs w:val="22"/>
        </w:rPr>
        <w:t>Stronger</w:t>
      </w:r>
      <w:r w:rsidRPr="006C70A5">
        <w:rPr>
          <w:rFonts w:ascii="Calibri" w:eastAsia="Calibri" w:hAnsi="Calibri" w:cs="Calibri"/>
          <w:b/>
          <w:bCs/>
          <w:sz w:val="22"/>
          <w:szCs w:val="22"/>
        </w:rPr>
        <w:t xml:space="preserve"> World Bank GP engagement: </w:t>
      </w:r>
      <w:r w:rsidRPr="006C70A5">
        <w:rPr>
          <w:rFonts w:ascii="Calibri" w:eastAsia="Calibri" w:hAnsi="Calibri" w:cs="Calibri"/>
          <w:sz w:val="22"/>
          <w:szCs w:val="22"/>
        </w:rPr>
        <w:t xml:space="preserve">In addition to the evolution of expectations for ACE Impact centers based on lessons learned from the </w:t>
      </w:r>
      <w:r w:rsidR="00BB4A89" w:rsidRPr="006C70A5">
        <w:rPr>
          <w:rFonts w:ascii="Calibri" w:eastAsia="Calibri" w:hAnsi="Calibri" w:cs="Calibri"/>
          <w:sz w:val="22"/>
          <w:szCs w:val="22"/>
        </w:rPr>
        <w:t>ACE I Project</w:t>
      </w:r>
      <w:r w:rsidRPr="006C70A5">
        <w:rPr>
          <w:rFonts w:ascii="Calibri" w:eastAsia="Calibri" w:hAnsi="Calibri" w:cs="Calibri"/>
          <w:sz w:val="22"/>
          <w:szCs w:val="22"/>
        </w:rPr>
        <w:t xml:space="preserve">, the World Bank ACE Impact team has prioritized greater internal World Bank GP engagement to strengthen the focus of ACE Impact centers in addressing key development challenges. During the project preparation phase, the project team led by </w:t>
      </w:r>
      <w:r w:rsidR="00EF5AF4" w:rsidRPr="006C70A5">
        <w:rPr>
          <w:rFonts w:ascii="Calibri" w:eastAsia="Calibri" w:hAnsi="Calibri" w:cs="Calibri"/>
          <w:sz w:val="22"/>
          <w:szCs w:val="22"/>
        </w:rPr>
        <w:t xml:space="preserve">the </w:t>
      </w:r>
      <w:r w:rsidRPr="006C70A5">
        <w:rPr>
          <w:rFonts w:ascii="Calibri" w:eastAsia="Calibri" w:hAnsi="Calibri" w:cs="Calibri"/>
          <w:sz w:val="22"/>
          <w:szCs w:val="22"/>
        </w:rPr>
        <w:t>Education GP worked closely with other GPs (and other stakeholders) to develop ToRs for 10 targeted priority thematic areas. During project implementation, it is anticipated that GPs will be involved in providing implementation support to centers within their sector. At the center level, the inclusion of GPs in implementation support will result in stronger linkages with ongoing World Bank-financed projects, improved knowledge</w:t>
      </w:r>
      <w:r w:rsidRPr="006C70A5">
        <w:rPr>
          <w:rFonts w:ascii="Calibri,Times New Roman" w:eastAsia="Calibri,Times New Roman" w:hAnsi="Calibri,Times New Roman" w:cs="Calibri,Times New Roman"/>
          <w:sz w:val="22"/>
          <w:szCs w:val="22"/>
        </w:rPr>
        <w:t xml:space="preserve"> </w:t>
      </w:r>
      <w:r w:rsidRPr="006C70A5">
        <w:rPr>
          <w:rFonts w:ascii="Calibri" w:eastAsia="Calibri" w:hAnsi="Calibri" w:cs="Calibri"/>
          <w:sz w:val="22"/>
          <w:szCs w:val="22"/>
        </w:rPr>
        <w:t xml:space="preserve">transfer, and career opportunities for graduates. Such engagements will complement national projects in higher education and other </w:t>
      </w:r>
      <w:r w:rsidR="00DF1AEE" w:rsidRPr="00DF1AEE">
        <w:rPr>
          <w:rFonts w:ascii="Calibri" w:eastAsia="Calibri" w:hAnsi="Calibri" w:cs="Calibri"/>
          <w:sz w:val="22"/>
          <w:szCs w:val="22"/>
        </w:rPr>
        <w:t>sectors and</w:t>
      </w:r>
      <w:r w:rsidR="00932B92" w:rsidRPr="006C70A5">
        <w:rPr>
          <w:rFonts w:ascii="Calibri" w:eastAsia="Calibri" w:hAnsi="Calibri" w:cs="Calibri"/>
          <w:sz w:val="22"/>
          <w:szCs w:val="22"/>
        </w:rPr>
        <w:t xml:space="preserve"> </w:t>
      </w:r>
      <w:r w:rsidR="0069083B" w:rsidRPr="006C70A5">
        <w:rPr>
          <w:rFonts w:ascii="Calibri" w:eastAsia="Calibri" w:hAnsi="Calibri" w:cs="Calibri"/>
          <w:sz w:val="22"/>
          <w:szCs w:val="22"/>
        </w:rPr>
        <w:t>should lead to longer-term sustainability of the activities</w:t>
      </w:r>
      <w:r w:rsidR="00E104E0" w:rsidRPr="006C70A5">
        <w:rPr>
          <w:rFonts w:ascii="Calibri" w:eastAsia="Calibri" w:hAnsi="Calibri" w:cs="Calibri"/>
          <w:sz w:val="22"/>
          <w:szCs w:val="22"/>
        </w:rPr>
        <w:t xml:space="preserve"> of the centers</w:t>
      </w:r>
      <w:r w:rsidRPr="006C70A5">
        <w:rPr>
          <w:rFonts w:ascii="Calibri" w:eastAsia="Calibri" w:hAnsi="Calibri" w:cs="Calibri"/>
          <w:sz w:val="22"/>
          <w:szCs w:val="22"/>
        </w:rPr>
        <w:t xml:space="preserve">.  </w:t>
      </w:r>
    </w:p>
    <w:p w14:paraId="54ABA114" w14:textId="3EAAEA32" w:rsidR="002E1A3F" w:rsidRPr="006C70A5" w:rsidRDefault="00B00100" w:rsidP="006C70A5">
      <w:pPr>
        <w:pStyle w:val="ListParagraph"/>
        <w:widowControl/>
        <w:autoSpaceDE/>
        <w:autoSpaceDN/>
        <w:adjustRightInd/>
        <w:spacing w:after="120"/>
        <w:ind w:left="1260"/>
        <w:jc w:val="both"/>
        <w:rPr>
          <w:rFonts w:ascii="Calibri" w:eastAsia="Calibri" w:hAnsi="Calibri" w:cs="Calibri"/>
          <w:b/>
          <w:bCs/>
          <w:sz w:val="22"/>
          <w:szCs w:val="22"/>
        </w:rPr>
      </w:pPr>
      <w:r w:rsidRPr="006C70A5">
        <w:rPr>
          <w:rFonts w:ascii="Calibri" w:eastAsia="Calibri" w:hAnsi="Calibri" w:cs="Calibri"/>
          <w:sz w:val="22"/>
          <w:szCs w:val="22"/>
        </w:rPr>
        <w:lastRenderedPageBreak/>
        <w:t>A working group composed of GP focal points will further disseminate implementation</w:t>
      </w:r>
      <w:r w:rsidRPr="006C70A5">
        <w:rPr>
          <w:rFonts w:ascii="Calibri,Times New Roman" w:eastAsia="Calibri,Times New Roman" w:hAnsi="Calibri,Times New Roman" w:cs="Calibri,Times New Roman"/>
          <w:sz w:val="22"/>
          <w:szCs w:val="22"/>
        </w:rPr>
        <w:t xml:space="preserve"> </w:t>
      </w:r>
      <w:r w:rsidRPr="006C70A5">
        <w:rPr>
          <w:rFonts w:ascii="Calibri" w:eastAsia="Calibri" w:hAnsi="Calibri" w:cs="Calibri"/>
          <w:sz w:val="22"/>
          <w:szCs w:val="22"/>
        </w:rPr>
        <w:t>results and strengthen regional and cross-disciplinary knowledge sharing among ACE Impact centers</w:t>
      </w:r>
      <w:r w:rsidRPr="00DF1AEE">
        <w:rPr>
          <w:rFonts w:ascii="Arial,Calibri,Times New Roman" w:eastAsia="Arial,Calibri,Times New Roman" w:hAnsi="Arial,Calibri,Times New Roman" w:cs="Arial,Calibri,Times New Roman"/>
        </w:rPr>
        <w:t>.</w:t>
      </w:r>
      <w:r w:rsidRPr="006C70A5">
        <w:rPr>
          <w:rFonts w:ascii="Calibri" w:eastAsia="Calibri" w:hAnsi="Calibri" w:cs="Calibri"/>
          <w:b/>
          <w:bCs/>
          <w:sz w:val="22"/>
          <w:szCs w:val="22"/>
        </w:rPr>
        <w:t xml:space="preserve"> </w:t>
      </w:r>
    </w:p>
    <w:p w14:paraId="574F6B02" w14:textId="77777777" w:rsidR="002E1A3F" w:rsidRPr="002E1A3F" w:rsidRDefault="00B00100" w:rsidP="006C70A5">
      <w:pPr>
        <w:widowControl/>
        <w:numPr>
          <w:ilvl w:val="0"/>
          <w:numId w:val="46"/>
        </w:numPr>
        <w:autoSpaceDE/>
        <w:autoSpaceDN/>
        <w:adjustRightInd/>
        <w:spacing w:after="120"/>
        <w:ind w:left="1260"/>
        <w:jc w:val="both"/>
        <w:rPr>
          <w:rFonts w:ascii="Calibri" w:eastAsia="Calibri" w:hAnsi="Calibri" w:cs="Calibri"/>
          <w:b/>
          <w:bCs/>
          <w:sz w:val="22"/>
          <w:szCs w:val="22"/>
        </w:rPr>
      </w:pPr>
      <w:r w:rsidRPr="002E1A3F">
        <w:rPr>
          <w:rFonts w:ascii="Calibri" w:eastAsia="Calibri" w:hAnsi="Calibri" w:cs="Calibri"/>
          <w:b/>
          <w:bCs/>
          <w:spacing w:val="-1"/>
          <w:sz w:val="22"/>
          <w:szCs w:val="22"/>
        </w:rPr>
        <w:t>Inclusion of unallocated funds</w:t>
      </w:r>
      <w:r w:rsidRPr="00F10BBD">
        <w:rPr>
          <w:rFonts w:ascii="Calibri" w:eastAsia="Calibri" w:hAnsi="Calibri" w:cs="Calibri"/>
          <w:b/>
          <w:spacing w:val="-1"/>
          <w:sz w:val="22"/>
          <w:szCs w:val="22"/>
        </w:rPr>
        <w:t>:</w:t>
      </w:r>
      <w:r w:rsidRPr="002E1A3F">
        <w:rPr>
          <w:rFonts w:ascii="Calibri" w:eastAsia="Calibri" w:hAnsi="Calibri" w:cs="Calibri"/>
          <w:spacing w:val="-1"/>
          <w:sz w:val="22"/>
          <w:szCs w:val="22"/>
        </w:rPr>
        <w:t xml:space="preserve"> During the implementation of the </w:t>
      </w:r>
      <w:r w:rsidR="00BB4A89">
        <w:rPr>
          <w:rFonts w:ascii="Calibri" w:eastAsia="Calibri" w:hAnsi="Calibri" w:cs="Calibri"/>
          <w:spacing w:val="-1"/>
          <w:sz w:val="22"/>
          <w:szCs w:val="22"/>
        </w:rPr>
        <w:t>ACE I Project</w:t>
      </w:r>
      <w:r w:rsidRPr="002E1A3F">
        <w:rPr>
          <w:rFonts w:ascii="Calibri" w:eastAsia="Calibri" w:hAnsi="Calibri" w:cs="Calibri"/>
          <w:spacing w:val="-1"/>
          <w:sz w:val="22"/>
          <w:szCs w:val="22"/>
        </w:rPr>
        <w:t xml:space="preserve">, </w:t>
      </w:r>
      <w:r w:rsidR="001441C1">
        <w:rPr>
          <w:rFonts w:ascii="Calibri" w:eastAsia="Calibri" w:hAnsi="Calibri" w:cs="Calibri"/>
          <w:spacing w:val="-1"/>
          <w:sz w:val="22"/>
          <w:szCs w:val="22"/>
        </w:rPr>
        <w:t>the</w:t>
      </w:r>
      <w:r w:rsidRPr="002E1A3F">
        <w:rPr>
          <w:rFonts w:ascii="Calibri" w:eastAsia="Calibri" w:hAnsi="Calibri" w:cs="Calibri"/>
          <w:spacing w:val="-1"/>
          <w:sz w:val="22"/>
          <w:szCs w:val="22"/>
        </w:rPr>
        <w:t xml:space="preserve"> </w:t>
      </w:r>
      <w:r w:rsidR="006F0FC8">
        <w:rPr>
          <w:rFonts w:ascii="Calibri" w:eastAsia="Calibri" w:hAnsi="Calibri" w:cs="Calibri"/>
          <w:spacing w:val="-1"/>
          <w:sz w:val="22"/>
          <w:szCs w:val="22"/>
        </w:rPr>
        <w:t>MTR</w:t>
      </w:r>
      <w:r w:rsidRPr="002E1A3F">
        <w:rPr>
          <w:rFonts w:ascii="Calibri" w:eastAsia="Calibri" w:hAnsi="Calibri" w:cs="Calibri"/>
          <w:spacing w:val="-1"/>
          <w:sz w:val="22"/>
          <w:szCs w:val="22"/>
        </w:rPr>
        <w:t xml:space="preserve"> determined that four centers had been performing below expectations. Although it was in the project’s and governments’ interest to reduce these centers’ funding and reallocate the funds to better performing centers within the same country, this proved to be a difficult process. Consequently, under the Second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each center will receive a smaller funding envelope</w:t>
      </w:r>
      <w:r w:rsidRPr="002E1A3F">
        <w:rPr>
          <w:rFonts w:ascii="Calibri,Times New Roman" w:eastAsia="Calibri,Times New Roman" w:hAnsi="Calibri,Times New Roman" w:cs="Calibri,Times New Roman"/>
          <w:spacing w:val="-1"/>
          <w:sz w:val="22"/>
          <w:szCs w:val="22"/>
        </w:rPr>
        <w:t xml:space="preserve"> </w:t>
      </w:r>
      <w:r w:rsidRPr="002E1A3F">
        <w:rPr>
          <w:rFonts w:ascii="Calibri" w:eastAsia="Calibri" w:hAnsi="Calibri" w:cs="Calibri"/>
          <w:spacing w:val="-1"/>
          <w:sz w:val="22"/>
          <w:szCs w:val="22"/>
        </w:rPr>
        <w:t>at the beginning of implementation, and then well</w:t>
      </w:r>
      <w:r w:rsidRPr="002E1A3F">
        <w:rPr>
          <w:rFonts w:ascii="Calibri,Times New Roman" w:eastAsia="Calibri,Times New Roman" w:hAnsi="Calibri,Times New Roman" w:cs="Calibri,Times New Roman"/>
          <w:spacing w:val="-1"/>
          <w:sz w:val="22"/>
          <w:szCs w:val="22"/>
        </w:rPr>
        <w:t>-</w:t>
      </w:r>
      <w:r w:rsidRPr="002E1A3F">
        <w:rPr>
          <w:rFonts w:ascii="Calibri" w:eastAsia="Calibri" w:hAnsi="Calibri" w:cs="Calibri"/>
          <w:spacing w:val="-1"/>
          <w:sz w:val="22"/>
          <w:szCs w:val="22"/>
        </w:rPr>
        <w:t>performing centers in need of additional funding will be rewarded with the unallocated funds at the mid-term point in project implementation</w:t>
      </w:r>
      <w:r w:rsidRPr="002E1A3F">
        <w:rPr>
          <w:rFonts w:ascii="Calibri,Times New Roman" w:eastAsia="Calibri,Times New Roman" w:hAnsi="Calibri,Times New Roman" w:cs="Calibri,Times New Roman"/>
          <w:spacing w:val="-1"/>
          <w:sz w:val="22"/>
          <w:szCs w:val="22"/>
        </w:rPr>
        <w:t>.</w:t>
      </w:r>
      <w:r w:rsidRPr="002E1A3F">
        <w:rPr>
          <w:rFonts w:ascii="Calibri" w:eastAsia="Calibri" w:hAnsi="Calibri" w:cs="Calibri"/>
          <w:b/>
          <w:bCs/>
          <w:sz w:val="22"/>
          <w:szCs w:val="22"/>
        </w:rPr>
        <w:t xml:space="preserve"> </w:t>
      </w:r>
    </w:p>
    <w:p w14:paraId="1CC91767" w14:textId="77777777" w:rsidR="002E1A3F" w:rsidRPr="002E1A3F" w:rsidRDefault="00B00100" w:rsidP="006C70A5">
      <w:pPr>
        <w:widowControl/>
        <w:numPr>
          <w:ilvl w:val="0"/>
          <w:numId w:val="46"/>
        </w:numPr>
        <w:autoSpaceDE/>
        <w:autoSpaceDN/>
        <w:adjustRightInd/>
        <w:spacing w:after="120"/>
        <w:ind w:left="1260"/>
        <w:jc w:val="both"/>
        <w:rPr>
          <w:rFonts w:ascii="Calibri" w:eastAsia="Calibri" w:hAnsi="Calibri" w:cs="Calibri"/>
          <w:b/>
          <w:bCs/>
          <w:sz w:val="22"/>
          <w:szCs w:val="22"/>
        </w:rPr>
      </w:pPr>
      <w:r w:rsidRPr="002E1A3F">
        <w:rPr>
          <w:rFonts w:ascii="Calibri" w:eastAsia="Calibri" w:hAnsi="Calibri" w:cs="Calibri"/>
          <w:b/>
          <w:bCs/>
          <w:spacing w:val="-1"/>
          <w:sz w:val="22"/>
          <w:szCs w:val="22"/>
        </w:rPr>
        <w:t>M&amp;E improvements:</w:t>
      </w:r>
      <w:r w:rsidRPr="002E1A3F">
        <w:rPr>
          <w:rFonts w:ascii="Calibri" w:eastAsia="Calibri" w:hAnsi="Calibri" w:cs="Calibri"/>
          <w:bCs/>
          <w:spacing w:val="-1"/>
          <w:sz w:val="22"/>
          <w:szCs w:val="22"/>
        </w:rPr>
        <w:t xml:space="preserve"> The proposed improvements to the </w:t>
      </w:r>
      <w:r w:rsidR="00BB4A89">
        <w:rPr>
          <w:rFonts w:ascii="Calibri" w:eastAsia="Calibri" w:hAnsi="Calibri" w:cs="Calibri"/>
          <w:bCs/>
          <w:spacing w:val="-1"/>
          <w:sz w:val="22"/>
          <w:szCs w:val="22"/>
        </w:rPr>
        <w:t>ACE I Project</w:t>
      </w:r>
      <w:r w:rsidRPr="002E1A3F">
        <w:rPr>
          <w:rFonts w:ascii="Calibri" w:eastAsia="Calibri" w:hAnsi="Calibri" w:cs="Calibri"/>
          <w:bCs/>
          <w:spacing w:val="-1"/>
          <w:sz w:val="22"/>
          <w:szCs w:val="22"/>
        </w:rPr>
        <w:t xml:space="preserve"> M&amp;E process to be considered in the ACE Impact projects include: (a) a closer review by the RFU of the center submitted data for the reporting; (b) institutionalizing a Call and Email Test by the centers prior to the submission of results for verification; (c) maintaining strong and regular communication with the M&amp;E officers at the centers throughout the verification process; (d) deepening the DLIs/DLRs definitions, expectations and scope of measurement (setting up a list of Frequently Asked Questions); (e) the RFU undertaking regular communication and coordination with the third party verifiers; (f) shortening the process for the verification of short-term students (a protocol and guidance for this is proposed); (g) institutionalizing M&amp;E help desks and clinics for specific M&amp;E challenges faced by centers; (h) breaking down language barriers by financing regional university collaboration and a flow of students assisted by scaling-up language course; (i) redefining the process for research publication verification; and (j) setting up an online M&amp;E database platform with features for data submission, analysis and reporting.</w:t>
      </w:r>
      <w:r w:rsidRPr="002E1A3F">
        <w:rPr>
          <w:rFonts w:ascii="Calibri" w:eastAsia="Calibri" w:hAnsi="Calibri" w:cs="Calibri"/>
          <w:b/>
          <w:bCs/>
          <w:sz w:val="22"/>
          <w:szCs w:val="22"/>
        </w:rPr>
        <w:t xml:space="preserve"> </w:t>
      </w:r>
    </w:p>
    <w:p w14:paraId="69937E91" w14:textId="77777777" w:rsidR="002E1A3F" w:rsidRPr="00887DFB" w:rsidRDefault="00B00100" w:rsidP="006C70A5">
      <w:pPr>
        <w:widowControl/>
        <w:numPr>
          <w:ilvl w:val="0"/>
          <w:numId w:val="46"/>
        </w:numPr>
        <w:autoSpaceDE/>
        <w:autoSpaceDN/>
        <w:adjustRightInd/>
        <w:spacing w:after="120"/>
        <w:ind w:left="1260"/>
        <w:jc w:val="both"/>
        <w:rPr>
          <w:rFonts w:ascii="Calibri" w:eastAsia="Calibri" w:hAnsi="Calibri" w:cs="Calibri"/>
          <w:b/>
          <w:bCs/>
          <w:sz w:val="22"/>
          <w:szCs w:val="22"/>
        </w:rPr>
      </w:pPr>
      <w:r w:rsidRPr="002E1A3F">
        <w:rPr>
          <w:rFonts w:ascii="Calibri" w:eastAsia="Calibri" w:hAnsi="Calibri" w:cs="Calibri"/>
          <w:b/>
          <w:sz w:val="22"/>
          <w:szCs w:val="22"/>
        </w:rPr>
        <w:t xml:space="preserve">FM: </w:t>
      </w:r>
      <w:r w:rsidRPr="002E1A3F">
        <w:rPr>
          <w:rFonts w:ascii="Calibri" w:eastAsia="Calibri" w:hAnsi="Calibri" w:cs="Calibri"/>
          <w:sz w:val="22"/>
          <w:szCs w:val="22"/>
        </w:rPr>
        <w:t>During the verification of the</w:t>
      </w:r>
      <w:r w:rsidR="00864D46">
        <w:rPr>
          <w:rFonts w:ascii="Calibri" w:eastAsia="Calibri" w:hAnsi="Calibri" w:cs="Calibri"/>
          <w:sz w:val="22"/>
          <w:szCs w:val="22"/>
        </w:rPr>
        <w:t xml:space="preserve"> </w:t>
      </w:r>
      <w:r w:rsidRPr="002E1A3F">
        <w:rPr>
          <w:rFonts w:ascii="Calibri" w:eastAsia="Calibri" w:hAnsi="Calibri" w:cs="Calibri"/>
          <w:sz w:val="22"/>
          <w:szCs w:val="22"/>
        </w:rPr>
        <w:t xml:space="preserve">FM DLRs in the </w:t>
      </w:r>
      <w:r w:rsidR="00BB4A89">
        <w:rPr>
          <w:rFonts w:ascii="Calibri" w:eastAsia="Calibri" w:hAnsi="Calibri" w:cs="Calibri"/>
          <w:sz w:val="22"/>
          <w:szCs w:val="22"/>
        </w:rPr>
        <w:t>ACE I Project</w:t>
      </w:r>
      <w:r w:rsidR="00EF5AF4">
        <w:rPr>
          <w:rFonts w:ascii="Calibri" w:eastAsia="Calibri" w:hAnsi="Calibri" w:cs="Calibri"/>
          <w:sz w:val="22"/>
          <w:szCs w:val="22"/>
        </w:rPr>
        <w:t>,</w:t>
      </w:r>
      <w:r w:rsidRPr="002E1A3F">
        <w:rPr>
          <w:rFonts w:ascii="Calibri" w:eastAsia="Calibri" w:hAnsi="Calibri" w:cs="Calibri"/>
          <w:sz w:val="22"/>
          <w:szCs w:val="22"/>
        </w:rPr>
        <w:t xml:space="preserve"> many challenges were identified. Opportunities to address these challenges have been incorporated into the ACE Impact projects and cover strengthening transparency, audit committees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and internal audit units. </w:t>
      </w:r>
      <w:r w:rsidRPr="00887DFB">
        <w:rPr>
          <w:rFonts w:ascii="Calibri" w:eastAsia="Calibri" w:hAnsi="Calibri" w:cs="Calibri"/>
          <w:sz w:val="22"/>
          <w:szCs w:val="22"/>
        </w:rPr>
        <w:t xml:space="preserve">While the ACE I regional workshops provide an opportunity to clarify many aspects of the FM arrangements, further efforts will be </w:t>
      </w:r>
      <w:r w:rsidR="00107654" w:rsidRPr="00887DFB">
        <w:rPr>
          <w:rFonts w:ascii="Calibri" w:eastAsia="Calibri" w:hAnsi="Calibri" w:cs="Calibri"/>
          <w:sz w:val="22"/>
          <w:szCs w:val="22"/>
        </w:rPr>
        <w:t>needed</w:t>
      </w:r>
      <w:r w:rsidRPr="00887DFB">
        <w:rPr>
          <w:rFonts w:ascii="Calibri" w:eastAsia="Calibri" w:hAnsi="Calibri" w:cs="Calibri"/>
          <w:sz w:val="22"/>
          <w:szCs w:val="22"/>
        </w:rPr>
        <w:t xml:space="preserve"> to ensure the transfer of knowledge from the ACE Impact </w:t>
      </w:r>
      <w:r w:rsidR="003227C6" w:rsidRPr="00887DFB">
        <w:rPr>
          <w:rFonts w:ascii="Calibri" w:eastAsia="Calibri" w:hAnsi="Calibri" w:cs="Calibri"/>
          <w:i/>
          <w:sz w:val="22"/>
          <w:szCs w:val="22"/>
        </w:rPr>
        <w:t>R</w:t>
      </w:r>
      <w:r w:rsidRPr="00887DFB">
        <w:rPr>
          <w:rFonts w:ascii="Calibri" w:eastAsia="Calibri" w:hAnsi="Calibri" w:cs="Calibri"/>
          <w:i/>
          <w:sz w:val="22"/>
          <w:szCs w:val="22"/>
        </w:rPr>
        <w:t>enewal centers</w:t>
      </w:r>
      <w:r w:rsidRPr="00887DFB">
        <w:rPr>
          <w:rFonts w:ascii="Calibri" w:eastAsia="Calibri" w:hAnsi="Calibri" w:cs="Calibri"/>
          <w:sz w:val="22"/>
          <w:szCs w:val="22"/>
        </w:rPr>
        <w:t xml:space="preserve"> under Sub-component 1.2 to the </w:t>
      </w:r>
      <w:r w:rsidR="0033655B" w:rsidRPr="008E2709">
        <w:rPr>
          <w:rFonts w:ascii="Calibri" w:eastAsia="Calibri" w:hAnsi="Calibri" w:cs="Calibri"/>
          <w:i/>
          <w:sz w:val="22"/>
          <w:szCs w:val="22"/>
        </w:rPr>
        <w:t>N</w:t>
      </w:r>
      <w:r w:rsidRPr="008E2709">
        <w:rPr>
          <w:rFonts w:ascii="Calibri" w:eastAsia="Calibri" w:hAnsi="Calibri" w:cs="Calibri"/>
          <w:i/>
          <w:sz w:val="22"/>
          <w:szCs w:val="22"/>
        </w:rPr>
        <w:t>ew centers</w:t>
      </w:r>
      <w:r w:rsidRPr="00887DFB">
        <w:rPr>
          <w:rFonts w:ascii="Calibri" w:eastAsia="Calibri" w:hAnsi="Calibri" w:cs="Calibri"/>
          <w:sz w:val="22"/>
          <w:szCs w:val="22"/>
        </w:rPr>
        <w:t xml:space="preserve"> under Sub-components 1.1 and 2.1</w:t>
      </w:r>
      <w:r w:rsidR="0036537D" w:rsidRPr="00887DFB">
        <w:rPr>
          <w:rFonts w:ascii="Calibri" w:eastAsia="Calibri" w:hAnsi="Calibri" w:cs="Calibri"/>
          <w:sz w:val="22"/>
          <w:szCs w:val="22"/>
        </w:rPr>
        <w:t>,</w:t>
      </w:r>
      <w:r w:rsidR="00A90DFE" w:rsidRPr="00887DFB">
        <w:rPr>
          <w:rFonts w:ascii="Calibri" w:eastAsia="Calibri" w:hAnsi="Calibri" w:cs="Calibri"/>
          <w:sz w:val="22"/>
          <w:szCs w:val="22"/>
        </w:rPr>
        <w:t xml:space="preserve"> are</w:t>
      </w:r>
      <w:r w:rsidR="00C75E5C" w:rsidRPr="00887DFB">
        <w:rPr>
          <w:rFonts w:ascii="Calibri" w:eastAsia="Calibri" w:hAnsi="Calibri" w:cs="Calibri"/>
          <w:sz w:val="22"/>
          <w:szCs w:val="22"/>
        </w:rPr>
        <w:t xml:space="preserve"> realized. For example, </w:t>
      </w:r>
      <w:r w:rsidRPr="00887DFB">
        <w:rPr>
          <w:rFonts w:ascii="Calibri" w:eastAsia="Calibri" w:hAnsi="Calibri" w:cs="Calibri"/>
          <w:sz w:val="22"/>
          <w:szCs w:val="22"/>
        </w:rPr>
        <w:t>by leveraging and establishing knowledge sharing platforms (periodic workshops, secured online sharing of files, and Questions &amp; Answers).</w:t>
      </w:r>
      <w:r w:rsidRPr="00887DFB">
        <w:rPr>
          <w:rFonts w:ascii="Calibri" w:eastAsia="Calibri" w:hAnsi="Calibri" w:cs="Calibri"/>
          <w:b/>
          <w:bCs/>
          <w:sz w:val="22"/>
          <w:szCs w:val="22"/>
        </w:rPr>
        <w:t xml:space="preserve"> </w:t>
      </w:r>
      <w:r w:rsidR="00776EEA" w:rsidRPr="00887DFB">
        <w:rPr>
          <w:rFonts w:ascii="Calibri" w:eastAsia="Calibri" w:hAnsi="Calibri" w:cs="Calibri"/>
          <w:b/>
          <w:bCs/>
          <w:sz w:val="22"/>
          <w:szCs w:val="22"/>
        </w:rPr>
        <w:t xml:space="preserve"> </w:t>
      </w:r>
    </w:p>
    <w:p w14:paraId="5A6B6AB3" w14:textId="77777777" w:rsidR="00776EEA" w:rsidRPr="002E1A3F" w:rsidRDefault="00B00100" w:rsidP="006C70A5">
      <w:pPr>
        <w:keepNext/>
        <w:keepLines/>
        <w:widowControl/>
        <w:numPr>
          <w:ilvl w:val="0"/>
          <w:numId w:val="46"/>
        </w:numPr>
        <w:autoSpaceDE/>
        <w:autoSpaceDN/>
        <w:adjustRightInd/>
        <w:spacing w:after="120"/>
        <w:ind w:left="1260" w:hanging="540"/>
        <w:jc w:val="both"/>
        <w:rPr>
          <w:rFonts w:ascii="Calibri" w:eastAsia="Calibri" w:hAnsi="Calibri" w:cs="Calibri"/>
          <w:spacing w:val="-1"/>
          <w:sz w:val="22"/>
          <w:szCs w:val="22"/>
        </w:rPr>
      </w:pPr>
      <w:r w:rsidRPr="002E1A3F">
        <w:rPr>
          <w:rFonts w:ascii="Calibri" w:eastAsia="Calibri" w:hAnsi="Calibri" w:cs="Calibri"/>
          <w:b/>
          <w:sz w:val="22"/>
          <w:szCs w:val="22"/>
        </w:rPr>
        <w:lastRenderedPageBreak/>
        <w:t>Procurement DLIs</w:t>
      </w:r>
      <w:r w:rsidR="00692072">
        <w:rPr>
          <w:rFonts w:ascii="Calibri" w:eastAsia="Calibri" w:hAnsi="Calibri" w:cs="Calibri"/>
          <w:b/>
          <w:sz w:val="22"/>
          <w:szCs w:val="22"/>
        </w:rPr>
        <w:t>:</w:t>
      </w:r>
      <w:r w:rsidRPr="002E1A3F">
        <w:rPr>
          <w:rFonts w:ascii="Calibri" w:eastAsia="Calibri" w:hAnsi="Calibri" w:cs="Calibri"/>
          <w:b/>
          <w:sz w:val="22"/>
          <w:szCs w:val="22"/>
        </w:rPr>
        <w:t xml:space="preserve">  </w:t>
      </w:r>
      <w:r w:rsidRPr="002E1A3F">
        <w:rPr>
          <w:rFonts w:ascii="Calibri" w:eastAsia="Calibri" w:hAnsi="Calibri" w:cs="Calibri"/>
          <w:sz w:val="22"/>
          <w:szCs w:val="22"/>
        </w:rPr>
        <w:t>There are lessons related to the use of procurement DLIs: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pacing w:val="-1"/>
          <w:sz w:val="22"/>
          <w:szCs w:val="22"/>
        </w:rPr>
        <w:t xml:space="preserve">(a) The timely submission of procurement audits DLI under the </w:t>
      </w:r>
      <w:r w:rsidR="00BB4A89">
        <w:rPr>
          <w:rFonts w:ascii="Calibri" w:eastAsia="Calibri" w:hAnsi="Calibri" w:cs="Calibri"/>
          <w:spacing w:val="-1"/>
          <w:sz w:val="22"/>
          <w:szCs w:val="22"/>
        </w:rPr>
        <w:t>ACE I Project</w:t>
      </w:r>
      <w:r w:rsidRPr="002E1A3F">
        <w:rPr>
          <w:rFonts w:ascii="Calibri" w:eastAsia="Calibri" w:hAnsi="Calibri" w:cs="Calibri"/>
          <w:spacing w:val="-1"/>
          <w:sz w:val="22"/>
          <w:szCs w:val="22"/>
        </w:rPr>
        <w:t xml:space="preserve"> has worked well and there have been consistent improvements in these audits over the course of the </w:t>
      </w:r>
      <w:r w:rsidR="00BB4A89">
        <w:rPr>
          <w:rFonts w:ascii="Calibri" w:eastAsia="Calibri" w:hAnsi="Calibri" w:cs="Calibri"/>
          <w:spacing w:val="-1"/>
          <w:sz w:val="22"/>
          <w:szCs w:val="22"/>
        </w:rPr>
        <w:t>ACE I Project</w:t>
      </w:r>
      <w:r w:rsidRPr="002E1A3F">
        <w:rPr>
          <w:rFonts w:ascii="Calibri" w:eastAsia="Calibri" w:hAnsi="Calibri" w:cs="Calibri"/>
          <w:spacing w:val="-1"/>
          <w:sz w:val="22"/>
          <w:szCs w:val="22"/>
        </w:rPr>
        <w:t xml:space="preserve">. This DLI has been incorporated into the Second </w:t>
      </w:r>
      <w:r w:rsidR="00BB4A89">
        <w:rPr>
          <w:rFonts w:ascii="Calibri" w:eastAsia="Calibri" w:hAnsi="Calibri" w:cs="Calibri"/>
          <w:spacing w:val="-1"/>
          <w:sz w:val="22"/>
          <w:szCs w:val="22"/>
        </w:rPr>
        <w:t>ACE Impact Project</w:t>
      </w:r>
      <w:r w:rsidRPr="002E1A3F">
        <w:rPr>
          <w:rFonts w:ascii="Calibri" w:eastAsia="Calibri" w:hAnsi="Calibri" w:cs="Calibri"/>
          <w:spacing w:val="-1"/>
          <w:sz w:val="22"/>
          <w:szCs w:val="22"/>
        </w:rPr>
        <w:t xml:space="preserve">; (b) Improved incentivization of procurement planning - </w:t>
      </w:r>
      <w:r w:rsidR="001B7D5F">
        <w:rPr>
          <w:rFonts w:ascii="Calibri" w:eastAsia="Calibri" w:hAnsi="Calibri" w:cs="Calibri"/>
          <w:spacing w:val="-1"/>
          <w:sz w:val="22"/>
          <w:szCs w:val="22"/>
        </w:rPr>
        <w:t>t</w:t>
      </w:r>
      <w:r w:rsidRPr="002E1A3F">
        <w:rPr>
          <w:rFonts w:ascii="Calibri" w:eastAsia="Calibri" w:hAnsi="Calibri" w:cs="Calibri"/>
          <w:spacing w:val="-1"/>
          <w:sz w:val="22"/>
          <w:szCs w:val="22"/>
        </w:rPr>
        <w:t>he DLI for timely, quality procurement has been reformulated to better incentivize Centers to improve procurement planning and procurement attribution; (c) Upfront hiring of project management and procurement capacity is part of the DLI</w:t>
      </w:r>
      <w:r w:rsidR="00A42A57">
        <w:rPr>
          <w:rFonts w:ascii="Calibri" w:eastAsia="Calibri" w:hAnsi="Calibri" w:cs="Calibri"/>
          <w:spacing w:val="-1"/>
          <w:sz w:val="22"/>
          <w:szCs w:val="22"/>
        </w:rPr>
        <w:t xml:space="preserve"> 1</w:t>
      </w:r>
      <w:r w:rsidRPr="002E1A3F">
        <w:rPr>
          <w:rFonts w:ascii="Calibri" w:eastAsia="Calibri" w:hAnsi="Calibri" w:cs="Calibri"/>
          <w:spacing w:val="-1"/>
          <w:sz w:val="22"/>
          <w:szCs w:val="22"/>
        </w:rPr>
        <w:t xml:space="preserve"> to ensure adequate capacity.</w:t>
      </w:r>
    </w:p>
    <w:p w14:paraId="65E92FB0" w14:textId="77777777" w:rsidR="00776EEA" w:rsidRPr="002E1A3F" w:rsidRDefault="00776EEA" w:rsidP="008E2709">
      <w:pPr>
        <w:widowControl/>
        <w:autoSpaceDE/>
        <w:autoSpaceDN/>
        <w:adjustRightInd/>
        <w:spacing w:after="120"/>
        <w:ind w:left="540"/>
        <w:jc w:val="both"/>
        <w:rPr>
          <w:rFonts w:ascii="Calibri" w:eastAsia="Calibri" w:hAnsi="Calibri" w:cs="Calibri"/>
          <w:b/>
          <w:bCs/>
          <w:sz w:val="22"/>
          <w:szCs w:val="22"/>
        </w:rPr>
      </w:pPr>
    </w:p>
    <w:p w14:paraId="3DD76AE6" w14:textId="77777777" w:rsidR="002E1A3F" w:rsidRPr="002E1A3F" w:rsidRDefault="00B00100" w:rsidP="008E2709">
      <w:pPr>
        <w:rPr>
          <w:rFonts w:eastAsia="Times New Roman"/>
        </w:rPr>
      </w:pPr>
      <w:r w:rsidRPr="002E1A3F">
        <w:rPr>
          <w:rFonts w:eastAsia="Times New Roman"/>
          <w:b/>
        </w:rPr>
        <w:br w:type="page"/>
      </w:r>
    </w:p>
    <w:tbl>
      <w:tblPr>
        <w:tblStyle w:val="TableGrid1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800"/>
      </w:tblGrid>
      <w:tr w:rsidR="000C3959" w14:paraId="2D9A082B" w14:textId="77777777" w:rsidTr="009277AD">
        <w:trPr>
          <w:trHeight w:val="432"/>
        </w:trPr>
        <w:tc>
          <w:tcPr>
            <w:tcW w:w="10800" w:type="dxa"/>
            <w:shd w:val="clear" w:color="auto" w:fill="F2F7FC"/>
            <w:vAlign w:val="center"/>
          </w:tcPr>
          <w:p w14:paraId="0C2CCBFB" w14:textId="77777777" w:rsidR="002E1A3F" w:rsidRPr="001530BB" w:rsidRDefault="00B00100" w:rsidP="008E2709">
            <w:pPr>
              <w:widowControl/>
              <w:autoSpaceDE/>
              <w:autoSpaceDN/>
              <w:adjustRightInd/>
              <w:outlineLvl w:val="0"/>
              <w:rPr>
                <w:rFonts w:ascii="Calibri" w:eastAsia="Calibri" w:hAnsi="Calibri" w:cs="Times New Roman"/>
                <w:b/>
                <w:color w:val="auto"/>
                <w:sz w:val="22"/>
                <w:szCs w:val="22"/>
              </w:rPr>
            </w:pPr>
            <w:bookmarkStart w:id="149" w:name="_Toc11082867"/>
            <w:bookmarkStart w:id="150" w:name="_Toc13781051"/>
            <w:bookmarkStart w:id="151" w:name="_Toc13781087"/>
            <w:bookmarkStart w:id="152" w:name="_Toc13781123"/>
            <w:bookmarkStart w:id="153" w:name="_Toc13811144"/>
            <w:bookmarkStart w:id="154" w:name="_Toc14789345"/>
            <w:bookmarkStart w:id="155" w:name="_Toc14809128"/>
            <w:bookmarkStart w:id="156" w:name="_Toc14809164"/>
            <w:bookmarkStart w:id="157" w:name="_Toc11082868"/>
            <w:bookmarkStart w:id="158" w:name="_Toc13781052"/>
            <w:bookmarkStart w:id="159" w:name="_Toc13781088"/>
            <w:bookmarkStart w:id="160" w:name="_Toc13781124"/>
            <w:bookmarkStart w:id="161" w:name="_Toc13811145"/>
            <w:bookmarkStart w:id="162" w:name="_Toc14789346"/>
            <w:bookmarkStart w:id="163" w:name="_Toc14809129"/>
            <w:bookmarkStart w:id="164" w:name="_Toc14809165"/>
            <w:bookmarkStart w:id="165" w:name="_Toc256000142"/>
            <w:bookmarkStart w:id="166" w:name="_Toc256000113"/>
            <w:bookmarkStart w:id="167" w:name="_Toc256000080"/>
            <w:bookmarkStart w:id="168" w:name="_Toc256000048"/>
            <w:bookmarkStart w:id="169" w:name="_Toc256000016"/>
            <w:bookmarkStart w:id="170" w:name="_Toc8301929"/>
            <w:bookmarkStart w:id="171" w:name="_Toc14789347"/>
            <w:bookmarkStart w:id="172" w:name="_Toc22655915"/>
            <w:bookmarkStart w:id="173" w:name="_Toc23779844"/>
            <w:bookmarkStart w:id="174" w:name="_Toc23866060"/>
            <w:bookmarkStart w:id="175" w:name="_Toc2393067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Theme="minorHAnsi" w:eastAsiaTheme="minorHAnsi" w:hAnsiTheme="minorHAnsi" w:cstheme="minorBidi"/>
                <w:b/>
                <w:color w:val="auto"/>
                <w:sz w:val="22"/>
                <w:szCs w:val="22"/>
              </w:rPr>
              <w:lastRenderedPageBreak/>
              <w:t xml:space="preserve">III. </w:t>
            </w:r>
            <w:r w:rsidR="005668CF" w:rsidRPr="001530BB">
              <w:rPr>
                <w:rFonts w:asciiTheme="minorHAnsi" w:eastAsiaTheme="minorHAnsi" w:hAnsiTheme="minorHAnsi" w:cstheme="minorBidi"/>
                <w:b/>
                <w:color w:val="auto"/>
                <w:sz w:val="22"/>
                <w:szCs w:val="22"/>
              </w:rPr>
              <w:t xml:space="preserve"> </w:t>
            </w:r>
            <w:r w:rsidR="00CE2C51" w:rsidRPr="001530BB">
              <w:rPr>
                <w:rFonts w:asciiTheme="minorHAnsi" w:eastAsiaTheme="minorHAnsi" w:hAnsiTheme="minorHAnsi" w:cstheme="minorBidi"/>
                <w:b/>
                <w:color w:val="auto"/>
                <w:sz w:val="22"/>
                <w:szCs w:val="22"/>
              </w:rPr>
              <w:t>IMPLEMENTATION ARRANGEMENTS</w:t>
            </w:r>
            <w:bookmarkEnd w:id="165"/>
            <w:bookmarkEnd w:id="166"/>
            <w:bookmarkEnd w:id="167"/>
            <w:bookmarkEnd w:id="168"/>
            <w:bookmarkEnd w:id="169"/>
            <w:bookmarkEnd w:id="170"/>
            <w:bookmarkEnd w:id="171"/>
            <w:bookmarkEnd w:id="172"/>
            <w:bookmarkEnd w:id="173"/>
            <w:bookmarkEnd w:id="174"/>
            <w:bookmarkEnd w:id="175"/>
          </w:p>
        </w:tc>
      </w:tr>
    </w:tbl>
    <w:tbl>
      <w:tblPr>
        <w:tblW w:w="10089" w:type="dxa"/>
        <w:tblInd w:w="-720" w:type="dxa"/>
        <w:tblLayout w:type="fixed"/>
        <w:tblLook w:val="04A0" w:firstRow="1" w:lastRow="0" w:firstColumn="1" w:lastColumn="0" w:noHBand="0" w:noVBand="1"/>
      </w:tblPr>
      <w:tblGrid>
        <w:gridCol w:w="10089"/>
      </w:tblGrid>
      <w:tr w:rsidR="000C3959" w14:paraId="49F04080" w14:textId="77777777" w:rsidTr="00126CD2">
        <w:trPr>
          <w:trHeight w:val="92"/>
        </w:trPr>
        <w:tc>
          <w:tcPr>
            <w:tcW w:w="10089" w:type="dxa"/>
          </w:tcPr>
          <w:p w14:paraId="09382501" w14:textId="77777777" w:rsidR="002E1A3F" w:rsidRPr="002E1A3F" w:rsidRDefault="00B00100">
            <w:pPr>
              <w:keepNext/>
              <w:widowControl/>
              <w:autoSpaceDE/>
              <w:autoSpaceDN/>
              <w:adjustRightInd/>
              <w:spacing w:before="40"/>
              <w:outlineLvl w:val="1"/>
              <w:rPr>
                <w:rFonts w:ascii="Calibri" w:eastAsia="Times New Roman" w:hAnsi="Calibri" w:cs="Calibri"/>
                <w:sz w:val="22"/>
                <w:szCs w:val="22"/>
              </w:rPr>
            </w:pPr>
            <w:bookmarkStart w:id="176" w:name="_Toc256000143"/>
            <w:bookmarkStart w:id="177" w:name="_Toc256000114"/>
            <w:bookmarkStart w:id="178" w:name="_Toc256000081"/>
            <w:bookmarkStart w:id="179" w:name="_Toc256000049"/>
            <w:bookmarkStart w:id="180" w:name="_Toc256000017"/>
            <w:bookmarkStart w:id="181" w:name="_Toc517277422"/>
            <w:bookmarkStart w:id="182" w:name="_Toc517342999"/>
            <w:bookmarkStart w:id="183" w:name="_Toc535410642"/>
            <w:bookmarkStart w:id="184" w:name="_Toc8301930"/>
            <w:bookmarkStart w:id="185" w:name="_Toc22655916"/>
            <w:bookmarkStart w:id="186" w:name="_Toc23779845"/>
            <w:bookmarkStart w:id="187" w:name="_Toc23866061"/>
            <w:bookmarkStart w:id="188" w:name="_Toc23930672"/>
            <w:r w:rsidRPr="002E1A3F">
              <w:rPr>
                <w:rFonts w:ascii="Calibri" w:eastAsia="Times New Roman" w:hAnsi="Calibri" w:cs="Calibri"/>
                <w:b/>
                <w:color w:val="172D5F"/>
                <w:sz w:val="22"/>
                <w:szCs w:val="22"/>
              </w:rPr>
              <w:t>A.</w:t>
            </w:r>
            <w:r w:rsidRPr="002E1A3F">
              <w:rPr>
                <w:rFonts w:ascii="Calibri" w:eastAsia="Times New Roman" w:hAnsi="Calibri" w:cs="Times New Roman"/>
                <w:b/>
                <w:color w:val="172D5F"/>
                <w:sz w:val="22"/>
                <w:szCs w:val="22"/>
              </w:rPr>
              <w:t xml:space="preserve"> Institutional and Implementation Arrangements</w:t>
            </w:r>
            <w:bookmarkEnd w:id="176"/>
            <w:bookmarkEnd w:id="177"/>
            <w:bookmarkEnd w:id="178"/>
            <w:bookmarkEnd w:id="179"/>
            <w:bookmarkEnd w:id="180"/>
            <w:bookmarkEnd w:id="181"/>
            <w:bookmarkEnd w:id="182"/>
            <w:bookmarkEnd w:id="183"/>
            <w:bookmarkEnd w:id="184"/>
            <w:bookmarkEnd w:id="185"/>
            <w:bookmarkEnd w:id="186"/>
            <w:bookmarkEnd w:id="187"/>
            <w:bookmarkEnd w:id="188"/>
          </w:p>
        </w:tc>
      </w:tr>
      <w:tr w:rsidR="000C3959" w14:paraId="6233F5C5" w14:textId="77777777" w:rsidTr="006E3FA2">
        <w:trPr>
          <w:trHeight w:val="92"/>
        </w:trPr>
        <w:tc>
          <w:tcPr>
            <w:tcW w:w="10089" w:type="dxa"/>
          </w:tcPr>
          <w:p w14:paraId="20E73DA0" w14:textId="77777777" w:rsidR="006E3FA2" w:rsidRPr="002E1A3F" w:rsidRDefault="006E3FA2">
            <w:pPr>
              <w:keepNext/>
              <w:widowControl/>
              <w:autoSpaceDE/>
              <w:autoSpaceDN/>
              <w:adjustRightInd/>
              <w:spacing w:before="40"/>
              <w:outlineLvl w:val="1"/>
              <w:rPr>
                <w:rFonts w:ascii="Calibri" w:eastAsia="Times New Roman" w:hAnsi="Calibri" w:cs="Calibri"/>
                <w:b/>
                <w:color w:val="172D5F"/>
                <w:sz w:val="22"/>
                <w:szCs w:val="22"/>
              </w:rPr>
            </w:pPr>
          </w:p>
        </w:tc>
      </w:tr>
    </w:tbl>
    <w:p w14:paraId="7E686DD0" w14:textId="77777777" w:rsidR="00375958"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t xml:space="preserve">Project implementation will draw heavily on the successful experience of </w:t>
      </w:r>
      <w:r w:rsidR="00BB4A89">
        <w:rPr>
          <w:rFonts w:ascii="Calibri" w:eastAsia="Calibri" w:hAnsi="Calibri" w:cs="Calibri"/>
          <w:b/>
          <w:sz w:val="22"/>
          <w:szCs w:val="22"/>
        </w:rPr>
        <w:t xml:space="preserve">the </w:t>
      </w:r>
      <w:r w:rsidRPr="002E1A3F">
        <w:rPr>
          <w:rFonts w:ascii="Calibri" w:eastAsia="Calibri" w:hAnsi="Calibri" w:cs="Calibri"/>
          <w:b/>
          <w:sz w:val="22"/>
          <w:szCs w:val="22"/>
        </w:rPr>
        <w:t>ACE I and II</w:t>
      </w:r>
      <w:r w:rsidR="00BB4A89">
        <w:rPr>
          <w:rFonts w:ascii="Calibri" w:eastAsia="Calibri" w:hAnsi="Calibri" w:cs="Calibri"/>
          <w:b/>
          <w:sz w:val="22"/>
          <w:szCs w:val="22"/>
        </w:rPr>
        <w:t xml:space="preserve"> projects</w:t>
      </w:r>
      <w:r w:rsidRPr="002E1A3F">
        <w:rPr>
          <w:rFonts w:ascii="Calibri" w:eastAsia="Calibri" w:hAnsi="Calibri" w:cs="Calibri"/>
          <w:b/>
          <w:sz w:val="22"/>
          <w:szCs w:val="22"/>
        </w:rPr>
        <w:t>, where established implementation and supervision structures have been developed over the last four years.</w:t>
      </w:r>
      <w:r w:rsidRPr="002E1A3F">
        <w:rPr>
          <w:rFonts w:ascii="Calibri" w:eastAsia="Calibri" w:hAnsi="Calibri" w:cs="Calibri"/>
          <w:sz w:val="22"/>
          <w:szCs w:val="22"/>
        </w:rPr>
        <w:t xml:space="preserve"> The </w:t>
      </w:r>
      <w:r w:rsidR="00BB4A89">
        <w:rPr>
          <w:rFonts w:ascii="Calibri" w:eastAsia="Calibri" w:hAnsi="Calibri" w:cs="Calibri"/>
          <w:sz w:val="22"/>
          <w:szCs w:val="22"/>
        </w:rPr>
        <w:t>ACE I Project</w:t>
      </w:r>
      <w:r w:rsidRPr="002E1A3F">
        <w:rPr>
          <w:rFonts w:ascii="Calibri" w:eastAsia="Calibri" w:hAnsi="Calibri" w:cs="Calibri"/>
          <w:sz w:val="22"/>
          <w:szCs w:val="22"/>
        </w:rPr>
        <w:t xml:space="preserve"> ISRs show a continuously satisfactory performance on progress towards achievement of the PDO and overall implementation progress. This is due to a working implementation model established through the project that incorporated several lessons along the way. Key elements of this working model are: (i) direct responsibility for implementation of the selected ACE center proposals led by the ACEs; (ii) strong regional coordination and TA at the regional level through the AAU; and (iii) consistent accountability and implementation support through the national and regional project steering committees. The implementation arrangements for the proposed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will build upon these working structures and further strengthen the implementation arrangements for the additional three new countries to ensure that the project is not adversely affected by the increase in number of centers and participating countries (see Annexes 1 and 4 for further details on these implementation arrangements for the Second </w:t>
      </w:r>
      <w:r w:rsidR="00BB4A89">
        <w:rPr>
          <w:rFonts w:ascii="Calibri" w:eastAsia="Calibri" w:hAnsi="Calibri" w:cs="Calibri"/>
          <w:sz w:val="22"/>
          <w:szCs w:val="22"/>
        </w:rPr>
        <w:t>ACE Impact Project</w:t>
      </w:r>
      <w:r>
        <w:rPr>
          <w:rFonts w:ascii="Calibri" w:eastAsia="Calibri" w:hAnsi="Calibri" w:cs="Calibri"/>
          <w:sz w:val="22"/>
          <w:szCs w:val="22"/>
        </w:rPr>
        <w:t>)</w:t>
      </w:r>
      <w:r w:rsidRPr="002E1A3F">
        <w:rPr>
          <w:rFonts w:ascii="Calibri" w:eastAsia="Calibri" w:hAnsi="Calibri" w:cs="Calibri"/>
          <w:sz w:val="22"/>
          <w:szCs w:val="22"/>
        </w:rPr>
        <w:t xml:space="preserve">. </w:t>
      </w:r>
    </w:p>
    <w:p w14:paraId="0749D04F" w14:textId="77777777" w:rsidR="00375958" w:rsidRPr="009B12E3" w:rsidRDefault="00B00100" w:rsidP="008E2709">
      <w:pPr>
        <w:keepNext/>
        <w:keepLines/>
        <w:widowControl/>
        <w:numPr>
          <w:ilvl w:val="0"/>
          <w:numId w:val="7"/>
        </w:numPr>
        <w:tabs>
          <w:tab w:val="left" w:pos="0"/>
          <w:tab w:val="left" w:pos="720"/>
        </w:tabs>
        <w:autoSpaceDE/>
        <w:autoSpaceDN/>
        <w:adjustRightInd/>
        <w:spacing w:after="120"/>
        <w:ind w:left="0" w:firstLine="0"/>
        <w:contextualSpacing/>
        <w:jc w:val="both"/>
        <w:rPr>
          <w:rFonts w:ascii="Calibri" w:eastAsia="Times New Roman" w:hAnsi="Calibri" w:cs="Calibri"/>
          <w:b/>
          <w:sz w:val="22"/>
          <w:szCs w:val="22"/>
        </w:rPr>
      </w:pPr>
      <w:r w:rsidRPr="009B12E3">
        <w:rPr>
          <w:rFonts w:ascii="Calibri" w:eastAsia="Calibri" w:hAnsi="Calibri" w:cs="Calibri"/>
          <w:b/>
          <w:sz w:val="22"/>
          <w:szCs w:val="22"/>
        </w:rPr>
        <w:t>The project’s organogram is presented below</w:t>
      </w:r>
      <w:r w:rsidRPr="009B12E3">
        <w:rPr>
          <w:rFonts w:ascii="Calibri" w:eastAsia="Calibri" w:hAnsi="Calibri" w:cs="Calibri"/>
          <w:sz w:val="22"/>
          <w:szCs w:val="22"/>
        </w:rPr>
        <w:t xml:space="preserve">. </w:t>
      </w:r>
    </w:p>
    <w:p w14:paraId="35C91109" w14:textId="77777777" w:rsidR="009B12E3" w:rsidRDefault="009B12E3">
      <w:pPr>
        <w:keepNext/>
        <w:keepLines/>
        <w:tabs>
          <w:tab w:val="left" w:pos="0"/>
        </w:tabs>
        <w:spacing w:after="120"/>
        <w:contextualSpacing/>
        <w:jc w:val="center"/>
        <w:rPr>
          <w:rFonts w:ascii="Calibri" w:eastAsia="Times New Roman" w:hAnsi="Calibri" w:cs="Calibri"/>
          <w:b/>
          <w:sz w:val="22"/>
          <w:szCs w:val="22"/>
        </w:rPr>
      </w:pPr>
    </w:p>
    <w:p w14:paraId="7D9F51CB" w14:textId="77777777" w:rsidR="002E1A3F" w:rsidRPr="002E1A3F" w:rsidRDefault="00B00100" w:rsidP="00F463C2">
      <w:pPr>
        <w:keepNext/>
        <w:keepLines/>
        <w:tabs>
          <w:tab w:val="left" w:pos="0"/>
        </w:tabs>
        <w:spacing w:after="120"/>
        <w:contextualSpacing/>
        <w:jc w:val="center"/>
        <w:rPr>
          <w:rFonts w:ascii="Calibri" w:eastAsia="Times New Roman" w:hAnsi="Calibri" w:cs="Calibri"/>
          <w:b/>
          <w:i/>
          <w:sz w:val="22"/>
          <w:szCs w:val="22"/>
        </w:rPr>
      </w:pPr>
      <w:r w:rsidRPr="002E1A3F">
        <w:rPr>
          <w:rFonts w:ascii="Calibri" w:eastAsia="Times New Roman" w:hAnsi="Calibri" w:cs="Calibri"/>
          <w:b/>
          <w:sz w:val="22"/>
          <w:szCs w:val="22"/>
        </w:rPr>
        <w:t xml:space="preserve">Figure </w:t>
      </w:r>
      <w:r w:rsidR="00162B48">
        <w:rPr>
          <w:rFonts w:ascii="Calibri" w:eastAsia="Times New Roman" w:hAnsi="Calibri" w:cs="Calibri"/>
          <w:b/>
          <w:sz w:val="22"/>
          <w:szCs w:val="22"/>
        </w:rPr>
        <w:t>2</w:t>
      </w:r>
      <w:r w:rsidRPr="002E1A3F">
        <w:rPr>
          <w:rFonts w:ascii="Calibri" w:eastAsia="Times New Roman" w:hAnsi="Calibri" w:cs="Calibri"/>
          <w:b/>
          <w:sz w:val="22"/>
          <w:szCs w:val="22"/>
        </w:rPr>
        <w:t xml:space="preserve">. </w:t>
      </w:r>
      <w:r w:rsidRPr="002E1A3F">
        <w:rPr>
          <w:rFonts w:ascii="Calibri" w:eastAsia="Times New Roman" w:hAnsi="Calibri" w:cs="Calibri"/>
          <w:b/>
          <w:i/>
          <w:sz w:val="22"/>
          <w:szCs w:val="22"/>
        </w:rPr>
        <w:t xml:space="preserve">Organogram of the </w:t>
      </w:r>
      <w:r w:rsidR="00014B08">
        <w:rPr>
          <w:rFonts w:ascii="Calibri" w:eastAsia="Times New Roman" w:hAnsi="Calibri" w:cs="Calibri"/>
          <w:b/>
          <w:i/>
          <w:sz w:val="22"/>
          <w:szCs w:val="22"/>
        </w:rPr>
        <w:t>P</w:t>
      </w:r>
      <w:r w:rsidRPr="002E1A3F">
        <w:rPr>
          <w:rFonts w:ascii="Calibri" w:eastAsia="Times New Roman" w:hAnsi="Calibri" w:cs="Calibri"/>
          <w:b/>
          <w:i/>
          <w:sz w:val="22"/>
          <w:szCs w:val="22"/>
        </w:rPr>
        <w:t>roposed Second ACE Impact Project</w:t>
      </w:r>
    </w:p>
    <w:p w14:paraId="6411DC8B" w14:textId="77777777" w:rsidR="00E950C8" w:rsidRDefault="00B00100" w:rsidP="00FC1A97">
      <w:pPr>
        <w:keepNext/>
        <w:keepLines/>
        <w:tabs>
          <w:tab w:val="left" w:pos="0"/>
        </w:tabs>
        <w:contextualSpacing/>
        <w:rPr>
          <w:noProof/>
        </w:rPr>
      </w:pPr>
      <w:r w:rsidRPr="00CB3DDD">
        <w:t xml:space="preserve"> </w:t>
      </w:r>
      <w:r w:rsidRPr="002E1A3F">
        <w:rPr>
          <w:rFonts w:eastAsia="Times New Roman"/>
          <w:noProof/>
        </w:rPr>
        <w:t xml:space="preserve"> </w:t>
      </w:r>
    </w:p>
    <w:p w14:paraId="1C46ADD2" w14:textId="77777777" w:rsidR="002E1A3F" w:rsidRPr="002E1A3F" w:rsidRDefault="00B00100" w:rsidP="00FC1A97">
      <w:pPr>
        <w:keepNext/>
        <w:keepLines/>
        <w:tabs>
          <w:tab w:val="left" w:pos="0"/>
        </w:tabs>
        <w:contextualSpacing/>
        <w:rPr>
          <w:rFonts w:ascii="Calibri" w:eastAsia="Times New Roman" w:hAnsi="Calibri" w:cs="Calibri"/>
          <w:b/>
          <w:i/>
          <w:noProof/>
          <w:sz w:val="22"/>
          <w:szCs w:val="22"/>
        </w:rPr>
      </w:pPr>
      <w:r>
        <w:rPr>
          <w:noProof/>
        </w:rPr>
        <w:drawing>
          <wp:inline distT="0" distB="0" distL="0" distR="0" wp14:anchorId="6158FD4D" wp14:editId="2DFA56C7">
            <wp:extent cx="5943600" cy="2664423"/>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32530" name=""/>
                    <pic:cNvPicPr/>
                  </pic:nvPicPr>
                  <pic:blipFill>
                    <a:blip r:embed="rId35"/>
                    <a:srcRect t="2646"/>
                    <a:stretch>
                      <a:fillRect/>
                    </a:stretch>
                  </pic:blipFill>
                  <pic:spPr bwMode="auto">
                    <a:xfrm>
                      <a:off x="0" y="0"/>
                      <a:ext cx="5943600" cy="2664423"/>
                    </a:xfrm>
                    <a:prstGeom prst="rect">
                      <a:avLst/>
                    </a:prstGeom>
                    <a:ln>
                      <a:noFill/>
                    </a:ln>
                    <a:extLst>
                      <a:ext uri="{53640926-AAD7-44D8-BBD7-CCE9431645EC}">
                        <a14:shadowObscured xmlns:a14="http://schemas.microsoft.com/office/drawing/2010/main"/>
                      </a:ext>
                    </a:extLst>
                  </pic:spPr>
                </pic:pic>
              </a:graphicData>
            </a:graphic>
          </wp:inline>
        </w:drawing>
      </w:r>
    </w:p>
    <w:p w14:paraId="5E87054A" w14:textId="57636AA6" w:rsidR="002E1A3F" w:rsidRDefault="00B00100" w:rsidP="00FC1A97">
      <w:pPr>
        <w:widowControl/>
        <w:autoSpaceDE/>
        <w:autoSpaceDN/>
        <w:adjustRightInd/>
        <w:ind w:right="446"/>
        <w:rPr>
          <w:rFonts w:ascii="Calibri" w:eastAsia="Calibri,Times New Roman" w:hAnsi="Calibri" w:cs="Times New Roman"/>
          <w:i/>
          <w:color w:val="auto"/>
          <w:sz w:val="18"/>
          <w:szCs w:val="19"/>
        </w:rPr>
      </w:pPr>
      <w:r w:rsidRPr="000C46A6">
        <w:rPr>
          <w:rFonts w:ascii="Calibri" w:eastAsia="Calibri" w:hAnsi="Calibri" w:cs="Times New Roman"/>
          <w:i/>
          <w:color w:val="auto"/>
          <w:sz w:val="18"/>
          <w:szCs w:val="19"/>
        </w:rPr>
        <w:t>Note: Solid lines represent reporting lines;</w:t>
      </w:r>
      <w:r w:rsidR="000521EF">
        <w:rPr>
          <w:rFonts w:ascii="Calibri" w:eastAsia="Calibri" w:hAnsi="Calibri" w:cs="Times New Roman"/>
          <w:i/>
          <w:color w:val="auto"/>
          <w:sz w:val="18"/>
          <w:szCs w:val="19"/>
        </w:rPr>
        <w:t xml:space="preserve"> Both the First ACE Impact and Second ACE Impact Projects will share the same</w:t>
      </w:r>
      <w:r w:rsidR="00060D05">
        <w:rPr>
          <w:rFonts w:ascii="Calibri" w:eastAsia="Calibri" w:hAnsi="Calibri" w:cs="Times New Roman"/>
          <w:i/>
          <w:color w:val="auto"/>
          <w:sz w:val="18"/>
          <w:szCs w:val="19"/>
        </w:rPr>
        <w:t xml:space="preserve"> </w:t>
      </w:r>
      <w:r w:rsidR="00F81109">
        <w:rPr>
          <w:rFonts w:ascii="Calibri" w:eastAsia="Calibri" w:hAnsi="Calibri" w:cs="Times New Roman"/>
          <w:i/>
          <w:color w:val="auto"/>
          <w:sz w:val="18"/>
          <w:szCs w:val="19"/>
        </w:rPr>
        <w:t>P</w:t>
      </w:r>
      <w:r w:rsidR="0011752A">
        <w:rPr>
          <w:rFonts w:ascii="Calibri" w:eastAsia="Calibri" w:hAnsi="Calibri" w:cs="Times New Roman"/>
          <w:i/>
          <w:color w:val="auto"/>
          <w:sz w:val="18"/>
          <w:szCs w:val="19"/>
        </w:rPr>
        <w:t>SC</w:t>
      </w:r>
      <w:r w:rsidR="0011752A">
        <w:rPr>
          <w:rFonts w:ascii="Calibri" w:eastAsia="Calibri,Times New Roman" w:hAnsi="Calibri" w:cs="Times New Roman"/>
          <w:i/>
          <w:color w:val="auto"/>
          <w:sz w:val="18"/>
          <w:szCs w:val="19"/>
        </w:rPr>
        <w:t xml:space="preserve"> and RFU</w:t>
      </w:r>
      <w:r w:rsidR="00BE1281">
        <w:rPr>
          <w:rFonts w:ascii="Calibri" w:eastAsia="Calibri,Times New Roman" w:hAnsi="Calibri" w:cs="Times New Roman"/>
          <w:i/>
          <w:color w:val="auto"/>
          <w:sz w:val="18"/>
          <w:szCs w:val="19"/>
        </w:rPr>
        <w:t xml:space="preserve"> (for the purposes of the </w:t>
      </w:r>
      <w:r w:rsidR="00F81109">
        <w:rPr>
          <w:rFonts w:ascii="Calibri" w:eastAsia="Calibri,Times New Roman" w:hAnsi="Calibri" w:cs="Times New Roman"/>
          <w:i/>
          <w:color w:val="auto"/>
          <w:sz w:val="18"/>
          <w:szCs w:val="19"/>
        </w:rPr>
        <w:t>PAD</w:t>
      </w:r>
      <w:r w:rsidR="00BE1281">
        <w:rPr>
          <w:rFonts w:ascii="Calibri" w:eastAsia="Calibri,Times New Roman" w:hAnsi="Calibri" w:cs="Times New Roman"/>
          <w:i/>
          <w:color w:val="auto"/>
          <w:sz w:val="18"/>
          <w:szCs w:val="19"/>
        </w:rPr>
        <w:t>, only countr</w:t>
      </w:r>
      <w:r w:rsidR="00170BDD">
        <w:rPr>
          <w:rFonts w:ascii="Calibri" w:eastAsia="Calibri,Times New Roman" w:hAnsi="Calibri" w:cs="Times New Roman"/>
          <w:i/>
          <w:color w:val="auto"/>
          <w:sz w:val="18"/>
          <w:szCs w:val="19"/>
        </w:rPr>
        <w:t>ies under Second ACE Impact and C</w:t>
      </w:r>
      <w:r w:rsidR="000566DC" w:rsidRPr="000566DC">
        <w:rPr>
          <w:rFonts w:ascii="Calibri" w:eastAsia="Calibri,Times New Roman" w:hAnsi="Calibri" w:cs="Times New Roman"/>
          <w:i/>
          <w:color w:val="auto"/>
          <w:sz w:val="18"/>
          <w:szCs w:val="19"/>
        </w:rPr>
        <w:t>ô</w:t>
      </w:r>
      <w:r w:rsidR="00170BDD">
        <w:rPr>
          <w:rFonts w:ascii="Calibri" w:eastAsia="Calibri,Times New Roman" w:hAnsi="Calibri" w:cs="Times New Roman"/>
          <w:i/>
          <w:color w:val="auto"/>
          <w:sz w:val="18"/>
          <w:szCs w:val="19"/>
        </w:rPr>
        <w:t>te d’Ivoire are shown)</w:t>
      </w:r>
      <w:r w:rsidR="00F81109">
        <w:rPr>
          <w:rFonts w:ascii="Calibri" w:eastAsia="Calibri,Times New Roman" w:hAnsi="Calibri" w:cs="Times New Roman"/>
          <w:i/>
          <w:color w:val="auto"/>
          <w:sz w:val="18"/>
          <w:szCs w:val="19"/>
        </w:rPr>
        <w:t>.</w:t>
      </w:r>
    </w:p>
    <w:p w14:paraId="1BFF5878" w14:textId="77777777" w:rsidR="00F1285A" w:rsidRPr="000C46A6" w:rsidRDefault="00F1285A" w:rsidP="00FC1A97">
      <w:pPr>
        <w:widowControl/>
        <w:autoSpaceDE/>
        <w:autoSpaceDN/>
        <w:adjustRightInd/>
        <w:ind w:right="446"/>
        <w:rPr>
          <w:rFonts w:ascii="Calibri" w:eastAsia="Calibri,Times New Roman" w:hAnsi="Calibri" w:cs="Times New Roman"/>
          <w:i/>
          <w:color w:val="auto"/>
          <w:sz w:val="18"/>
          <w:szCs w:val="19"/>
        </w:rPr>
      </w:pPr>
    </w:p>
    <w:p w14:paraId="7CE2C3F7"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E1A3F">
        <w:rPr>
          <w:rFonts w:ascii="Calibri" w:eastAsia="Calibri" w:hAnsi="Calibri" w:cs="Calibri"/>
          <w:b/>
          <w:bCs/>
          <w:sz w:val="22"/>
          <w:szCs w:val="22"/>
        </w:rPr>
        <w:lastRenderedPageBreak/>
        <w:t>Each selected higher education instit</w:t>
      </w:r>
      <w:r w:rsidR="000D5EB2">
        <w:rPr>
          <w:rFonts w:ascii="Calibri" w:eastAsia="Calibri" w:hAnsi="Calibri" w:cs="Calibri"/>
          <w:b/>
          <w:bCs/>
          <w:sz w:val="22"/>
          <w:szCs w:val="22"/>
        </w:rPr>
        <w:t>u</w:t>
      </w:r>
      <w:r w:rsidRPr="002E1A3F">
        <w:rPr>
          <w:rFonts w:ascii="Calibri" w:eastAsia="Calibri" w:hAnsi="Calibri" w:cs="Calibri"/>
          <w:b/>
          <w:bCs/>
          <w:sz w:val="22"/>
          <w:szCs w:val="22"/>
        </w:rPr>
        <w:t>tion – whether benefitting from Component 1 or Sub-component 2.1 - will implement its own ACE Impact sub-project.</w:t>
      </w:r>
      <w:r w:rsidRPr="002E1A3F">
        <w:rPr>
          <w:rFonts w:ascii="Calibri" w:eastAsia="Calibri" w:hAnsi="Calibri" w:cs="Calibri"/>
          <w:sz w:val="22"/>
          <w:szCs w:val="22"/>
        </w:rPr>
        <w:t xml:space="preserve"> Each ACE Impact center will have an implementation team established to manage the project on a day-to-day basis. Each center will be responsible for its own strategic and implementation plans, fiduciary and M&amp;E activities. The team will be led by the</w:t>
      </w:r>
      <w:r w:rsidRPr="002E1A3F">
        <w:rPr>
          <w:rFonts w:ascii="Calibri,Arial,Times New Roman" w:eastAsia="Calibri,Arial,Times New Roman" w:hAnsi="Calibri,Arial,Times New Roman" w:cs="Calibri,Arial,Times New Roman"/>
          <w:sz w:val="22"/>
          <w:szCs w:val="22"/>
        </w:rPr>
        <w:t xml:space="preserve"> </w:t>
      </w:r>
      <w:r w:rsidRPr="002E1A3F">
        <w:rPr>
          <w:rFonts w:ascii="Calibri" w:eastAsia="Calibri" w:hAnsi="Calibri" w:cs="Calibri"/>
          <w:sz w:val="22"/>
          <w:szCs w:val="22"/>
        </w:rPr>
        <w:t>center director, who will be a recognized educator/researcher with expertise in the academic focus area of the center.  The center director will be supported by a deputy director and faculty from all departments contributing to the center. Each center team will also consist of key staff members specializing in procurement, FM, M&amp;E, communications and industry engagement who will support the center’s day-to day operations and assist with fiduciary tasks. The host university will provide to the centers administrative support and assistance on the safeguards tools to be developed by the centers. The center team will be advised by a SAB (composed of high-level representatives from the center’s industry/sector partners) and an International Academic Advisory Board (IAAB</w:t>
      </w:r>
      <w:r w:rsidRPr="002E1A3F">
        <w:rPr>
          <w:rFonts w:ascii="Calibri,Arial,Times New Roman" w:eastAsia="Calibri,Arial,Times New Roman" w:hAnsi="Calibri,Arial,Times New Roman" w:cs="Calibri,Arial,Times New Roman"/>
          <w:sz w:val="22"/>
          <w:szCs w:val="22"/>
        </w:rPr>
        <w:t>) (</w:t>
      </w:r>
      <w:r w:rsidRPr="002E1A3F">
        <w:rPr>
          <w:rFonts w:ascii="Calibri" w:eastAsia="Calibri" w:hAnsi="Calibri" w:cs="Calibri"/>
          <w:sz w:val="22"/>
          <w:szCs w:val="22"/>
        </w:rPr>
        <w:t>comprised of leading academics from around the world).  Both the SAB and the IAAB will contribute to the development of the education programs of the center, and will also provide advice, insight and oversight for the applied research program</w:t>
      </w:r>
      <w:r w:rsidR="00486AB7">
        <w:rPr>
          <w:rFonts w:ascii="Calibri" w:eastAsia="Calibri" w:hAnsi="Calibri" w:cs="Calibri"/>
          <w:sz w:val="22"/>
          <w:szCs w:val="22"/>
        </w:rPr>
        <w:t xml:space="preserve"> and long-term sustainability plan</w:t>
      </w:r>
      <w:r w:rsidRPr="002E1A3F">
        <w:rPr>
          <w:rFonts w:ascii="Calibri" w:eastAsia="Calibri" w:hAnsi="Calibri" w:cs="Calibri"/>
          <w:sz w:val="22"/>
          <w:szCs w:val="22"/>
        </w:rPr>
        <w:t xml:space="preserve">.  A student representative (non-staff) will be designated to represent the students of the center and will participate in the center’s staff meetings. ACE Impact centers supported under Component 1 will also lead regional networks in their areas of specialization (i.e., serve as research hubs). Each center will sign a partnership agreement with each of its partners </w:t>
      </w:r>
      <w:r w:rsidRPr="002E1A3F">
        <w:rPr>
          <w:rFonts w:ascii="Calibri" w:eastAsia="Calibri" w:hAnsi="Calibri" w:cs="Calibri"/>
          <w:spacing w:val="-1"/>
          <w:sz w:val="22"/>
          <w:szCs w:val="22"/>
        </w:rPr>
        <w:t>with a detailed work</w:t>
      </w:r>
      <w:r w:rsidR="004F20F7">
        <w:rPr>
          <w:rFonts w:ascii="Calibri" w:eastAsia="Calibri" w:hAnsi="Calibri" w:cs="Calibri"/>
          <w:spacing w:val="-1"/>
          <w:sz w:val="22"/>
          <w:szCs w:val="22"/>
        </w:rPr>
        <w:t xml:space="preserve"> </w:t>
      </w:r>
      <w:r w:rsidRPr="002E1A3F">
        <w:rPr>
          <w:rFonts w:ascii="Calibri" w:eastAsia="Calibri" w:hAnsi="Calibri" w:cs="Calibri"/>
          <w:spacing w:val="-1"/>
          <w:sz w:val="22"/>
          <w:szCs w:val="22"/>
        </w:rPr>
        <w:t>plan, budget and expected outcomes</w:t>
      </w:r>
      <w:r w:rsidRPr="002E1A3F">
        <w:rPr>
          <w:rFonts w:ascii="Calibri" w:eastAsia="Calibri" w:hAnsi="Calibri" w:cs="Calibri"/>
          <w:sz w:val="22"/>
          <w:szCs w:val="22"/>
        </w:rPr>
        <w:t>. Annually, and based on a consultative approach, each center will develop a work</w:t>
      </w:r>
      <w:r w:rsidR="004F20F7">
        <w:rPr>
          <w:rFonts w:ascii="Calibri" w:eastAsia="Calibri" w:hAnsi="Calibri" w:cs="Calibri"/>
          <w:sz w:val="22"/>
          <w:szCs w:val="22"/>
        </w:rPr>
        <w:t xml:space="preserve"> </w:t>
      </w:r>
      <w:r w:rsidRPr="002E1A3F">
        <w:rPr>
          <w:rFonts w:ascii="Calibri" w:eastAsia="Calibri" w:hAnsi="Calibri" w:cs="Calibri"/>
          <w:sz w:val="22"/>
          <w:szCs w:val="22"/>
        </w:rPr>
        <w:t>plan (aligned with its implementation plan) that describes the education, research and operational activities that will be accomplished.</w:t>
      </w:r>
    </w:p>
    <w:p w14:paraId="2284E40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Calibri"/>
          <w:b/>
          <w:bCs/>
          <w:sz w:val="22"/>
          <w:szCs w:val="22"/>
        </w:rPr>
        <w:t xml:space="preserve">Each national government participating in the Second </w:t>
      </w:r>
      <w:r w:rsidR="00BB4A89">
        <w:rPr>
          <w:rFonts w:ascii="Calibri" w:eastAsia="Calibri" w:hAnsi="Calibri" w:cs="Calibri"/>
          <w:b/>
          <w:bCs/>
          <w:sz w:val="22"/>
          <w:szCs w:val="22"/>
        </w:rPr>
        <w:t>ACE Impact Project</w:t>
      </w:r>
      <w:r w:rsidRPr="002E1A3F">
        <w:rPr>
          <w:rFonts w:ascii="Calibri" w:eastAsia="Calibri" w:hAnsi="Calibri" w:cs="Calibri"/>
          <w:b/>
          <w:bCs/>
          <w:sz w:val="22"/>
          <w:szCs w:val="22"/>
        </w:rPr>
        <w:t xml:space="preserve"> will establish a National Steering Committee (NSC) facilitated by the Ministry or agency responsible for higher education.  </w:t>
      </w:r>
      <w:r w:rsidRPr="002E1A3F">
        <w:rPr>
          <w:rFonts w:ascii="Calibri" w:eastAsia="Calibri" w:hAnsi="Calibri" w:cs="Calibri"/>
          <w:bCs/>
          <w:sz w:val="22"/>
          <w:szCs w:val="22"/>
        </w:rPr>
        <w:t xml:space="preserve">The Committee will be tasked with undertaking a semi-annual review of implementation performance, and implementation planning and support. The NSC will review the FM and procurement annual audit reports (follow-up on recommendations in audit and review adherence to </w:t>
      </w:r>
      <w:r w:rsidRPr="002E1A3F">
        <w:rPr>
          <w:rFonts w:ascii="Calibri" w:eastAsia="Calibri" w:hAnsi="Calibri" w:cs="Times New Roman"/>
          <w:color w:val="auto"/>
          <w:sz w:val="22"/>
          <w:szCs w:val="22"/>
        </w:rPr>
        <w:t>national procurement and FM guidelines</w:t>
      </w:r>
      <w:r w:rsidRPr="002E1A3F">
        <w:rPr>
          <w:rFonts w:ascii="Calibri" w:eastAsia="Calibri" w:hAnsi="Calibri" w:cs="Calibri"/>
          <w:bCs/>
          <w:sz w:val="22"/>
          <w:szCs w:val="22"/>
        </w:rPr>
        <w:t>), implementation plans, annual work</w:t>
      </w:r>
      <w:r w:rsidR="004F20F7">
        <w:rPr>
          <w:rFonts w:ascii="Calibri" w:eastAsia="Calibri" w:hAnsi="Calibri" w:cs="Calibri"/>
          <w:bCs/>
          <w:sz w:val="22"/>
          <w:szCs w:val="22"/>
        </w:rPr>
        <w:t xml:space="preserve"> </w:t>
      </w:r>
      <w:r w:rsidRPr="002E1A3F">
        <w:rPr>
          <w:rFonts w:ascii="Calibri" w:eastAsia="Calibri" w:hAnsi="Calibri" w:cs="Calibri"/>
          <w:bCs/>
          <w:sz w:val="22"/>
          <w:szCs w:val="22"/>
        </w:rPr>
        <w:t xml:space="preserve">plans, annual budgets, </w:t>
      </w:r>
      <w:r w:rsidRPr="002E1A3F">
        <w:rPr>
          <w:rFonts w:ascii="Calibri" w:eastAsia="Calibri" w:hAnsi="Calibri" w:cs="Calibri"/>
          <w:color w:val="auto"/>
          <w:sz w:val="22"/>
          <w:szCs w:val="22"/>
        </w:rPr>
        <w:t xml:space="preserve">Interim </w:t>
      </w:r>
      <w:r w:rsidR="0035552A">
        <w:rPr>
          <w:rFonts w:ascii="Calibri" w:eastAsia="Calibri" w:hAnsi="Calibri" w:cs="Calibri"/>
          <w:color w:val="auto"/>
          <w:sz w:val="22"/>
          <w:szCs w:val="22"/>
        </w:rPr>
        <w:t>U</w:t>
      </w:r>
      <w:r w:rsidR="0035552A" w:rsidRPr="002E1A3F">
        <w:rPr>
          <w:rFonts w:ascii="Calibri" w:eastAsia="Calibri" w:hAnsi="Calibri" w:cs="Calibri"/>
          <w:color w:val="auto"/>
          <w:sz w:val="22"/>
          <w:szCs w:val="22"/>
        </w:rPr>
        <w:t xml:space="preserve">naudited </w:t>
      </w:r>
      <w:r w:rsidRPr="002E1A3F">
        <w:rPr>
          <w:rFonts w:ascii="Calibri" w:eastAsia="Calibri" w:hAnsi="Calibri" w:cs="Calibri"/>
          <w:color w:val="auto"/>
          <w:sz w:val="22"/>
          <w:szCs w:val="22"/>
        </w:rPr>
        <w:t>Financial Reports (</w:t>
      </w:r>
      <w:r w:rsidRPr="002E1A3F">
        <w:rPr>
          <w:rFonts w:ascii="Calibri" w:eastAsia="Calibri" w:hAnsi="Calibri" w:cs="Calibri"/>
          <w:bCs/>
          <w:sz w:val="22"/>
          <w:szCs w:val="22"/>
        </w:rPr>
        <w:t xml:space="preserve">IFRs), and results (achievements of DLRs and fund utilization) of the center(s) and national facilitation agency (in the case of </w:t>
      </w:r>
      <w:r w:rsidR="00B51694">
        <w:rPr>
          <w:rFonts w:ascii="Calibri" w:eastAsia="Calibri" w:hAnsi="Calibri" w:cs="Calibri"/>
          <w:bCs/>
          <w:sz w:val="22"/>
          <w:szCs w:val="22"/>
        </w:rPr>
        <w:t>The Gambia</w:t>
      </w:r>
      <w:r w:rsidR="00B51694" w:rsidRPr="002E1A3F">
        <w:rPr>
          <w:rFonts w:ascii="Calibri" w:eastAsia="Calibri" w:hAnsi="Calibri" w:cs="Calibri"/>
          <w:bCs/>
          <w:sz w:val="22"/>
          <w:szCs w:val="22"/>
        </w:rPr>
        <w:t xml:space="preserve"> </w:t>
      </w:r>
      <w:r w:rsidRPr="002E1A3F">
        <w:rPr>
          <w:rFonts w:ascii="Calibri" w:eastAsia="Calibri" w:hAnsi="Calibri" w:cs="Calibri"/>
          <w:bCs/>
          <w:sz w:val="22"/>
          <w:szCs w:val="22"/>
        </w:rPr>
        <w:t>and</w:t>
      </w:r>
      <w:r w:rsidR="00626D08">
        <w:rPr>
          <w:rFonts w:ascii="Calibri" w:eastAsia="Calibri" w:hAnsi="Calibri" w:cs="Calibri"/>
          <w:bCs/>
          <w:sz w:val="22"/>
          <w:szCs w:val="22"/>
        </w:rPr>
        <w:t xml:space="preserve"> </w:t>
      </w:r>
      <w:r w:rsidR="00B51694">
        <w:rPr>
          <w:rFonts w:ascii="Calibri" w:eastAsia="Calibri" w:hAnsi="Calibri" w:cs="Calibri"/>
          <w:bCs/>
          <w:sz w:val="22"/>
          <w:szCs w:val="22"/>
        </w:rPr>
        <w:t>Nigeria</w:t>
      </w:r>
      <w:r w:rsidRPr="002E1A3F">
        <w:rPr>
          <w:rFonts w:ascii="Calibri" w:eastAsia="Calibri" w:hAnsi="Calibri" w:cs="Calibri"/>
          <w:bCs/>
          <w:sz w:val="22"/>
          <w:szCs w:val="22"/>
        </w:rPr>
        <w:t>). The NSC will be the national level advocate for the center(s) and will foster linkages between the center(s) and government bodies and line ministries. The NSC will not be tasked with day-to-day implementation of the centers’ sub-projects at each institution.  While the composition of the NSC will be at the discretion of each participating country, it is anticipated that the Minister or head of agency in charge of higher education will designate a chair who will convene the committee, which will include members from the Ministry of Finance (MoF) as well as the relevant line ministries for the focus areas of each ACE Impact center in that country (e.g.</w:t>
      </w:r>
      <w:r w:rsidR="00321526">
        <w:rPr>
          <w:rFonts w:ascii="Calibri" w:eastAsia="Calibri" w:hAnsi="Calibri" w:cs="Calibri"/>
          <w:bCs/>
          <w:sz w:val="22"/>
          <w:szCs w:val="22"/>
        </w:rPr>
        <w:t>,</w:t>
      </w:r>
      <w:r w:rsidRPr="002E1A3F">
        <w:rPr>
          <w:rFonts w:ascii="Calibri" w:eastAsia="Calibri" w:hAnsi="Calibri" w:cs="Calibri"/>
          <w:bCs/>
          <w:sz w:val="22"/>
          <w:szCs w:val="22"/>
        </w:rPr>
        <w:t xml:space="preserve"> health, water, transport, energy</w:t>
      </w:r>
      <w:r w:rsidR="00321526">
        <w:rPr>
          <w:rFonts w:ascii="Calibri" w:eastAsia="Calibri" w:hAnsi="Calibri" w:cs="Calibri"/>
          <w:bCs/>
          <w:sz w:val="22"/>
          <w:szCs w:val="22"/>
        </w:rPr>
        <w:t>,</w:t>
      </w:r>
      <w:r w:rsidRPr="002E1A3F">
        <w:rPr>
          <w:rFonts w:ascii="Calibri" w:eastAsia="Calibri" w:hAnsi="Calibri" w:cs="Calibri"/>
          <w:bCs/>
          <w:sz w:val="22"/>
          <w:szCs w:val="22"/>
        </w:rPr>
        <w:t xml:space="preserve"> etc.)</w:t>
      </w:r>
    </w:p>
    <w:p w14:paraId="5F2BA4D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E1A3F">
        <w:rPr>
          <w:rFonts w:ascii="Calibri" w:eastAsia="Calibri" w:hAnsi="Calibri" w:cs="Calibri"/>
          <w:b/>
          <w:sz w:val="22"/>
          <w:szCs w:val="22"/>
        </w:rPr>
        <w:t>The ACE Impact PSC will provide overall guidance and oversight for the project.</w:t>
      </w:r>
      <w:r w:rsidRPr="002E1A3F">
        <w:rPr>
          <w:rFonts w:ascii="Calibri" w:eastAsia="Calibri" w:hAnsi="Calibri" w:cs="Calibri"/>
          <w:sz w:val="22"/>
          <w:szCs w:val="22"/>
        </w:rPr>
        <w:t xml:space="preserve"> The PSC is responsible for ensuring that the PDO</w:t>
      </w:r>
      <w:r w:rsidR="00043D71">
        <w:rPr>
          <w:rFonts w:ascii="Calibri" w:eastAsia="Calibri" w:hAnsi="Calibri" w:cs="Calibri"/>
          <w:sz w:val="22"/>
          <w:szCs w:val="22"/>
        </w:rPr>
        <w:t xml:space="preserve"> is</w:t>
      </w:r>
      <w:r w:rsidRPr="002E1A3F">
        <w:rPr>
          <w:rFonts w:ascii="Calibri" w:eastAsia="Calibri" w:hAnsi="Calibri" w:cs="Calibri"/>
          <w:sz w:val="22"/>
          <w:szCs w:val="22"/>
        </w:rPr>
        <w:t xml:space="preserve"> achieved. The PSC will be comprised of two levels: Ministerial and government representative. The Ministerial</w:t>
      </w:r>
      <w:r w:rsidRPr="002E1A3F">
        <w:rPr>
          <w:rFonts w:ascii="Calibri,Arial,Times New Roman" w:eastAsia="Calibri,Arial,Times New Roman" w:hAnsi="Calibri,Arial,Times New Roman" w:cs="Calibri,Arial,Times New Roman"/>
          <w:sz w:val="22"/>
          <w:szCs w:val="22"/>
        </w:rPr>
        <w:t>-</w:t>
      </w:r>
      <w:r w:rsidRPr="002E1A3F">
        <w:rPr>
          <w:rFonts w:ascii="Calibri" w:eastAsia="Calibri" w:hAnsi="Calibri" w:cs="Calibri"/>
          <w:sz w:val="22"/>
          <w:szCs w:val="22"/>
        </w:rPr>
        <w:t xml:space="preserve">level PSC will be comprised of the Ministers in charge of </w:t>
      </w:r>
      <w:r w:rsidRPr="002E1A3F">
        <w:rPr>
          <w:rFonts w:ascii="Calibri" w:eastAsia="Calibri" w:hAnsi="Calibri" w:cs="Calibri"/>
          <w:sz w:val="22"/>
          <w:szCs w:val="22"/>
        </w:rPr>
        <w:lastRenderedPageBreak/>
        <w:t>higher education in the participating countries</w:t>
      </w:r>
      <w:r w:rsidR="00780DC4">
        <w:rPr>
          <w:rFonts w:ascii="Calibri" w:eastAsia="Calibri" w:hAnsi="Calibri" w:cs="Calibri"/>
          <w:sz w:val="22"/>
          <w:szCs w:val="22"/>
        </w:rPr>
        <w:t xml:space="preserve"> (for both First ACE Impact Project and Second ACE Impact Project)</w:t>
      </w:r>
      <w:r w:rsidRPr="002E1A3F">
        <w:rPr>
          <w:rFonts w:ascii="Calibri" w:eastAsia="Calibri" w:hAnsi="Calibri" w:cs="Calibri"/>
          <w:sz w:val="22"/>
          <w:szCs w:val="22"/>
        </w:rPr>
        <w:t>, whereas the representative</w:t>
      </w:r>
      <w:r w:rsidRPr="002E1A3F">
        <w:rPr>
          <w:rFonts w:ascii="Calibri,Arial,Times New Roman" w:eastAsia="Calibri,Arial,Times New Roman" w:hAnsi="Calibri,Arial,Times New Roman" w:cs="Calibri,Arial,Times New Roman"/>
          <w:sz w:val="22"/>
          <w:szCs w:val="22"/>
        </w:rPr>
        <w:t>-</w:t>
      </w:r>
      <w:r w:rsidRPr="002E1A3F">
        <w:rPr>
          <w:rFonts w:ascii="Calibri" w:eastAsia="Calibri" w:hAnsi="Calibri" w:cs="Calibri"/>
          <w:sz w:val="22"/>
          <w:szCs w:val="22"/>
        </w:rPr>
        <w:t>level PSC will be comprised of representatives (senior advisors) appointed by these Ministers. Representatives from the ECOWAS Commission and UEMOA, other relevant regional bodies where necessary, recognized African and international academicians, vice chancellors (2), sector representatives, and key private sector stakeholders will be selected to participate in the PSC meetings. The Ministerial</w:t>
      </w:r>
      <w:r w:rsidRPr="002E1A3F">
        <w:rPr>
          <w:rFonts w:ascii="Calibri,Arial,Times New Roman" w:eastAsia="Calibri,Arial,Times New Roman" w:hAnsi="Calibri,Arial,Times New Roman" w:cs="Calibri,Arial,Times New Roman"/>
          <w:sz w:val="22"/>
          <w:szCs w:val="22"/>
        </w:rPr>
        <w:t>-</w:t>
      </w:r>
      <w:r w:rsidRPr="002E1A3F">
        <w:rPr>
          <w:rFonts w:ascii="Calibri" w:eastAsia="Calibri" w:hAnsi="Calibri" w:cs="Calibri"/>
          <w:sz w:val="22"/>
          <w:szCs w:val="22"/>
        </w:rPr>
        <w:t>level PSC will be the highest decision-making body within the institutional structure of the project. The representative level PSC will oversee the implementation of the decisions of the Ministerial level. An ACE Impact focal point may also be appointed to support their respective PSC representatives in their duties. The Chair of the PSC will rotate to the government hosting the meeting</w:t>
      </w:r>
      <w:r w:rsidRPr="002E1A3F">
        <w:rPr>
          <w:rFonts w:ascii="Calibri,Arial,Times New Roman" w:eastAsia="Calibri,Arial,Times New Roman" w:hAnsi="Calibri,Arial,Times New Roman" w:cs="Calibri,Arial,Times New Roman"/>
          <w:sz w:val="22"/>
          <w:szCs w:val="22"/>
        </w:rPr>
        <w:t>.</w:t>
      </w:r>
    </w:p>
    <w:p w14:paraId="285FF24C" w14:textId="77777777" w:rsidR="00873E74" w:rsidRPr="00F75C35"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F75C35">
        <w:rPr>
          <w:rFonts w:ascii="Calibri" w:eastAsia="Calibri" w:hAnsi="Calibri" w:cs="Calibri"/>
          <w:b/>
          <w:sz w:val="22"/>
          <w:szCs w:val="22"/>
        </w:rPr>
        <w:t xml:space="preserve">Under </w:t>
      </w:r>
      <w:r w:rsidR="008A443C" w:rsidRPr="00F75C35">
        <w:rPr>
          <w:rFonts w:ascii="Calibri" w:eastAsia="Calibri" w:hAnsi="Calibri" w:cs="Calibri"/>
          <w:b/>
          <w:sz w:val="22"/>
          <w:szCs w:val="22"/>
        </w:rPr>
        <w:t>C</w:t>
      </w:r>
      <w:r w:rsidRPr="008021DF">
        <w:rPr>
          <w:rFonts w:ascii="Calibri" w:eastAsia="Calibri" w:hAnsi="Calibri" w:cs="Calibri"/>
          <w:b/>
          <w:sz w:val="22"/>
          <w:szCs w:val="22"/>
        </w:rPr>
        <w:t xml:space="preserve">omponent 3 of the </w:t>
      </w:r>
      <w:r w:rsidR="008A443C" w:rsidRPr="007D55BC">
        <w:rPr>
          <w:rFonts w:ascii="Calibri" w:eastAsia="Calibri" w:hAnsi="Calibri" w:cs="Calibri"/>
          <w:b/>
          <w:sz w:val="22"/>
          <w:szCs w:val="22"/>
        </w:rPr>
        <w:t xml:space="preserve">proposed </w:t>
      </w:r>
      <w:r w:rsidR="00CC2CF6" w:rsidRPr="007D55BC">
        <w:rPr>
          <w:rFonts w:ascii="Calibri" w:eastAsia="Calibri" w:hAnsi="Calibri" w:cs="Calibri"/>
          <w:b/>
          <w:sz w:val="22"/>
          <w:szCs w:val="22"/>
        </w:rPr>
        <w:t xml:space="preserve">Second </w:t>
      </w:r>
      <w:r w:rsidR="00BB4A89" w:rsidRPr="00375F20">
        <w:rPr>
          <w:rFonts w:ascii="Calibri" w:eastAsia="Calibri" w:hAnsi="Calibri" w:cs="Calibri"/>
          <w:b/>
          <w:sz w:val="22"/>
          <w:szCs w:val="22"/>
        </w:rPr>
        <w:t>ACE Impact Project</w:t>
      </w:r>
      <w:r w:rsidRPr="00375F20">
        <w:rPr>
          <w:rFonts w:ascii="Calibri" w:eastAsia="Calibri" w:hAnsi="Calibri" w:cs="Calibri"/>
          <w:b/>
          <w:sz w:val="22"/>
          <w:szCs w:val="22"/>
        </w:rPr>
        <w:t xml:space="preserve">, </w:t>
      </w:r>
      <w:r w:rsidR="00CC2CF6" w:rsidRPr="00375F20">
        <w:rPr>
          <w:rFonts w:ascii="Calibri" w:eastAsia="Calibri" w:hAnsi="Calibri" w:cs="Calibri"/>
          <w:b/>
          <w:sz w:val="22"/>
          <w:szCs w:val="22"/>
        </w:rPr>
        <w:t>AAU</w:t>
      </w:r>
      <w:r w:rsidR="0056743B" w:rsidRPr="00F75C35">
        <w:rPr>
          <w:rFonts w:ascii="Calibri" w:eastAsia="Calibri" w:hAnsi="Calibri" w:cs="Calibri"/>
          <w:b/>
          <w:sz w:val="22"/>
          <w:szCs w:val="22"/>
        </w:rPr>
        <w:t xml:space="preserve"> (also the RFU for the First </w:t>
      </w:r>
      <w:r w:rsidR="00BB4A89" w:rsidRPr="00F75C35">
        <w:rPr>
          <w:rFonts w:ascii="Calibri" w:eastAsia="Calibri" w:hAnsi="Calibri" w:cs="Calibri"/>
          <w:b/>
          <w:sz w:val="22"/>
          <w:szCs w:val="22"/>
        </w:rPr>
        <w:t>ACE Impact Project</w:t>
      </w:r>
      <w:r w:rsidR="0056743B" w:rsidRPr="00F75C35">
        <w:rPr>
          <w:rFonts w:ascii="Calibri" w:eastAsia="Calibri" w:hAnsi="Calibri" w:cs="Calibri"/>
          <w:b/>
          <w:sz w:val="22"/>
          <w:szCs w:val="22"/>
        </w:rPr>
        <w:t>)</w:t>
      </w:r>
      <w:r w:rsidR="00CC2CF6" w:rsidRPr="00F75C35">
        <w:rPr>
          <w:rFonts w:ascii="Calibri" w:eastAsia="Calibri" w:hAnsi="Calibri" w:cs="Calibri"/>
          <w:b/>
          <w:sz w:val="22"/>
          <w:szCs w:val="22"/>
        </w:rPr>
        <w:t xml:space="preserve"> will </w:t>
      </w:r>
      <w:r w:rsidR="00F430AC" w:rsidRPr="00F75C35">
        <w:rPr>
          <w:rFonts w:ascii="Calibri" w:eastAsia="Calibri" w:hAnsi="Calibri" w:cs="Calibri"/>
          <w:b/>
          <w:sz w:val="22"/>
          <w:szCs w:val="22"/>
        </w:rPr>
        <w:t>receive a</w:t>
      </w:r>
      <w:r w:rsidR="00C12D0F" w:rsidRPr="00F75C35">
        <w:rPr>
          <w:rFonts w:ascii="Calibri" w:eastAsia="Calibri" w:hAnsi="Calibri" w:cs="Calibri"/>
          <w:b/>
          <w:sz w:val="22"/>
          <w:szCs w:val="22"/>
        </w:rPr>
        <w:t xml:space="preserve"> </w:t>
      </w:r>
      <w:r w:rsidRPr="00F75C35">
        <w:rPr>
          <w:rFonts w:ascii="Calibri" w:eastAsia="Calibri" w:hAnsi="Calibri" w:cs="Calibri"/>
          <w:b/>
          <w:sz w:val="22"/>
          <w:szCs w:val="22"/>
        </w:rPr>
        <w:t xml:space="preserve">regional grant for facilitating support to Component 1 and </w:t>
      </w:r>
      <w:r w:rsidR="00FC3030" w:rsidRPr="00F75C35">
        <w:rPr>
          <w:rFonts w:ascii="Calibri" w:eastAsia="Calibri" w:hAnsi="Calibri" w:cs="Calibri"/>
          <w:b/>
          <w:sz w:val="22"/>
          <w:szCs w:val="22"/>
        </w:rPr>
        <w:t xml:space="preserve">Sub-component </w:t>
      </w:r>
      <w:r w:rsidRPr="00F75C35">
        <w:rPr>
          <w:rFonts w:ascii="Calibri" w:eastAsia="Calibri" w:hAnsi="Calibri" w:cs="Calibri"/>
          <w:b/>
          <w:sz w:val="22"/>
          <w:szCs w:val="22"/>
        </w:rPr>
        <w:t>2</w:t>
      </w:r>
      <w:r w:rsidR="00E72AA4" w:rsidRPr="00F75C35">
        <w:rPr>
          <w:rFonts w:ascii="Calibri" w:eastAsia="Calibri" w:hAnsi="Calibri" w:cs="Calibri"/>
          <w:b/>
          <w:sz w:val="22"/>
          <w:szCs w:val="22"/>
        </w:rPr>
        <w:t>.1</w:t>
      </w:r>
      <w:r w:rsidR="00D2137E" w:rsidRPr="00F75C35">
        <w:rPr>
          <w:rFonts w:ascii="Calibri" w:eastAsia="Calibri" w:hAnsi="Calibri" w:cs="Calibri"/>
          <w:b/>
          <w:sz w:val="22"/>
          <w:szCs w:val="22"/>
        </w:rPr>
        <w:t>.</w:t>
      </w:r>
      <w:r w:rsidRPr="00F75C35">
        <w:rPr>
          <w:rFonts w:ascii="Calibri" w:eastAsia="Calibri" w:hAnsi="Calibri" w:cs="Calibri"/>
          <w:b/>
          <w:sz w:val="22"/>
          <w:szCs w:val="22"/>
        </w:rPr>
        <w:t xml:space="preserve"> </w:t>
      </w:r>
      <w:r w:rsidRPr="00F75C35">
        <w:rPr>
          <w:rFonts w:ascii="Calibri" w:eastAsia="Calibri" w:hAnsi="Calibri" w:cs="Calibri"/>
          <w:sz w:val="22"/>
          <w:szCs w:val="22"/>
        </w:rPr>
        <w:t>This funding builds upon the AAU’s experience in a similar role for ACE I.  The work</w:t>
      </w:r>
      <w:r w:rsidR="00671147" w:rsidRPr="00F75C35">
        <w:rPr>
          <w:rFonts w:ascii="Calibri" w:eastAsia="Calibri" w:hAnsi="Calibri" w:cs="Calibri"/>
          <w:sz w:val="22"/>
          <w:szCs w:val="22"/>
        </w:rPr>
        <w:t xml:space="preserve"> </w:t>
      </w:r>
      <w:r w:rsidRPr="00F75C35">
        <w:rPr>
          <w:rFonts w:ascii="Calibri" w:eastAsia="Calibri" w:hAnsi="Calibri" w:cs="Calibri"/>
          <w:sz w:val="22"/>
          <w:szCs w:val="22"/>
        </w:rPr>
        <w:t xml:space="preserve">plan for AAU will be determined annually between the World Bank and the PSC. </w:t>
      </w:r>
      <w:r w:rsidR="009428CD" w:rsidRPr="00F75C35">
        <w:rPr>
          <w:rFonts w:ascii="Calibri" w:eastAsia="Calibri" w:hAnsi="Calibri" w:cs="Calibri"/>
          <w:sz w:val="22"/>
          <w:szCs w:val="22"/>
        </w:rPr>
        <w:t xml:space="preserve">The World Bank will </w:t>
      </w:r>
      <w:r w:rsidR="001E006D" w:rsidRPr="00F75C35">
        <w:rPr>
          <w:rFonts w:ascii="Calibri" w:eastAsia="Calibri" w:hAnsi="Calibri" w:cs="Calibri"/>
          <w:sz w:val="22"/>
          <w:szCs w:val="22"/>
        </w:rPr>
        <w:t xml:space="preserve">assess AAU’s performance against the </w:t>
      </w:r>
      <w:r w:rsidR="00D94B69" w:rsidRPr="00F75C35">
        <w:rPr>
          <w:rFonts w:ascii="Calibri" w:eastAsia="Calibri" w:hAnsi="Calibri" w:cs="Calibri"/>
          <w:sz w:val="22"/>
          <w:szCs w:val="22"/>
        </w:rPr>
        <w:t>approved</w:t>
      </w:r>
      <w:r w:rsidR="001E006D" w:rsidRPr="00F75C35">
        <w:rPr>
          <w:rFonts w:ascii="Calibri" w:eastAsia="Calibri" w:hAnsi="Calibri" w:cs="Calibri"/>
          <w:sz w:val="22"/>
          <w:szCs w:val="22"/>
        </w:rPr>
        <w:t xml:space="preserve"> </w:t>
      </w:r>
      <w:r w:rsidR="00762DF9" w:rsidRPr="00F75C35">
        <w:rPr>
          <w:rFonts w:ascii="Calibri" w:eastAsia="Calibri" w:hAnsi="Calibri" w:cs="Calibri"/>
          <w:sz w:val="22"/>
          <w:szCs w:val="22"/>
        </w:rPr>
        <w:t xml:space="preserve">RFU </w:t>
      </w:r>
      <w:r w:rsidR="001E006D" w:rsidRPr="00F75C35">
        <w:rPr>
          <w:rFonts w:ascii="Calibri" w:eastAsia="Calibri" w:hAnsi="Calibri" w:cs="Calibri"/>
          <w:sz w:val="22"/>
          <w:szCs w:val="22"/>
        </w:rPr>
        <w:t>annual workplan</w:t>
      </w:r>
      <w:r w:rsidR="00474CCD" w:rsidRPr="00F75C35">
        <w:rPr>
          <w:rFonts w:ascii="Calibri" w:eastAsia="Calibri" w:hAnsi="Calibri" w:cs="Calibri"/>
          <w:sz w:val="22"/>
          <w:szCs w:val="22"/>
        </w:rPr>
        <w:t xml:space="preserve"> </w:t>
      </w:r>
      <w:r w:rsidR="00762DF9" w:rsidRPr="00F75C35">
        <w:rPr>
          <w:rFonts w:ascii="Calibri" w:eastAsia="Calibri" w:hAnsi="Calibri" w:cs="Calibri"/>
          <w:sz w:val="22"/>
          <w:szCs w:val="22"/>
        </w:rPr>
        <w:t>based on</w:t>
      </w:r>
      <w:r w:rsidR="00474CCD" w:rsidRPr="00F75C35">
        <w:rPr>
          <w:rFonts w:ascii="Calibri" w:eastAsia="Calibri" w:hAnsi="Calibri" w:cs="Calibri"/>
          <w:sz w:val="22"/>
          <w:szCs w:val="22"/>
        </w:rPr>
        <w:t xml:space="preserve"> </w:t>
      </w:r>
      <w:r w:rsidR="00762DF9" w:rsidRPr="00F75C35">
        <w:rPr>
          <w:rFonts w:ascii="Calibri" w:eastAsia="Calibri" w:hAnsi="Calibri" w:cs="Calibri"/>
          <w:sz w:val="22"/>
          <w:szCs w:val="22"/>
        </w:rPr>
        <w:t xml:space="preserve">agreed </w:t>
      </w:r>
      <w:r w:rsidR="00474CCD" w:rsidRPr="00F75C35">
        <w:rPr>
          <w:rFonts w:ascii="Calibri" w:eastAsia="Calibri" w:hAnsi="Calibri" w:cs="Calibri"/>
          <w:sz w:val="22"/>
          <w:szCs w:val="22"/>
        </w:rPr>
        <w:t>performance metrics</w:t>
      </w:r>
      <w:r w:rsidR="009346F6" w:rsidRPr="00F75C35">
        <w:rPr>
          <w:rFonts w:ascii="Calibri" w:eastAsia="Calibri" w:hAnsi="Calibri" w:cs="Calibri"/>
          <w:sz w:val="22"/>
          <w:szCs w:val="22"/>
        </w:rPr>
        <w:t>.</w:t>
      </w:r>
      <w:r w:rsidR="001E006D" w:rsidRPr="00F75C35">
        <w:rPr>
          <w:rFonts w:ascii="Calibri" w:eastAsia="Calibri" w:hAnsi="Calibri" w:cs="Calibri"/>
          <w:sz w:val="22"/>
          <w:szCs w:val="22"/>
        </w:rPr>
        <w:t xml:space="preserve"> </w:t>
      </w:r>
      <w:r w:rsidR="00C56546" w:rsidRPr="00F75C35">
        <w:rPr>
          <w:rFonts w:ascii="Calibri" w:eastAsia="Calibri" w:hAnsi="Calibri" w:cs="Calibri"/>
          <w:sz w:val="22"/>
          <w:szCs w:val="22"/>
        </w:rPr>
        <w:t xml:space="preserve">The </w:t>
      </w:r>
      <w:r w:rsidR="00CC2619" w:rsidRPr="00F75C35">
        <w:rPr>
          <w:rFonts w:ascii="Calibri" w:eastAsia="Calibri" w:hAnsi="Calibri" w:cs="Calibri"/>
          <w:sz w:val="22"/>
          <w:szCs w:val="22"/>
        </w:rPr>
        <w:t xml:space="preserve">AAU will recruit a full time </w:t>
      </w:r>
      <w:r w:rsidR="00C56546" w:rsidRPr="00F75C35">
        <w:rPr>
          <w:rFonts w:ascii="Calibri" w:eastAsia="Calibri" w:hAnsi="Calibri" w:cs="Calibri"/>
          <w:sz w:val="22"/>
          <w:szCs w:val="22"/>
        </w:rPr>
        <w:t xml:space="preserve">ACE Impact Project Manager </w:t>
      </w:r>
      <w:r w:rsidR="00CC2619" w:rsidRPr="00F75C35">
        <w:rPr>
          <w:rFonts w:ascii="Calibri" w:eastAsia="Calibri" w:hAnsi="Calibri" w:cs="Calibri"/>
          <w:sz w:val="22"/>
          <w:szCs w:val="22"/>
        </w:rPr>
        <w:t xml:space="preserve">who </w:t>
      </w:r>
      <w:r w:rsidR="00C56546" w:rsidRPr="00F75C35">
        <w:rPr>
          <w:rFonts w:ascii="Calibri" w:eastAsia="Calibri" w:hAnsi="Calibri" w:cs="Calibri"/>
          <w:sz w:val="22"/>
          <w:szCs w:val="22"/>
        </w:rPr>
        <w:t xml:space="preserve">will, among other responsibilities, lead the RFU, be a member of the AAU Project management team, and report to the AAU Secretary General. </w:t>
      </w:r>
      <w:r w:rsidRPr="00F75C35">
        <w:rPr>
          <w:rFonts w:ascii="Calibri" w:eastAsia="Calibri" w:hAnsi="Calibri" w:cs="Calibri"/>
          <w:sz w:val="22"/>
          <w:szCs w:val="22"/>
        </w:rPr>
        <w:t xml:space="preserve">The AAU coordinated the </w:t>
      </w:r>
      <w:r w:rsidR="006C09ED" w:rsidRPr="00F75C35">
        <w:rPr>
          <w:rFonts w:ascii="Calibri" w:eastAsia="Calibri" w:hAnsi="Calibri" w:cs="Calibri"/>
          <w:sz w:val="22"/>
          <w:szCs w:val="22"/>
        </w:rPr>
        <w:t>C</w:t>
      </w:r>
      <w:r w:rsidRPr="00F75C35">
        <w:rPr>
          <w:rFonts w:ascii="Calibri" w:eastAsia="Calibri" w:hAnsi="Calibri" w:cs="Calibri"/>
          <w:sz w:val="22"/>
          <w:szCs w:val="22"/>
        </w:rPr>
        <w:t xml:space="preserve">all for </w:t>
      </w:r>
      <w:r w:rsidR="00EE47E8" w:rsidRPr="00F75C35">
        <w:rPr>
          <w:rFonts w:ascii="Calibri" w:eastAsia="Calibri" w:hAnsi="Calibri" w:cs="Calibri"/>
          <w:sz w:val="22"/>
          <w:szCs w:val="22"/>
        </w:rPr>
        <w:t>P</w:t>
      </w:r>
      <w:r w:rsidRPr="00F75C35">
        <w:rPr>
          <w:rFonts w:ascii="Calibri" w:eastAsia="Calibri" w:hAnsi="Calibri" w:cs="Calibri"/>
          <w:sz w:val="22"/>
          <w:szCs w:val="22"/>
        </w:rPr>
        <w:t>roposal</w:t>
      </w:r>
      <w:r w:rsidR="00FC3030" w:rsidRPr="00F75C35">
        <w:rPr>
          <w:rFonts w:ascii="Calibri" w:eastAsia="Calibri" w:hAnsi="Calibri" w:cs="Calibri"/>
          <w:sz w:val="22"/>
          <w:szCs w:val="22"/>
        </w:rPr>
        <w:t>s</w:t>
      </w:r>
      <w:r w:rsidRPr="00F75C35">
        <w:rPr>
          <w:rFonts w:ascii="Calibri" w:eastAsia="Calibri" w:hAnsi="Calibri" w:cs="Calibri"/>
          <w:sz w:val="22"/>
          <w:szCs w:val="22"/>
        </w:rPr>
        <w:t xml:space="preserve"> and the evaluation and selection of the centers</w:t>
      </w:r>
      <w:r w:rsidR="00FE3071" w:rsidRPr="00F75C35">
        <w:rPr>
          <w:rFonts w:ascii="Calibri" w:eastAsia="Calibri" w:hAnsi="Calibri" w:cs="Calibri"/>
          <w:sz w:val="22"/>
          <w:szCs w:val="22"/>
        </w:rPr>
        <w:t xml:space="preserve"> during </w:t>
      </w:r>
      <w:r w:rsidR="00686F39" w:rsidRPr="00F75C35">
        <w:rPr>
          <w:rFonts w:ascii="Calibri" w:eastAsia="Calibri" w:hAnsi="Calibri" w:cs="Calibri"/>
          <w:sz w:val="22"/>
          <w:szCs w:val="22"/>
        </w:rPr>
        <w:t>project preparation</w:t>
      </w:r>
      <w:r w:rsidRPr="00F75C35">
        <w:rPr>
          <w:rFonts w:ascii="Calibri" w:eastAsia="Calibri" w:hAnsi="Calibri" w:cs="Calibri"/>
          <w:sz w:val="22"/>
          <w:szCs w:val="22"/>
        </w:rPr>
        <w:t xml:space="preserve">. During implementation, AAU will: (1) facilitate semi-annual project meetings; (2) </w:t>
      </w:r>
      <w:r w:rsidRPr="00F75C35">
        <w:rPr>
          <w:rFonts w:ascii="Calibri" w:eastAsia="Calibri" w:hAnsi="Calibri" w:cs="Times New Roman"/>
          <w:color w:val="auto"/>
          <w:sz w:val="22"/>
          <w:szCs w:val="22"/>
        </w:rPr>
        <w:t>promote partnerships among centers and between centers and partners (academic and sectoral) outside of the ACE networks</w:t>
      </w:r>
      <w:r w:rsidRPr="00F75C35">
        <w:rPr>
          <w:rFonts w:ascii="Calibri" w:eastAsia="Calibri" w:hAnsi="Calibri" w:cs="Calibri"/>
          <w:sz w:val="22"/>
          <w:szCs w:val="22"/>
        </w:rPr>
        <w:t>; (3) coordinate TA and support to centers from subject-matter experts and other capacity-building activities; (4) coordinate project M&amp;E and support related activities, including benchmarking exercises and graduate tracer studies; (5) facilitate verification of achievement of DLRs; (6) serve as the secretariat of the PSC and facilitate and fund its meetings and functions; and (7) develop key documents such as the POM and ToRs for consultants hired to work on project related activities</w:t>
      </w:r>
      <w:r w:rsidR="00EE47E8" w:rsidRPr="00F75C35">
        <w:rPr>
          <w:rFonts w:ascii="Calibri" w:eastAsia="Calibri" w:hAnsi="Calibri" w:cs="Calibri"/>
          <w:sz w:val="22"/>
          <w:szCs w:val="22"/>
        </w:rPr>
        <w:t>.</w:t>
      </w:r>
    </w:p>
    <w:p w14:paraId="03DF22CF" w14:textId="77777777" w:rsidR="002E1A3F" w:rsidRPr="000C46A6" w:rsidRDefault="00B00100" w:rsidP="008E2709">
      <w:pPr>
        <w:widowControl/>
        <w:numPr>
          <w:ilvl w:val="0"/>
          <w:numId w:val="7"/>
        </w:numPr>
        <w:tabs>
          <w:tab w:val="left" w:pos="0"/>
          <w:tab w:val="left" w:pos="720"/>
        </w:tabs>
        <w:autoSpaceDE/>
        <w:autoSpaceDN/>
        <w:adjustRightInd/>
        <w:spacing w:after="240"/>
        <w:ind w:left="0" w:firstLine="0"/>
        <w:jc w:val="both"/>
        <w:rPr>
          <w:rFonts w:asciiTheme="minorHAnsi" w:eastAsia="Times New Roman" w:hAnsiTheme="minorHAnsi" w:cstheme="minorHAnsi"/>
          <w:color w:val="auto"/>
          <w:sz w:val="22"/>
          <w:szCs w:val="22"/>
        </w:rPr>
      </w:pPr>
      <w:r w:rsidRPr="003E2ECC">
        <w:rPr>
          <w:rFonts w:ascii="Calibri" w:eastAsia="Calibri" w:hAnsi="Calibri" w:cs="Calibri"/>
          <w:b/>
          <w:sz w:val="22"/>
          <w:szCs w:val="22"/>
        </w:rPr>
        <w:t>A small project team in place at the NUC (Nigeria)</w:t>
      </w:r>
      <w:r w:rsidR="00186D9F" w:rsidRPr="009C16FB">
        <w:rPr>
          <w:rFonts w:ascii="Calibri" w:eastAsia="Calibri" w:hAnsi="Calibri" w:cs="Calibri"/>
          <w:b/>
          <w:sz w:val="22"/>
          <w:szCs w:val="22"/>
        </w:rPr>
        <w:t xml:space="preserve"> </w:t>
      </w:r>
      <w:r w:rsidR="00AC0C5A" w:rsidRPr="002D1F95">
        <w:rPr>
          <w:rFonts w:ascii="Calibri" w:eastAsia="Calibri" w:hAnsi="Calibri" w:cs="Calibri"/>
          <w:b/>
          <w:sz w:val="22"/>
          <w:szCs w:val="22"/>
        </w:rPr>
        <w:t xml:space="preserve">and the </w:t>
      </w:r>
      <w:r w:rsidR="00D32693" w:rsidRPr="002D1F95">
        <w:rPr>
          <w:rFonts w:ascii="Calibri" w:eastAsia="Calibri" w:hAnsi="Calibri" w:cs="Calibri"/>
          <w:b/>
          <w:sz w:val="22"/>
          <w:szCs w:val="22"/>
        </w:rPr>
        <w:t>PCU</w:t>
      </w:r>
      <w:r w:rsidR="00353F86" w:rsidRPr="002D1F95">
        <w:rPr>
          <w:rFonts w:ascii="Calibri" w:eastAsia="Calibri" w:hAnsi="Calibri" w:cs="Calibri"/>
          <w:b/>
          <w:sz w:val="22"/>
          <w:szCs w:val="22"/>
        </w:rPr>
        <w:t>-Gambia</w:t>
      </w:r>
      <w:r w:rsidRPr="002D1F95">
        <w:rPr>
          <w:rFonts w:ascii="Calibri" w:eastAsia="Calibri" w:hAnsi="Calibri" w:cs="Calibri"/>
          <w:b/>
          <w:sz w:val="22"/>
          <w:szCs w:val="22"/>
        </w:rPr>
        <w:t xml:space="preserve"> will facilitate implementation of the Second </w:t>
      </w:r>
      <w:r w:rsidR="00BB4A89" w:rsidRPr="006F557A">
        <w:rPr>
          <w:rFonts w:ascii="Calibri" w:eastAsia="Calibri" w:hAnsi="Calibri" w:cs="Calibri"/>
          <w:b/>
          <w:sz w:val="22"/>
          <w:szCs w:val="22"/>
        </w:rPr>
        <w:t>ACE Impact Project</w:t>
      </w:r>
      <w:r w:rsidR="00100ED4" w:rsidRPr="00BE010D">
        <w:rPr>
          <w:rFonts w:ascii="Calibri" w:eastAsia="Calibri" w:hAnsi="Calibri" w:cs="Calibri"/>
          <w:b/>
          <w:sz w:val="22"/>
          <w:szCs w:val="22"/>
        </w:rPr>
        <w:t xml:space="preserve"> in Nigeria and The Gambia</w:t>
      </w:r>
      <w:r w:rsidR="00AC0C5A" w:rsidRPr="0046784C">
        <w:rPr>
          <w:rFonts w:ascii="Calibri" w:eastAsia="Calibri" w:hAnsi="Calibri" w:cs="Calibri"/>
          <w:b/>
          <w:sz w:val="22"/>
          <w:szCs w:val="22"/>
        </w:rPr>
        <w:t>, respectively</w:t>
      </w:r>
      <w:r w:rsidRPr="0046784C">
        <w:rPr>
          <w:rFonts w:ascii="Calibri" w:eastAsia="Calibri" w:hAnsi="Calibri" w:cs="Calibri"/>
          <w:b/>
          <w:sz w:val="22"/>
          <w:szCs w:val="22"/>
        </w:rPr>
        <w:t xml:space="preserve">. </w:t>
      </w:r>
      <w:r w:rsidR="00FC3030" w:rsidRPr="0046784C">
        <w:rPr>
          <w:rFonts w:ascii="Calibri" w:eastAsia="Calibri" w:hAnsi="Calibri" w:cs="Calibri"/>
          <w:sz w:val="22"/>
          <w:szCs w:val="22"/>
        </w:rPr>
        <w:t xml:space="preserve">In Nigeria, this is </w:t>
      </w:r>
      <w:r w:rsidRPr="0046784C">
        <w:rPr>
          <w:rFonts w:ascii="Calibri" w:eastAsia="Calibri" w:hAnsi="Calibri" w:cs="Calibri"/>
          <w:sz w:val="22"/>
          <w:szCs w:val="22"/>
        </w:rPr>
        <w:t xml:space="preserve">necessary </w:t>
      </w:r>
      <w:r w:rsidR="00FC3030" w:rsidRPr="0046784C">
        <w:rPr>
          <w:rFonts w:ascii="Calibri" w:eastAsia="Calibri" w:hAnsi="Calibri" w:cs="Calibri"/>
          <w:sz w:val="22"/>
          <w:szCs w:val="22"/>
        </w:rPr>
        <w:t xml:space="preserve">given </w:t>
      </w:r>
      <w:r w:rsidRPr="0046784C">
        <w:rPr>
          <w:rFonts w:ascii="Calibri" w:eastAsia="Calibri" w:hAnsi="Calibri" w:cs="Calibri"/>
          <w:sz w:val="22"/>
          <w:szCs w:val="22"/>
        </w:rPr>
        <w:t>the larger number of centers that Nigeria will host which will require a consolidated facilitation at the n</w:t>
      </w:r>
      <w:r w:rsidRPr="00C50A8E">
        <w:rPr>
          <w:rFonts w:ascii="Calibri" w:eastAsia="Calibri" w:hAnsi="Calibri" w:cs="Calibri"/>
          <w:sz w:val="22"/>
          <w:szCs w:val="22"/>
        </w:rPr>
        <w:t xml:space="preserve">ational level. </w:t>
      </w:r>
      <w:r w:rsidR="004938B8" w:rsidRPr="003E2ECC">
        <w:rPr>
          <w:rFonts w:ascii="Calibri" w:eastAsia="Calibri" w:hAnsi="Calibri" w:cs="Calibri"/>
          <w:sz w:val="22"/>
          <w:szCs w:val="22"/>
        </w:rPr>
        <w:t xml:space="preserve">In the case of </w:t>
      </w:r>
      <w:r w:rsidR="00FC3030" w:rsidRPr="003E2ECC">
        <w:rPr>
          <w:rFonts w:ascii="Calibri" w:eastAsia="Calibri" w:hAnsi="Calibri" w:cs="Calibri"/>
          <w:sz w:val="22"/>
          <w:szCs w:val="22"/>
        </w:rPr>
        <w:t>T</w:t>
      </w:r>
      <w:r w:rsidR="004938B8" w:rsidRPr="003E2ECC">
        <w:rPr>
          <w:rFonts w:ascii="Calibri" w:eastAsia="Calibri" w:hAnsi="Calibri" w:cs="Calibri"/>
          <w:sz w:val="22"/>
          <w:szCs w:val="22"/>
        </w:rPr>
        <w:t xml:space="preserve">he Gambia, </w:t>
      </w:r>
      <w:r w:rsidRPr="003E2ECC">
        <w:rPr>
          <w:rFonts w:ascii="Calibri" w:eastAsia="Calibri" w:hAnsi="Calibri" w:cs="Calibri"/>
          <w:sz w:val="22"/>
          <w:szCs w:val="22"/>
        </w:rPr>
        <w:t>the fiduciary</w:t>
      </w:r>
      <w:r w:rsidR="0033743F" w:rsidRPr="003E2ECC">
        <w:rPr>
          <w:rFonts w:ascii="Calibri" w:eastAsia="Calibri" w:hAnsi="Calibri" w:cs="Calibri"/>
          <w:sz w:val="22"/>
          <w:szCs w:val="22"/>
        </w:rPr>
        <w:t xml:space="preserve"> </w:t>
      </w:r>
      <w:r w:rsidR="00732271" w:rsidRPr="003E2ECC">
        <w:rPr>
          <w:rFonts w:ascii="Calibri" w:eastAsia="Calibri" w:hAnsi="Calibri" w:cs="Calibri"/>
          <w:sz w:val="22"/>
          <w:szCs w:val="22"/>
        </w:rPr>
        <w:t xml:space="preserve">capacity of </w:t>
      </w:r>
      <w:r w:rsidR="00732271" w:rsidRPr="003E2ECC">
        <w:rPr>
          <w:rFonts w:ascii="Calibri" w:eastAsia="Calibri" w:hAnsi="Calibri" w:cs="Calibri"/>
          <w:color w:val="auto"/>
          <w:sz w:val="22"/>
          <w:szCs w:val="22"/>
        </w:rPr>
        <w:t xml:space="preserve">the </w:t>
      </w:r>
      <w:r w:rsidR="00E00B72">
        <w:rPr>
          <w:rFonts w:ascii="Calibri" w:eastAsia="Calibri" w:hAnsi="Calibri" w:cs="Calibri"/>
          <w:color w:val="auto"/>
          <w:sz w:val="22"/>
          <w:szCs w:val="22"/>
        </w:rPr>
        <w:t>Emerging</w:t>
      </w:r>
      <w:r w:rsidR="00732271" w:rsidRPr="003E2ECC">
        <w:rPr>
          <w:rFonts w:ascii="Calibri" w:eastAsia="Calibri" w:hAnsi="Calibri" w:cs="Calibri"/>
          <w:color w:val="auto"/>
          <w:sz w:val="22"/>
          <w:szCs w:val="22"/>
        </w:rPr>
        <w:t xml:space="preserve"> center </w:t>
      </w:r>
      <w:r w:rsidR="009E4261" w:rsidRPr="003E2ECC">
        <w:rPr>
          <w:rFonts w:ascii="Calibri" w:eastAsia="Calibri" w:hAnsi="Calibri" w:cs="Calibri"/>
          <w:color w:val="auto"/>
          <w:sz w:val="22"/>
          <w:szCs w:val="22"/>
        </w:rPr>
        <w:t xml:space="preserve">needs to be </w:t>
      </w:r>
      <w:r w:rsidR="00F778D6" w:rsidRPr="003E2ECC">
        <w:rPr>
          <w:rFonts w:ascii="Calibri" w:eastAsia="Calibri" w:hAnsi="Calibri" w:cs="Calibri"/>
          <w:color w:val="auto"/>
          <w:sz w:val="22"/>
          <w:szCs w:val="22"/>
        </w:rPr>
        <w:t>built and hence th</w:t>
      </w:r>
      <w:r w:rsidR="007F37EE" w:rsidRPr="003E2ECC">
        <w:rPr>
          <w:rFonts w:ascii="Calibri" w:eastAsia="Calibri" w:hAnsi="Calibri" w:cs="Calibri"/>
          <w:color w:val="auto"/>
          <w:sz w:val="22"/>
          <w:szCs w:val="22"/>
        </w:rPr>
        <w:t>is national support</w:t>
      </w:r>
      <w:r w:rsidR="00FC3030" w:rsidRPr="003E2ECC">
        <w:rPr>
          <w:rFonts w:ascii="Calibri" w:eastAsia="Calibri" w:hAnsi="Calibri" w:cs="Calibri"/>
          <w:color w:val="auto"/>
          <w:sz w:val="22"/>
          <w:szCs w:val="22"/>
        </w:rPr>
        <w:t xml:space="preserve"> for coordination</w:t>
      </w:r>
      <w:r w:rsidR="002E7266" w:rsidRPr="003E2ECC">
        <w:rPr>
          <w:rFonts w:ascii="Calibri" w:eastAsia="Calibri" w:hAnsi="Calibri" w:cs="Calibri"/>
          <w:color w:val="auto"/>
          <w:sz w:val="22"/>
          <w:szCs w:val="22"/>
        </w:rPr>
        <w:t xml:space="preserve">. </w:t>
      </w:r>
      <w:r w:rsidR="006D12CA" w:rsidRPr="003E2ECC">
        <w:rPr>
          <w:rFonts w:ascii="Calibri" w:eastAsia="Calibri" w:hAnsi="Calibri" w:cs="Calibri"/>
          <w:color w:val="auto"/>
          <w:sz w:val="22"/>
          <w:szCs w:val="22"/>
        </w:rPr>
        <w:t>The PCU-Gambia is currently implementing other World Bank-financed projects</w:t>
      </w:r>
      <w:r w:rsidR="005D0018" w:rsidRPr="003E2ECC">
        <w:rPr>
          <w:rFonts w:ascii="Calibri" w:eastAsia="Calibri" w:hAnsi="Calibri" w:cs="Calibri"/>
          <w:color w:val="auto"/>
          <w:sz w:val="22"/>
          <w:szCs w:val="22"/>
        </w:rPr>
        <w:t xml:space="preserve"> in the Education sector</w:t>
      </w:r>
      <w:r w:rsidR="006D12CA" w:rsidRPr="003E2ECC">
        <w:rPr>
          <w:rFonts w:ascii="Calibri" w:eastAsia="Calibri" w:hAnsi="Calibri" w:cs="Calibri"/>
          <w:color w:val="auto"/>
          <w:sz w:val="22"/>
          <w:szCs w:val="22"/>
        </w:rPr>
        <w:t xml:space="preserve"> and so is familiar with World Bank processes and procedures. </w:t>
      </w:r>
      <w:r w:rsidRPr="003E2ECC">
        <w:rPr>
          <w:rFonts w:ascii="Calibri" w:eastAsia="Calibri" w:hAnsi="Calibri" w:cs="Calibri"/>
          <w:color w:val="auto"/>
          <w:sz w:val="22"/>
          <w:szCs w:val="22"/>
        </w:rPr>
        <w:t xml:space="preserve">The NUC is playing a similar coordinating role for the ten ACE I Nigerian centers and serving on the ACE I PSC and will do </w:t>
      </w:r>
      <w:r w:rsidR="002A0396" w:rsidRPr="003E2ECC">
        <w:rPr>
          <w:rFonts w:ascii="Calibri" w:eastAsia="Calibri" w:hAnsi="Calibri" w:cs="Calibri"/>
          <w:color w:val="auto"/>
          <w:sz w:val="22"/>
          <w:szCs w:val="22"/>
        </w:rPr>
        <w:t xml:space="preserve">so in a much </w:t>
      </w:r>
      <w:r w:rsidR="00526D3F">
        <w:rPr>
          <w:rFonts w:ascii="Calibri" w:eastAsia="Calibri" w:hAnsi="Calibri" w:cs="Calibri"/>
          <w:color w:val="auto"/>
          <w:sz w:val="22"/>
          <w:szCs w:val="22"/>
        </w:rPr>
        <w:t xml:space="preserve">more </w:t>
      </w:r>
      <w:r w:rsidR="002A0396" w:rsidRPr="003E2ECC">
        <w:rPr>
          <w:rFonts w:ascii="Calibri" w:eastAsia="Calibri" w:hAnsi="Calibri" w:cs="Calibri"/>
          <w:color w:val="auto"/>
          <w:sz w:val="22"/>
          <w:szCs w:val="22"/>
        </w:rPr>
        <w:t xml:space="preserve">structured </w:t>
      </w:r>
      <w:r w:rsidRPr="009C16FB">
        <w:rPr>
          <w:rFonts w:ascii="Calibri" w:eastAsia="Calibri" w:hAnsi="Calibri" w:cs="Calibri"/>
          <w:color w:val="auto"/>
          <w:sz w:val="22"/>
          <w:szCs w:val="22"/>
        </w:rPr>
        <w:t xml:space="preserve">arrangement for </w:t>
      </w:r>
      <w:r w:rsidRPr="002D1F95">
        <w:rPr>
          <w:rFonts w:ascii="Calibri" w:eastAsia="Calibri" w:hAnsi="Calibri" w:cs="Calibri"/>
          <w:color w:val="auto"/>
          <w:sz w:val="22"/>
          <w:szCs w:val="22"/>
        </w:rPr>
        <w:t xml:space="preserve">the proposed Second </w:t>
      </w:r>
      <w:r w:rsidR="00BB4A89" w:rsidRPr="002D1F95">
        <w:rPr>
          <w:rFonts w:ascii="Calibri" w:eastAsia="Calibri" w:hAnsi="Calibri" w:cs="Calibri"/>
          <w:color w:val="auto"/>
          <w:sz w:val="22"/>
          <w:szCs w:val="22"/>
        </w:rPr>
        <w:t>ACE Impact Project</w:t>
      </w:r>
      <w:r w:rsidRPr="002D1F95">
        <w:rPr>
          <w:rFonts w:asciiTheme="minorHAnsi" w:eastAsia="Calibri" w:hAnsiTheme="minorHAnsi" w:cstheme="minorHAnsi"/>
          <w:color w:val="auto"/>
          <w:sz w:val="22"/>
          <w:szCs w:val="22"/>
        </w:rPr>
        <w:t>.</w:t>
      </w:r>
      <w:r w:rsidR="00DC79C9" w:rsidRPr="002D1F95">
        <w:rPr>
          <w:rFonts w:asciiTheme="minorHAnsi" w:eastAsia="Calibri" w:hAnsiTheme="minorHAnsi" w:cstheme="minorHAnsi"/>
          <w:color w:val="auto"/>
          <w:sz w:val="22"/>
          <w:szCs w:val="22"/>
        </w:rPr>
        <w:t xml:space="preserve"> Specifically,</w:t>
      </w:r>
      <w:r w:rsidR="00DC79C9" w:rsidRPr="00E27C91">
        <w:rPr>
          <w:rFonts w:asciiTheme="minorHAnsi" w:hAnsiTheme="minorHAnsi" w:cstheme="minorHAnsi"/>
          <w:color w:val="auto"/>
          <w:sz w:val="22"/>
          <w:szCs w:val="22"/>
        </w:rPr>
        <w:t xml:space="preserve"> t</w:t>
      </w:r>
      <w:r w:rsidR="00873E74" w:rsidRPr="00DD5E48">
        <w:rPr>
          <w:rFonts w:asciiTheme="minorHAnsi" w:hAnsiTheme="minorHAnsi" w:cstheme="minorHAnsi"/>
          <w:color w:val="auto"/>
          <w:sz w:val="22"/>
          <w:szCs w:val="22"/>
        </w:rPr>
        <w:t xml:space="preserve">he NUC will setup a Project Implementation Unit </w:t>
      </w:r>
      <w:r w:rsidR="00412214" w:rsidRPr="00DD5E48">
        <w:rPr>
          <w:rFonts w:asciiTheme="minorHAnsi" w:hAnsiTheme="minorHAnsi" w:cstheme="minorHAnsi"/>
          <w:color w:val="auto"/>
          <w:sz w:val="22"/>
          <w:szCs w:val="22"/>
        </w:rPr>
        <w:t xml:space="preserve">(PIU-NUC) </w:t>
      </w:r>
      <w:r w:rsidR="00873E74" w:rsidRPr="006F557A">
        <w:rPr>
          <w:rFonts w:asciiTheme="minorHAnsi" w:hAnsiTheme="minorHAnsi" w:cstheme="minorHAnsi"/>
          <w:color w:val="auto"/>
          <w:sz w:val="22"/>
          <w:szCs w:val="22"/>
        </w:rPr>
        <w:t>which will be responsible for the day</w:t>
      </w:r>
      <w:r w:rsidR="00E55EB2" w:rsidRPr="00BE010D">
        <w:rPr>
          <w:rFonts w:asciiTheme="minorHAnsi" w:hAnsiTheme="minorHAnsi" w:cstheme="minorHAnsi"/>
          <w:color w:val="auto"/>
          <w:sz w:val="22"/>
          <w:szCs w:val="22"/>
        </w:rPr>
        <w:t>-</w:t>
      </w:r>
      <w:r w:rsidR="00873E74" w:rsidRPr="0046784C">
        <w:rPr>
          <w:rFonts w:asciiTheme="minorHAnsi" w:hAnsiTheme="minorHAnsi" w:cstheme="minorHAnsi"/>
          <w:color w:val="auto"/>
          <w:sz w:val="22"/>
          <w:szCs w:val="22"/>
        </w:rPr>
        <w:t>to</w:t>
      </w:r>
      <w:r w:rsidR="00E55EB2" w:rsidRPr="0046784C">
        <w:rPr>
          <w:rFonts w:asciiTheme="minorHAnsi" w:hAnsiTheme="minorHAnsi" w:cstheme="minorHAnsi"/>
          <w:color w:val="auto"/>
          <w:sz w:val="22"/>
          <w:szCs w:val="22"/>
        </w:rPr>
        <w:t>-</w:t>
      </w:r>
      <w:r w:rsidR="00873E74" w:rsidRPr="0046784C">
        <w:rPr>
          <w:rFonts w:asciiTheme="minorHAnsi" w:hAnsiTheme="minorHAnsi" w:cstheme="minorHAnsi"/>
          <w:color w:val="auto"/>
          <w:sz w:val="22"/>
          <w:szCs w:val="22"/>
        </w:rPr>
        <w:t xml:space="preserve">day </w:t>
      </w:r>
      <w:r w:rsidR="00E55EB2" w:rsidRPr="003E2ECC">
        <w:rPr>
          <w:rFonts w:asciiTheme="minorHAnsi" w:hAnsiTheme="minorHAnsi" w:cstheme="minorHAnsi"/>
          <w:color w:val="auto"/>
          <w:sz w:val="22"/>
          <w:szCs w:val="22"/>
        </w:rPr>
        <w:t>o</w:t>
      </w:r>
      <w:r w:rsidR="00873E74" w:rsidRPr="009C16FB">
        <w:rPr>
          <w:rFonts w:asciiTheme="minorHAnsi" w:hAnsiTheme="minorHAnsi" w:cstheme="minorHAnsi"/>
          <w:color w:val="auto"/>
          <w:sz w:val="22"/>
          <w:szCs w:val="22"/>
        </w:rPr>
        <w:t>perations, including release of funds earned by the Universities (through verified DLIs) in line with the World Bank’s guidelines. The PIU</w:t>
      </w:r>
      <w:r w:rsidR="009C16FB">
        <w:rPr>
          <w:rFonts w:asciiTheme="minorHAnsi" w:hAnsiTheme="minorHAnsi" w:cstheme="minorHAnsi"/>
          <w:color w:val="auto"/>
          <w:sz w:val="22"/>
          <w:szCs w:val="22"/>
        </w:rPr>
        <w:t>-NUC</w:t>
      </w:r>
      <w:r w:rsidR="00873E74" w:rsidRPr="009C16FB">
        <w:rPr>
          <w:rFonts w:asciiTheme="minorHAnsi" w:hAnsiTheme="minorHAnsi" w:cstheme="minorHAnsi"/>
          <w:color w:val="auto"/>
          <w:sz w:val="22"/>
          <w:szCs w:val="22"/>
        </w:rPr>
        <w:t xml:space="preserve"> will submit monthly reports to the Executive Secretary of NUC (as part of his overall oversight functions) and additional briefing during the bi-annual National Project Performance and Review meetings.  </w:t>
      </w:r>
      <w:r w:rsidRPr="000C46A6">
        <w:rPr>
          <w:rFonts w:asciiTheme="minorHAnsi" w:hAnsiTheme="minorHAnsi" w:cstheme="minorHAnsi"/>
          <w:color w:val="auto"/>
          <w:sz w:val="22"/>
          <w:szCs w:val="22"/>
        </w:rPr>
        <w:t>The PIU</w:t>
      </w:r>
      <w:r w:rsidR="004A473D">
        <w:rPr>
          <w:rFonts w:asciiTheme="minorHAnsi" w:hAnsiTheme="minorHAnsi" w:cstheme="minorHAnsi"/>
          <w:color w:val="auto"/>
          <w:sz w:val="22"/>
          <w:szCs w:val="22"/>
        </w:rPr>
        <w:t>-NUC</w:t>
      </w:r>
      <w:r w:rsidRPr="000C46A6">
        <w:rPr>
          <w:rFonts w:asciiTheme="minorHAnsi" w:hAnsiTheme="minorHAnsi" w:cstheme="minorHAnsi"/>
          <w:color w:val="auto"/>
          <w:sz w:val="22"/>
          <w:szCs w:val="22"/>
        </w:rPr>
        <w:t xml:space="preserve"> will consist of a National Project Coordinator, Procurement Specialists, Financial </w:t>
      </w:r>
      <w:r w:rsidR="00E55EB2" w:rsidRPr="000C46A6">
        <w:rPr>
          <w:rFonts w:asciiTheme="minorHAnsi" w:hAnsiTheme="minorHAnsi" w:cstheme="minorHAnsi"/>
          <w:color w:val="auto"/>
          <w:sz w:val="22"/>
          <w:szCs w:val="22"/>
        </w:rPr>
        <w:t>S</w:t>
      </w:r>
      <w:r w:rsidRPr="000C46A6">
        <w:rPr>
          <w:rFonts w:asciiTheme="minorHAnsi" w:hAnsiTheme="minorHAnsi" w:cstheme="minorHAnsi"/>
          <w:color w:val="auto"/>
          <w:sz w:val="22"/>
          <w:szCs w:val="22"/>
        </w:rPr>
        <w:t xml:space="preserve">pecialists, </w:t>
      </w:r>
      <w:r w:rsidR="00C32084">
        <w:rPr>
          <w:rFonts w:asciiTheme="minorHAnsi" w:hAnsiTheme="minorHAnsi" w:cstheme="minorHAnsi"/>
          <w:color w:val="auto"/>
          <w:sz w:val="22"/>
          <w:szCs w:val="22"/>
        </w:rPr>
        <w:t>M&amp;E</w:t>
      </w:r>
      <w:r w:rsidRPr="000C46A6">
        <w:rPr>
          <w:rFonts w:asciiTheme="minorHAnsi" w:hAnsiTheme="minorHAnsi" w:cstheme="minorHAnsi"/>
          <w:color w:val="auto"/>
          <w:sz w:val="22"/>
          <w:szCs w:val="22"/>
        </w:rPr>
        <w:t xml:space="preserve"> Specialists, Internal Auditor, Communication Officers, </w:t>
      </w:r>
      <w:r w:rsidR="00E55EB2" w:rsidRPr="000C46A6">
        <w:rPr>
          <w:rFonts w:asciiTheme="minorHAnsi" w:hAnsiTheme="minorHAnsi" w:cstheme="minorHAnsi"/>
          <w:color w:val="auto"/>
          <w:sz w:val="22"/>
          <w:szCs w:val="22"/>
        </w:rPr>
        <w:t>S</w:t>
      </w:r>
      <w:r w:rsidRPr="000C46A6">
        <w:rPr>
          <w:rFonts w:asciiTheme="minorHAnsi" w:hAnsiTheme="minorHAnsi" w:cstheme="minorHAnsi"/>
          <w:color w:val="auto"/>
          <w:sz w:val="22"/>
          <w:szCs w:val="22"/>
        </w:rPr>
        <w:t xml:space="preserve">afeguards </w:t>
      </w:r>
      <w:r w:rsidR="00E55EB2" w:rsidRPr="000C46A6">
        <w:rPr>
          <w:rFonts w:asciiTheme="minorHAnsi" w:hAnsiTheme="minorHAnsi" w:cstheme="minorHAnsi"/>
          <w:color w:val="auto"/>
          <w:sz w:val="22"/>
          <w:szCs w:val="22"/>
        </w:rPr>
        <w:t>S</w:t>
      </w:r>
      <w:r w:rsidRPr="000C46A6">
        <w:rPr>
          <w:rFonts w:asciiTheme="minorHAnsi" w:hAnsiTheme="minorHAnsi" w:cstheme="minorHAnsi"/>
          <w:color w:val="auto"/>
          <w:sz w:val="22"/>
          <w:szCs w:val="22"/>
        </w:rPr>
        <w:t xml:space="preserve">pecialists and other supporting staff.  </w:t>
      </w:r>
      <w:r w:rsidRPr="000C46A6">
        <w:rPr>
          <w:rFonts w:asciiTheme="minorHAnsi" w:hAnsiTheme="minorHAnsi" w:cstheme="minorHAnsi"/>
          <w:color w:val="auto"/>
          <w:sz w:val="22"/>
          <w:szCs w:val="22"/>
        </w:rPr>
        <w:lastRenderedPageBreak/>
        <w:t>The PIU operational activities will be managed on a day</w:t>
      </w:r>
      <w:r w:rsidR="00CD69E7">
        <w:rPr>
          <w:rFonts w:asciiTheme="minorHAnsi" w:hAnsiTheme="minorHAnsi" w:cstheme="minorHAnsi"/>
          <w:color w:val="auto"/>
          <w:sz w:val="22"/>
          <w:szCs w:val="22"/>
        </w:rPr>
        <w:t>-</w:t>
      </w:r>
      <w:r w:rsidRPr="000C46A6">
        <w:rPr>
          <w:rFonts w:asciiTheme="minorHAnsi" w:hAnsiTheme="minorHAnsi" w:cstheme="minorHAnsi"/>
          <w:color w:val="auto"/>
          <w:sz w:val="22"/>
          <w:szCs w:val="22"/>
        </w:rPr>
        <w:t>to</w:t>
      </w:r>
      <w:r w:rsidR="00CD69E7">
        <w:rPr>
          <w:rFonts w:asciiTheme="minorHAnsi" w:hAnsiTheme="minorHAnsi" w:cstheme="minorHAnsi"/>
          <w:color w:val="auto"/>
          <w:sz w:val="22"/>
          <w:szCs w:val="22"/>
        </w:rPr>
        <w:t>-</w:t>
      </w:r>
      <w:r w:rsidRPr="000C46A6">
        <w:rPr>
          <w:rFonts w:asciiTheme="minorHAnsi" w:hAnsiTheme="minorHAnsi" w:cstheme="minorHAnsi"/>
          <w:color w:val="auto"/>
          <w:sz w:val="22"/>
          <w:szCs w:val="22"/>
        </w:rPr>
        <w:t>day basis by the PIU team.</w:t>
      </w:r>
      <w:r w:rsidRPr="000C46A6">
        <w:rPr>
          <w:rFonts w:asciiTheme="minorHAnsi" w:eastAsia="Times New Roman" w:hAnsiTheme="minorHAnsi" w:cstheme="minorHAnsi"/>
          <w:color w:val="auto"/>
          <w:sz w:val="22"/>
          <w:szCs w:val="22"/>
        </w:rPr>
        <w:t xml:space="preserve"> </w:t>
      </w:r>
      <w:r w:rsidR="0026582C" w:rsidRPr="000C46A6">
        <w:rPr>
          <w:rFonts w:ascii="Calibri" w:eastAsia="Calibri" w:hAnsi="Calibri" w:cs="Calibri"/>
          <w:color w:val="auto"/>
          <w:sz w:val="22"/>
          <w:szCs w:val="22"/>
        </w:rPr>
        <w:t xml:space="preserve">Nigeria and The Gambia also have the funding to support these entities in this regard. </w:t>
      </w:r>
      <w:r w:rsidRPr="000C46A6">
        <w:rPr>
          <w:rFonts w:asciiTheme="minorHAnsi" w:eastAsia="Times New Roman" w:hAnsiTheme="minorHAnsi" w:cstheme="minorHAnsi"/>
          <w:color w:val="auto"/>
          <w:sz w:val="22"/>
          <w:szCs w:val="22"/>
        </w:rPr>
        <w:t xml:space="preserve"> </w:t>
      </w:r>
    </w:p>
    <w:p w14:paraId="22470078" w14:textId="77777777" w:rsidR="002E1A3F" w:rsidRPr="00682C85" w:rsidRDefault="00B00100" w:rsidP="008E2709">
      <w:pPr>
        <w:widowControl/>
        <w:numPr>
          <w:ilvl w:val="0"/>
          <w:numId w:val="7"/>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color w:val="auto"/>
          <w:sz w:val="22"/>
          <w:szCs w:val="22"/>
        </w:rPr>
      </w:pPr>
      <w:r w:rsidRPr="00682C85">
        <w:rPr>
          <w:rFonts w:ascii="Calibri" w:eastAsia="Calibri" w:hAnsi="Calibri" w:cs="Calibri"/>
          <w:b/>
          <w:bCs/>
          <w:color w:val="auto"/>
          <w:sz w:val="22"/>
          <w:szCs w:val="22"/>
        </w:rPr>
        <w:t xml:space="preserve">Africans in the diaspora will be heavily integrated into project implementation.  </w:t>
      </w:r>
      <w:r w:rsidRPr="00682C85">
        <w:rPr>
          <w:rFonts w:ascii="Calibri" w:eastAsia="Calibri" w:hAnsi="Calibri" w:cs="Calibri"/>
          <w:color w:val="auto"/>
          <w:sz w:val="22"/>
          <w:szCs w:val="22"/>
        </w:rPr>
        <w:t xml:space="preserve">A significant number of the proposal evaluators for the project were academic researchers and administrators from the diaspora who currently work in reputable institutions outside Africa.  Several international subject matter experts recruited to work alongside their local counterparts in providing implementation support are drawn from the diaspora. Under the </w:t>
      </w:r>
      <w:r w:rsidR="00BB4A89" w:rsidRPr="00682C85">
        <w:rPr>
          <w:rFonts w:ascii="Calibri" w:eastAsia="Calibri" w:hAnsi="Calibri" w:cs="Calibri"/>
          <w:color w:val="auto"/>
          <w:sz w:val="22"/>
          <w:szCs w:val="22"/>
        </w:rPr>
        <w:t>ACE I Project</w:t>
      </w:r>
      <w:r w:rsidRPr="00682C85">
        <w:rPr>
          <w:rFonts w:ascii="Calibri" w:eastAsia="Calibri" w:hAnsi="Calibri" w:cs="Calibri"/>
          <w:color w:val="auto"/>
          <w:sz w:val="22"/>
          <w:szCs w:val="22"/>
        </w:rPr>
        <w:t xml:space="preserve">, several center directors and other members of the center leadership teams have extensive and successful career experiences in Europe and North America, and many of the academic partnerships that the centers have secured involve members of the diaspora.  The </w:t>
      </w:r>
      <w:r w:rsidR="008D1FDC" w:rsidRPr="00682C85">
        <w:rPr>
          <w:rFonts w:ascii="Calibri" w:eastAsia="Calibri" w:hAnsi="Calibri" w:cs="Calibri"/>
          <w:color w:val="auto"/>
          <w:sz w:val="22"/>
          <w:szCs w:val="22"/>
        </w:rPr>
        <w:t xml:space="preserve">proposed </w:t>
      </w:r>
      <w:r w:rsidRPr="00682C85">
        <w:rPr>
          <w:rFonts w:ascii="Calibri" w:eastAsia="Calibri" w:hAnsi="Calibri" w:cs="Calibri"/>
          <w:color w:val="auto"/>
          <w:sz w:val="22"/>
          <w:szCs w:val="22"/>
        </w:rPr>
        <w:t xml:space="preserve">Second </w:t>
      </w:r>
      <w:r w:rsidR="00BB4A89" w:rsidRPr="00682C85">
        <w:rPr>
          <w:rFonts w:ascii="Calibri" w:eastAsia="Calibri" w:hAnsi="Calibri" w:cs="Calibri"/>
          <w:color w:val="auto"/>
          <w:sz w:val="22"/>
          <w:szCs w:val="22"/>
        </w:rPr>
        <w:t>ACE Impact Project</w:t>
      </w:r>
      <w:r w:rsidRPr="00682C85">
        <w:rPr>
          <w:rFonts w:ascii="Calibri" w:eastAsia="Calibri" w:hAnsi="Calibri" w:cs="Calibri"/>
          <w:color w:val="auto"/>
          <w:sz w:val="22"/>
          <w:szCs w:val="22"/>
        </w:rPr>
        <w:t xml:space="preserve"> will continue to reap the benefits of the diaspora through partnerships, visiting professorships, consultancies, and advisory bodies</w:t>
      </w:r>
      <w:r w:rsidRPr="00682C85">
        <w:rPr>
          <w:rFonts w:ascii="Calibri,Arial,Times New Roman" w:eastAsia="Calibri,Arial,Times New Roman" w:hAnsi="Calibri,Arial,Times New Roman" w:cs="Calibri,Arial,Times New Roman"/>
          <w:color w:val="auto"/>
          <w:sz w:val="22"/>
          <w:szCs w:val="22"/>
        </w:rPr>
        <w:t xml:space="preserve">. </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5BA86C46" w14:textId="77777777" w:rsidTr="009277AD">
        <w:trPr>
          <w:trHeight w:val="80"/>
        </w:trPr>
        <w:tc>
          <w:tcPr>
            <w:tcW w:w="10710" w:type="dxa"/>
          </w:tcPr>
          <w:p w14:paraId="18E9C7F3" w14:textId="77777777" w:rsidR="002E1A3F" w:rsidRPr="00682C85" w:rsidRDefault="00B00100">
            <w:pPr>
              <w:keepNext/>
              <w:widowControl/>
              <w:autoSpaceDE/>
              <w:autoSpaceDN/>
              <w:adjustRightInd/>
              <w:spacing w:before="40"/>
              <w:outlineLvl w:val="1"/>
              <w:rPr>
                <w:rFonts w:ascii="Calibri" w:eastAsia="Times New Roman" w:hAnsi="Calibri" w:cs="Times New Roman"/>
                <w:b/>
                <w:color w:val="auto"/>
                <w:sz w:val="22"/>
                <w:szCs w:val="22"/>
              </w:rPr>
            </w:pPr>
            <w:bookmarkStart w:id="189" w:name="_Toc256000145"/>
            <w:bookmarkStart w:id="190" w:name="_Toc256000116"/>
            <w:bookmarkStart w:id="191" w:name="_Toc256000083"/>
            <w:bookmarkStart w:id="192" w:name="_Toc256000051"/>
            <w:bookmarkStart w:id="193" w:name="_Toc256000019"/>
            <w:bookmarkStart w:id="194" w:name="_Toc8301931"/>
            <w:bookmarkStart w:id="195" w:name="_Toc14789348"/>
            <w:bookmarkStart w:id="196" w:name="_Toc22655917"/>
            <w:bookmarkStart w:id="197" w:name="_Toc23779846"/>
            <w:bookmarkStart w:id="198" w:name="_Toc23866062"/>
            <w:bookmarkStart w:id="199" w:name="_Toc23930673"/>
            <w:bookmarkStart w:id="200" w:name="_Hlk16627951"/>
            <w:r w:rsidRPr="00682C85">
              <w:rPr>
                <w:rFonts w:ascii="Calibri" w:eastAsia="Times New Roman" w:hAnsi="Calibri" w:cs="Times New Roman"/>
                <w:b/>
                <w:color w:val="auto"/>
                <w:sz w:val="22"/>
                <w:szCs w:val="22"/>
              </w:rPr>
              <w:t>B. Results Monitoring and Evaluation Arrangements</w:t>
            </w:r>
            <w:bookmarkEnd w:id="189"/>
            <w:bookmarkEnd w:id="190"/>
            <w:bookmarkEnd w:id="191"/>
            <w:bookmarkEnd w:id="192"/>
            <w:bookmarkEnd w:id="193"/>
            <w:bookmarkEnd w:id="194"/>
            <w:bookmarkEnd w:id="195"/>
            <w:bookmarkEnd w:id="196"/>
            <w:bookmarkEnd w:id="197"/>
            <w:bookmarkEnd w:id="198"/>
            <w:bookmarkEnd w:id="199"/>
          </w:p>
        </w:tc>
      </w:tr>
      <w:bookmarkEnd w:id="200"/>
    </w:tbl>
    <w:p w14:paraId="674E9FB4" w14:textId="77777777" w:rsidR="002E1A3F" w:rsidRPr="002E1A3F" w:rsidRDefault="002E1A3F">
      <w:pPr>
        <w:ind w:left="-634"/>
        <w:rPr>
          <w:rFonts w:ascii="Calibri" w:eastAsia="Times New Roman" w:hAnsi="Calibri"/>
          <w:bCs/>
        </w:rPr>
      </w:pPr>
    </w:p>
    <w:p w14:paraId="4E51BA45"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sz w:val="22"/>
          <w:szCs w:val="22"/>
        </w:rPr>
        <w:t xml:space="preserve">The project will support systematic and continuous collection and analysis of performance data on agreed measures and indicators </w:t>
      </w:r>
      <w:r w:rsidRPr="002E1A3F">
        <w:rPr>
          <w:rFonts w:ascii="Calibri" w:eastAsia="Calibri" w:hAnsi="Calibri" w:cs="Calibri"/>
          <w:sz w:val="22"/>
          <w:szCs w:val="22"/>
        </w:rPr>
        <w:t>to</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(i) measure progress towards the achievement of the PDO</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and (ii)</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ensure </w:t>
      </w:r>
      <w:r w:rsidR="008D1FDC">
        <w:rPr>
          <w:rFonts w:ascii="Calibri" w:eastAsia="Calibri" w:hAnsi="Calibri" w:cs="Calibri"/>
          <w:sz w:val="22"/>
          <w:szCs w:val="22"/>
        </w:rPr>
        <w:t xml:space="preserve">that </w:t>
      </w:r>
      <w:r w:rsidRPr="002E1A3F">
        <w:rPr>
          <w:rFonts w:ascii="Calibri" w:eastAsia="Calibri" w:hAnsi="Calibri" w:cs="Calibri"/>
          <w:sz w:val="22"/>
          <w:szCs w:val="22"/>
        </w:rPr>
        <w:t>project activities are implemented as planned</w:t>
      </w:r>
      <w:r w:rsidR="00DE6D12">
        <w:rPr>
          <w:rFonts w:ascii="Calibri" w:eastAsia="Calibri" w:hAnsi="Calibri" w:cs="Calibri"/>
          <w:sz w:val="22"/>
          <w:szCs w:val="22"/>
        </w:rPr>
        <w:t>,</w:t>
      </w:r>
      <w:r w:rsidRPr="002E1A3F">
        <w:rPr>
          <w:rFonts w:ascii="Calibri" w:eastAsia="Calibri" w:hAnsi="Calibri" w:cs="Calibri"/>
          <w:sz w:val="22"/>
          <w:szCs w:val="22"/>
        </w:rPr>
        <w:t xml:space="preserve"> using the appropriate</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procedures. Importantly, disbursement to the ACE Impact centers will be linked to the achievement of DLRs. The RFU will oversee the overall M&amp;E for the project, as well as ensure that a robust M&amp;E database system is developed and </w:t>
      </w:r>
      <w:r w:rsidR="00990694" w:rsidRPr="002E1A3F">
        <w:rPr>
          <w:rFonts w:ascii="Calibri" w:eastAsia="Calibri" w:hAnsi="Calibri" w:cs="Calibri"/>
          <w:sz w:val="22"/>
          <w:szCs w:val="22"/>
        </w:rPr>
        <w:t>institutionalized,</w:t>
      </w:r>
      <w:r w:rsidRPr="002E1A3F">
        <w:rPr>
          <w:rFonts w:ascii="Calibri" w:eastAsia="Calibri" w:hAnsi="Calibri" w:cs="Calibri"/>
          <w:sz w:val="22"/>
          <w:szCs w:val="22"/>
        </w:rPr>
        <w:t xml:space="preserve"> and that all data are publicly available online.  M&amp;E will be carried out at both the center and regional levels of project implementation. Each center will undertake M&amp;E functions utilizing existing administrative arrangements. The </w:t>
      </w:r>
      <w:r w:rsidR="008D1FDC">
        <w:rPr>
          <w:rFonts w:ascii="Calibri" w:eastAsia="Calibri" w:hAnsi="Calibri" w:cs="Calibri"/>
          <w:sz w:val="22"/>
          <w:szCs w:val="22"/>
        </w:rPr>
        <w:t xml:space="preserve">proposed </w:t>
      </w:r>
      <w:r w:rsidRPr="002E1A3F">
        <w:rPr>
          <w:rFonts w:ascii="Calibri" w:eastAsia="Calibri" w:hAnsi="Calibri" w:cs="Calibri"/>
          <w:sz w:val="22"/>
          <w:szCs w:val="22"/>
        </w:rPr>
        <w:t xml:space="preserve">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will support strengthening of M&amp;E capacity at both the center and </w:t>
      </w:r>
      <w:r w:rsidR="005201A5">
        <w:rPr>
          <w:rFonts w:ascii="Calibri" w:eastAsia="Calibri" w:hAnsi="Calibri" w:cs="Calibri"/>
          <w:sz w:val="22"/>
          <w:szCs w:val="22"/>
        </w:rPr>
        <w:t xml:space="preserve">at the </w:t>
      </w:r>
      <w:r w:rsidRPr="002E1A3F">
        <w:rPr>
          <w:rFonts w:ascii="Calibri" w:eastAsia="Calibri" w:hAnsi="Calibri" w:cs="Calibri"/>
          <w:sz w:val="22"/>
          <w:szCs w:val="22"/>
        </w:rPr>
        <w:t xml:space="preserve">RFU through TA and consultancies.   </w:t>
      </w:r>
    </w:p>
    <w:p w14:paraId="3063C8E7" w14:textId="4D69E76C" w:rsidR="002E1A3F"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sz w:val="22"/>
          <w:szCs w:val="22"/>
        </w:rPr>
        <w:t xml:space="preserve">M&amp;E Mechanisms and Tools. </w:t>
      </w:r>
      <w:r w:rsidRPr="002E1A3F">
        <w:rPr>
          <w:rFonts w:ascii="Calibri" w:eastAsia="Calibri" w:hAnsi="Calibri" w:cs="Calibri"/>
          <w:sz w:val="22"/>
          <w:szCs w:val="22"/>
        </w:rPr>
        <w:t xml:space="preserve">The design of the M&amp;E arrangements under 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reflects not only lessons learned from the </w:t>
      </w:r>
      <w:r w:rsidR="00BB4A89">
        <w:rPr>
          <w:rFonts w:ascii="Calibri" w:eastAsia="Calibri" w:hAnsi="Calibri" w:cs="Calibri"/>
          <w:sz w:val="22"/>
          <w:szCs w:val="22"/>
        </w:rPr>
        <w:t>ACE I Project</w:t>
      </w:r>
      <w:r w:rsidRPr="002E1A3F">
        <w:rPr>
          <w:rFonts w:ascii="Calibri" w:eastAsia="Calibri" w:hAnsi="Calibri" w:cs="Calibri"/>
          <w:sz w:val="22"/>
          <w:szCs w:val="22"/>
        </w:rPr>
        <w:t>, but also preliminary best practices demonstrated by the ACE II project.</w:t>
      </w:r>
      <w:r w:rsidRPr="002E1A3F">
        <w:rPr>
          <w:rFonts w:ascii="Calibri,Times New Roman" w:eastAsia="Calibri,Times New Roman" w:hAnsi="Calibri,Times New Roman" w:cs="Calibri,Times New Roman"/>
          <w:b/>
          <w:sz w:val="22"/>
          <w:szCs w:val="22"/>
        </w:rPr>
        <w:t xml:space="preserve"> </w:t>
      </w:r>
      <w:r w:rsidRPr="002E1A3F">
        <w:rPr>
          <w:rFonts w:ascii="Calibri" w:eastAsia="Calibri" w:hAnsi="Calibri" w:cs="Calibri"/>
          <w:sz w:val="22"/>
          <w:szCs w:val="22"/>
        </w:rPr>
        <w:t>To measure progress of individual ACE Impact centers, and the overall project, a Results Framework  and list of DLIs have been prepared (see Section VI). The project’s M&amp;E tools include: The RF (indicators, baseline</w:t>
      </w:r>
      <w:r w:rsidR="000415E8">
        <w:rPr>
          <w:rFonts w:ascii="Calibri" w:eastAsia="Calibri" w:hAnsi="Calibri" w:cs="Calibri"/>
          <w:sz w:val="22"/>
          <w:szCs w:val="22"/>
        </w:rPr>
        <w:t xml:space="preserve"> values</w:t>
      </w:r>
      <w:r w:rsidRPr="002E1A3F">
        <w:rPr>
          <w:rFonts w:ascii="Calibri" w:eastAsia="Calibri" w:hAnsi="Calibri" w:cs="Calibri"/>
          <w:sz w:val="22"/>
          <w:szCs w:val="22"/>
        </w:rPr>
        <w:t>, annual targets, and persons responsible for monitoring each indicator and timeline) and the M&amp;E Plan. Additional review mechanisms of the centers’ RFs and their tracking tools will include the following: (a) institutional progress reports and internal quality and efficiency audit reports; (b) external verification of DLR achievements by an independent third party; (c) information regarding research publications and accreditations from internationally recognized bibliometric databases and the accreditation agencies themselves; and (d) interactions with stakeholders, including students. The results will be submitted online to avoid discrepancies and to ensure efficiency in the verification process.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During the MTR of the project, the DLIs/DLRs and their allocation amounts</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as well as any issues related to undisbursed funds</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will be re-examined.</w:t>
      </w:r>
    </w:p>
    <w:p w14:paraId="72DFF0C6" w14:textId="77777777" w:rsidR="005B3F19" w:rsidRPr="002E1A3F" w:rsidRDefault="005B3F19" w:rsidP="006C70A5">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p w14:paraId="7F1F059A"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bookmarkStart w:id="201" w:name="_Hlk516460927"/>
      <w:r w:rsidRPr="002E1A3F">
        <w:rPr>
          <w:rFonts w:ascii="Calibri" w:eastAsia="Calibri" w:hAnsi="Calibri" w:cs="Calibri"/>
          <w:b/>
          <w:sz w:val="22"/>
          <w:szCs w:val="22"/>
        </w:rPr>
        <w:lastRenderedPageBreak/>
        <w:t>Third-Party Verification</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b/>
          <w:sz w:val="22"/>
          <w:szCs w:val="22"/>
        </w:rPr>
        <w:t>and Disbursement</w:t>
      </w:r>
      <w:r w:rsidRPr="002E1A3F">
        <w:rPr>
          <w:rFonts w:ascii="Calibri" w:eastAsia="Calibri" w:hAnsi="Calibri" w:cs="Calibri"/>
          <w:sz w:val="22"/>
          <w:szCs w:val="22"/>
        </w:rPr>
        <w:t>. Each center</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will prepare a report on progress made with respect to results and outcomes and submit it through an online portal</w:t>
      </w:r>
      <w:r w:rsidR="00ED0FBE">
        <w:rPr>
          <w:rFonts w:ascii="Calibri" w:eastAsia="Calibri" w:hAnsi="Calibri" w:cs="Calibri"/>
          <w:sz w:val="22"/>
          <w:szCs w:val="22"/>
        </w:rPr>
        <w:t xml:space="preserve"> (to be developed as part of the project)</w:t>
      </w:r>
      <w:r w:rsidRPr="002E1A3F">
        <w:rPr>
          <w:rFonts w:ascii="Calibri" w:eastAsia="Calibri" w:hAnsi="Calibri" w:cs="Calibri"/>
          <w:sz w:val="22"/>
          <w:szCs w:val="22"/>
        </w:rPr>
        <w:t xml:space="preserve"> to the RFU. Based on these center level reports, the RFU will prepare bi-annual reports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on implementation</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progress towards the achievement of DLIs and project outputs and outcomes.</w:t>
      </w:r>
      <w:r w:rsidRPr="002E1A3F">
        <w:rPr>
          <w:rFonts w:ascii="Calibri" w:eastAsia="Calibri" w:hAnsi="Calibri" w:cs="Times New Roman"/>
          <w:color w:val="auto"/>
          <w:sz w:val="22"/>
          <w:szCs w:val="22"/>
        </w:rPr>
        <w:t xml:space="preserve"> </w:t>
      </w:r>
      <w:r w:rsidRPr="002E1A3F">
        <w:rPr>
          <w:rFonts w:ascii="Calibri" w:eastAsia="Calibri" w:hAnsi="Calibri" w:cs="Calibri"/>
          <w:sz w:val="22"/>
          <w:szCs w:val="22"/>
        </w:rPr>
        <w:t>Achievement of the agreed DLRs for all the centers will be verified by certified Independent Third-party Verifiers (ITPV) who will provide</w:t>
      </w:r>
      <w:r w:rsidR="008D1FDC">
        <w:rPr>
          <w:rFonts w:ascii="Calibri" w:eastAsia="Calibri" w:hAnsi="Calibri" w:cs="Calibri"/>
          <w:sz w:val="22"/>
          <w:szCs w:val="22"/>
        </w:rPr>
        <w:t>,</w:t>
      </w:r>
      <w:r w:rsidRPr="002E1A3F">
        <w:rPr>
          <w:rFonts w:ascii="Calibri" w:eastAsia="Calibri" w:hAnsi="Calibri" w:cs="Calibri"/>
          <w:sz w:val="22"/>
          <w:szCs w:val="22"/>
        </w:rPr>
        <w:t xml:space="preserve"> in a report, information on the actual amount per DLI that has been successfully verified. Drawing on the experience of implementing of the ACE I and II projects, 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will use ITPVs that have already demonstrated their effectiveness</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ITPVs will be selected competitively using World Bank competitive selection processes. The World Bank will review each ITPV report. Detailed results verification processes are included in </w:t>
      </w:r>
      <w:bookmarkEnd w:id="201"/>
      <w:r w:rsidRPr="002E1A3F">
        <w:rPr>
          <w:rFonts w:ascii="Calibri" w:eastAsia="Calibri" w:hAnsi="Calibri" w:cs="Calibri"/>
          <w:sz w:val="22"/>
          <w:szCs w:val="22"/>
        </w:rPr>
        <w:t>the POM</w:t>
      </w:r>
      <w:r w:rsidRPr="002E1A3F">
        <w:rPr>
          <w:rFonts w:ascii="Calibri,Times New Roman" w:eastAsia="Calibri,Times New Roman" w:hAnsi="Calibri,Times New Roman" w:cs="Calibri,Times New Roman"/>
          <w:sz w:val="22"/>
          <w:szCs w:val="22"/>
        </w:rPr>
        <w:t xml:space="preserve">.  </w:t>
      </w:r>
    </w:p>
    <w:p w14:paraId="6426F448"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sz w:val="22"/>
          <w:szCs w:val="22"/>
        </w:rPr>
      </w:pPr>
      <w:r w:rsidRPr="002E1A3F">
        <w:rPr>
          <w:rFonts w:ascii="Calibri" w:eastAsia="Calibri" w:hAnsi="Calibri" w:cs="Calibri"/>
          <w:b/>
          <w:sz w:val="22"/>
          <w:szCs w:val="22"/>
        </w:rPr>
        <w:t xml:space="preserve">Capacity building for data collection, monitoring and analysis. </w:t>
      </w:r>
      <w:r w:rsidRPr="002E1A3F">
        <w:rPr>
          <w:rFonts w:ascii="Calibri" w:eastAsia="Calibri" w:hAnsi="Calibri" w:cs="Calibri"/>
          <w:sz w:val="22"/>
          <w:szCs w:val="22"/>
        </w:rPr>
        <w:t xml:space="preserve">Support will be provided to improve the availability, reliability, and timeliness of data. Such support is a critical consideration since disbursements will be linked to the agreed performance indicators. Capacity building for data collection, monitoring and analysis will be provided through the RFU. </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ACE I </w:t>
      </w:r>
      <w:r w:rsidR="00BB4A89">
        <w:rPr>
          <w:rFonts w:ascii="Calibri" w:eastAsia="Calibri" w:hAnsi="Calibri" w:cs="Calibri"/>
          <w:sz w:val="22"/>
          <w:szCs w:val="22"/>
        </w:rPr>
        <w:t xml:space="preserve">Project </w:t>
      </w:r>
      <w:r w:rsidRPr="002E1A3F">
        <w:rPr>
          <w:rFonts w:ascii="Calibri" w:eastAsia="Calibri" w:hAnsi="Calibri" w:cs="Calibri"/>
          <w:sz w:val="22"/>
          <w:szCs w:val="22"/>
        </w:rPr>
        <w:t xml:space="preserve">implementation confirmed that the data requirements and M&amp;E capacity exist at the university level, but that this capacity will need to be improved. An assessment of M&amp;E capacity will be undertaken </w:t>
      </w:r>
      <w:r w:rsidR="002D1F95">
        <w:rPr>
          <w:rFonts w:ascii="Calibri" w:eastAsia="Calibri" w:hAnsi="Calibri" w:cs="Calibri"/>
          <w:sz w:val="22"/>
          <w:szCs w:val="22"/>
        </w:rPr>
        <w:t xml:space="preserve">and an </w:t>
      </w:r>
      <w:r w:rsidRPr="002E1A3F">
        <w:rPr>
          <w:rFonts w:ascii="Calibri" w:eastAsia="Calibri" w:hAnsi="Calibri" w:cs="Calibri"/>
          <w:sz w:val="22"/>
          <w:szCs w:val="22"/>
        </w:rPr>
        <w:t>action plan</w:t>
      </w:r>
      <w:r w:rsidR="00E27C91">
        <w:rPr>
          <w:rFonts w:ascii="Calibri" w:eastAsia="Calibri" w:hAnsi="Calibri" w:cs="Calibri"/>
          <w:sz w:val="22"/>
          <w:szCs w:val="22"/>
        </w:rPr>
        <w:t xml:space="preserve"> developed by the RFU</w:t>
      </w:r>
      <w:r w:rsidRPr="002E1A3F">
        <w:rPr>
          <w:rFonts w:ascii="Calibri" w:eastAsia="Calibri" w:hAnsi="Calibri" w:cs="Calibri"/>
          <w:sz w:val="22"/>
          <w:szCs w:val="22"/>
        </w:rPr>
        <w:t xml:space="preserve">. The action plan will detail interventions to mitigate M&amp;E capacity shortfalls in the centers, particularly at the </w:t>
      </w:r>
      <w:r w:rsidR="00DE7188">
        <w:rPr>
          <w:rFonts w:ascii="Calibri" w:eastAsia="Calibri" w:hAnsi="Calibri" w:cs="Calibri"/>
          <w:sz w:val="22"/>
          <w:szCs w:val="22"/>
        </w:rPr>
        <w:t>N</w:t>
      </w:r>
      <w:r w:rsidRPr="002E1A3F">
        <w:rPr>
          <w:rFonts w:ascii="Calibri" w:eastAsia="Calibri" w:hAnsi="Calibri" w:cs="Calibri"/>
          <w:sz w:val="22"/>
          <w:szCs w:val="22"/>
        </w:rPr>
        <w:t>ew centers under Sub-components 1.1 and 2.1. In addition, adequate on-the-job training will be provided to the centers’ M&amp;E staff through the RFU, particularly</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in the first year of implementation. The capacity of the regional-level M&amp;E staff based at the RFU</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who will be responsible for aggregating the RF of the ACEs and providing insights on achievement</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will also be reinforced as needed. </w:t>
      </w:r>
    </w:p>
    <w:p w14:paraId="45765A6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sz w:val="22"/>
          <w:szCs w:val="22"/>
        </w:rPr>
        <w:t>Development of Peer-to-Peer Learning</w:t>
      </w:r>
      <w:r w:rsidRPr="002E1A3F">
        <w:rPr>
          <w:rFonts w:ascii="Calibri" w:eastAsia="Calibri" w:hAnsi="Calibri" w:cs="Calibri"/>
          <w:sz w:val="22"/>
          <w:szCs w:val="22"/>
        </w:rPr>
        <w:t xml:space="preserve">. As supported under ACE I, 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will continue to</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 xml:space="preserve">support M&amp;E Peer-to-Peer </w:t>
      </w:r>
      <w:r w:rsidR="00AC2FDE">
        <w:rPr>
          <w:rFonts w:ascii="Calibri" w:eastAsia="Calibri" w:hAnsi="Calibri" w:cs="Calibri"/>
          <w:sz w:val="22"/>
          <w:szCs w:val="22"/>
        </w:rPr>
        <w:t>l</w:t>
      </w:r>
      <w:r w:rsidRPr="002E1A3F">
        <w:rPr>
          <w:rFonts w:ascii="Calibri" w:eastAsia="Calibri" w:hAnsi="Calibri" w:cs="Calibri"/>
          <w:sz w:val="22"/>
          <w:szCs w:val="22"/>
        </w:rPr>
        <w:t xml:space="preserve">earning in which well-performing M&amp;E specialists from the </w:t>
      </w:r>
      <w:r w:rsidR="00BB4A89">
        <w:rPr>
          <w:rFonts w:ascii="Calibri" w:eastAsia="Calibri" w:hAnsi="Calibri" w:cs="Calibri"/>
          <w:sz w:val="22"/>
          <w:szCs w:val="22"/>
        </w:rPr>
        <w:t>ACE I Project</w:t>
      </w:r>
      <w:r w:rsidRPr="002E1A3F">
        <w:rPr>
          <w:rFonts w:ascii="Calibri" w:eastAsia="Calibri" w:hAnsi="Calibri" w:cs="Calibri"/>
          <w:sz w:val="22"/>
          <w:szCs w:val="22"/>
        </w:rPr>
        <w:t xml:space="preserve"> selected to participate in the </w:t>
      </w:r>
      <w:r w:rsidR="0059478C">
        <w:rPr>
          <w:rFonts w:ascii="Calibri" w:eastAsia="Calibri" w:hAnsi="Calibri" w:cs="Calibri"/>
          <w:sz w:val="22"/>
          <w:szCs w:val="22"/>
        </w:rPr>
        <w:t xml:space="preserve">First and </w:t>
      </w:r>
      <w:r w:rsidRPr="002E1A3F">
        <w:rPr>
          <w:rFonts w:ascii="Calibri" w:eastAsia="Calibri" w:hAnsi="Calibri" w:cs="Calibri"/>
          <w:sz w:val="22"/>
          <w:szCs w:val="22"/>
        </w:rPr>
        <w:t>Second ACE Impact project</w:t>
      </w:r>
      <w:r w:rsidR="0059478C">
        <w:rPr>
          <w:rFonts w:ascii="Calibri" w:eastAsia="Calibri" w:hAnsi="Calibri" w:cs="Calibri"/>
          <w:sz w:val="22"/>
          <w:szCs w:val="22"/>
        </w:rPr>
        <w:t>s</w:t>
      </w:r>
      <w:r w:rsidRPr="002E1A3F">
        <w:rPr>
          <w:rFonts w:ascii="Calibri" w:eastAsia="Calibri" w:hAnsi="Calibri" w:cs="Calibri"/>
          <w:sz w:val="22"/>
          <w:szCs w:val="22"/>
        </w:rPr>
        <w:t xml:space="preserve">, will be requested to share good practices, and strategies for addressing challenges and bottlenecks with new M&amp;E specialists. This peer-to-peer learning has been found to be highly effective and contributes to capacity development at the center level.  </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5CC51831" w14:textId="77777777" w:rsidTr="009277AD">
        <w:trPr>
          <w:trHeight w:val="108"/>
        </w:trPr>
        <w:tc>
          <w:tcPr>
            <w:tcW w:w="10710" w:type="dxa"/>
          </w:tcPr>
          <w:p w14:paraId="6877F37E" w14:textId="77777777" w:rsidR="002E1A3F" w:rsidRPr="002E1A3F" w:rsidRDefault="00B00100">
            <w:pPr>
              <w:keepNext/>
              <w:keepLines/>
              <w:widowControl/>
              <w:autoSpaceDE/>
              <w:autoSpaceDN/>
              <w:adjustRightInd/>
              <w:spacing w:before="40"/>
              <w:outlineLvl w:val="1"/>
              <w:rPr>
                <w:rFonts w:ascii="Calibri" w:eastAsia="Times New Roman" w:hAnsi="Calibri" w:cs="Times New Roman"/>
                <w:b/>
                <w:color w:val="172D5F"/>
                <w:sz w:val="22"/>
                <w:szCs w:val="22"/>
              </w:rPr>
            </w:pPr>
            <w:bookmarkStart w:id="202" w:name="_Toc256000146"/>
            <w:bookmarkStart w:id="203" w:name="_Toc256000117"/>
            <w:bookmarkStart w:id="204" w:name="_Toc256000084"/>
            <w:bookmarkStart w:id="205" w:name="_Toc256000052"/>
            <w:bookmarkStart w:id="206" w:name="_Toc256000020"/>
            <w:bookmarkStart w:id="207" w:name="_Toc8301932"/>
            <w:bookmarkStart w:id="208" w:name="_Toc14789349"/>
            <w:bookmarkStart w:id="209" w:name="_Toc22655918"/>
            <w:bookmarkStart w:id="210" w:name="_Toc23779847"/>
            <w:bookmarkStart w:id="211" w:name="_Toc23866063"/>
            <w:bookmarkStart w:id="212" w:name="_Toc23930674"/>
            <w:r w:rsidRPr="002E1A3F">
              <w:rPr>
                <w:rFonts w:ascii="Calibri" w:eastAsia="Times New Roman" w:hAnsi="Calibri" w:cs="Times New Roman"/>
                <w:b/>
                <w:color w:val="172D5F"/>
                <w:sz w:val="22"/>
                <w:szCs w:val="22"/>
              </w:rPr>
              <w:lastRenderedPageBreak/>
              <w:t>C. Sustainability</w:t>
            </w:r>
            <w:bookmarkEnd w:id="202"/>
            <w:bookmarkEnd w:id="203"/>
            <w:bookmarkEnd w:id="204"/>
            <w:bookmarkEnd w:id="205"/>
            <w:bookmarkEnd w:id="206"/>
            <w:bookmarkEnd w:id="207"/>
            <w:bookmarkEnd w:id="208"/>
            <w:bookmarkEnd w:id="209"/>
            <w:bookmarkEnd w:id="210"/>
            <w:bookmarkEnd w:id="211"/>
            <w:bookmarkEnd w:id="212"/>
          </w:p>
        </w:tc>
      </w:tr>
    </w:tbl>
    <w:p w14:paraId="103DED77" w14:textId="77777777" w:rsidR="002E1A3F" w:rsidRPr="002E1A3F" w:rsidRDefault="002E1A3F">
      <w:pPr>
        <w:keepNext/>
        <w:keepLines/>
        <w:ind w:left="-634"/>
        <w:rPr>
          <w:rFonts w:ascii="Calibri" w:eastAsia="Times New Roman" w:hAnsi="Calibri"/>
          <w:bCs/>
        </w:rPr>
      </w:pPr>
    </w:p>
    <w:p w14:paraId="32CBA3A8" w14:textId="77777777" w:rsidR="002E1A3F" w:rsidRPr="002E1A3F" w:rsidRDefault="00B00100" w:rsidP="008E2709">
      <w:pPr>
        <w:keepNext/>
        <w:keepLines/>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E1A3F">
        <w:rPr>
          <w:rFonts w:ascii="Calibri" w:eastAsia="Calibri" w:hAnsi="Calibri" w:cs="Calibri"/>
          <w:b/>
          <w:sz w:val="22"/>
          <w:szCs w:val="22"/>
        </w:rPr>
        <w:t xml:space="preserve">Ensuring sustainable financing for the </w:t>
      </w:r>
      <w:r w:rsidR="001729D9">
        <w:rPr>
          <w:rFonts w:ascii="Calibri" w:eastAsia="Calibri" w:hAnsi="Calibri" w:cs="Calibri"/>
          <w:b/>
          <w:sz w:val="22"/>
          <w:szCs w:val="22"/>
        </w:rPr>
        <w:t>centers</w:t>
      </w:r>
      <w:r w:rsidRPr="002E1A3F">
        <w:rPr>
          <w:rFonts w:ascii="Calibri" w:eastAsia="Calibri" w:hAnsi="Calibri" w:cs="Calibri"/>
          <w:b/>
          <w:sz w:val="22"/>
          <w:szCs w:val="22"/>
        </w:rPr>
        <w:t xml:space="preserve"> will be an ongoing, long-term challenge.  </w:t>
      </w:r>
      <w:r w:rsidRPr="002E1A3F">
        <w:rPr>
          <w:rFonts w:ascii="Calibri" w:eastAsia="Calibri" w:hAnsi="Calibri" w:cs="Calibri"/>
          <w:sz w:val="22"/>
          <w:szCs w:val="22"/>
        </w:rPr>
        <w:t>Sustainability beyond the term of World Bank funding will require a long-term sustainability plan and revenue generation from</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i/>
          <w:sz w:val="22"/>
          <w:szCs w:val="22"/>
        </w:rPr>
        <w:t xml:space="preserve">inter alia, </w:t>
      </w:r>
      <w:r w:rsidRPr="002E1A3F">
        <w:rPr>
          <w:rFonts w:ascii="Calibri" w:eastAsia="Calibri" w:hAnsi="Calibri" w:cs="Calibri"/>
          <w:sz w:val="22"/>
          <w:szCs w:val="22"/>
        </w:rPr>
        <w:t>student fees, institutional (and governmental) support, research grants</w:t>
      </w:r>
      <w:r w:rsidR="002B29FE">
        <w:rPr>
          <w:rFonts w:ascii="Calibri" w:eastAsia="Calibri" w:hAnsi="Calibri" w:cs="Calibri"/>
          <w:sz w:val="22"/>
          <w:szCs w:val="22"/>
        </w:rPr>
        <w:t xml:space="preserve"> and contracts</w:t>
      </w:r>
      <w:r w:rsidRPr="002E1A3F">
        <w:rPr>
          <w:rFonts w:ascii="Calibri" w:eastAsia="Calibri" w:hAnsi="Calibri" w:cs="Calibri"/>
          <w:sz w:val="22"/>
          <w:szCs w:val="22"/>
        </w:rPr>
        <w:t xml:space="preserve">, consulting fees, short-term courses, corporate partnerships and other sources. National governments participating in 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have demonstrated their commitment to the project. However, this support must be continually leveraged to ensure that the standard of the laboratory facilities and equipment, faculty development, research expertise </w:t>
      </w:r>
      <w:r w:rsidR="00CD51F1">
        <w:rPr>
          <w:rFonts w:ascii="Calibri" w:eastAsia="Calibri" w:hAnsi="Calibri" w:cs="Calibri"/>
          <w:sz w:val="22"/>
          <w:szCs w:val="22"/>
        </w:rPr>
        <w:t xml:space="preserve">and funding, </w:t>
      </w:r>
      <w:r w:rsidRPr="002E1A3F">
        <w:rPr>
          <w:rFonts w:ascii="Calibri" w:eastAsia="Calibri" w:hAnsi="Calibri" w:cs="Calibri"/>
          <w:sz w:val="22"/>
          <w:szCs w:val="22"/>
        </w:rPr>
        <w:t>and curricula remain high at the centers</w:t>
      </w:r>
      <w:r w:rsidR="00A56058">
        <w:rPr>
          <w:rFonts w:ascii="Calibri" w:eastAsia="Calibri" w:hAnsi="Calibri" w:cs="Calibri"/>
          <w:sz w:val="22"/>
          <w:szCs w:val="22"/>
        </w:rPr>
        <w:t xml:space="preserve"> even </w:t>
      </w:r>
      <w:r w:rsidR="00765482">
        <w:rPr>
          <w:rFonts w:ascii="Calibri" w:eastAsia="Calibri" w:hAnsi="Calibri" w:cs="Calibri"/>
          <w:sz w:val="22"/>
          <w:szCs w:val="22"/>
        </w:rPr>
        <w:t>after</w:t>
      </w:r>
      <w:r w:rsidR="00A56058">
        <w:rPr>
          <w:rFonts w:ascii="Calibri" w:eastAsia="Calibri" w:hAnsi="Calibri" w:cs="Calibri"/>
          <w:sz w:val="22"/>
          <w:szCs w:val="22"/>
        </w:rPr>
        <w:t xml:space="preserve"> World Bank funding</w:t>
      </w:r>
      <w:r w:rsidR="00765482">
        <w:rPr>
          <w:rFonts w:ascii="Calibri" w:eastAsia="Calibri" w:hAnsi="Calibri" w:cs="Calibri"/>
          <w:sz w:val="22"/>
          <w:szCs w:val="22"/>
        </w:rPr>
        <w:t xml:space="preserve"> ends</w:t>
      </w:r>
      <w:r w:rsidRPr="002E1A3F">
        <w:rPr>
          <w:rFonts w:ascii="Calibri,Times New Roman" w:eastAsia="Calibri,Times New Roman" w:hAnsi="Calibri,Times New Roman" w:cs="Calibri,Times New Roman"/>
          <w:sz w:val="22"/>
          <w:szCs w:val="22"/>
        </w:rPr>
        <w:t>.</w:t>
      </w:r>
    </w:p>
    <w:p w14:paraId="49522B1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b/>
          <w:sz w:val="22"/>
          <w:szCs w:val="22"/>
        </w:rPr>
      </w:pPr>
      <w:r w:rsidRPr="002E1A3F">
        <w:rPr>
          <w:rFonts w:ascii="Calibri" w:eastAsia="Calibri" w:hAnsi="Calibri" w:cs="Calibri"/>
          <w:b/>
          <w:sz w:val="22"/>
          <w:szCs w:val="22"/>
        </w:rPr>
        <w:t xml:space="preserve">ACE centers typically receive funding over a relatively short four- to five-year period to enable them to build a large-scale academic program focused on high quality postgraduate education and applied research. </w:t>
      </w:r>
      <w:r w:rsidRPr="002E1A3F">
        <w:rPr>
          <w:rFonts w:ascii="Calibri" w:eastAsia="Calibri" w:hAnsi="Calibri" w:cs="Calibri"/>
          <w:sz w:val="22"/>
          <w:szCs w:val="22"/>
        </w:rPr>
        <w:t xml:space="preserve">ACE I centers have been slow to develop sustainability plans and to achieve DLRs related to sustainability. The </w:t>
      </w:r>
      <w:r w:rsidR="00974ACF">
        <w:rPr>
          <w:rFonts w:ascii="Calibri" w:eastAsia="Calibri" w:hAnsi="Calibri" w:cs="Calibri"/>
          <w:sz w:val="22"/>
          <w:szCs w:val="22"/>
        </w:rPr>
        <w:t xml:space="preserve">proposed </w:t>
      </w:r>
      <w:r w:rsidRPr="002E1A3F">
        <w:rPr>
          <w:rFonts w:ascii="Calibri" w:eastAsia="Calibri" w:hAnsi="Calibri" w:cs="Calibri"/>
          <w:sz w:val="22"/>
          <w:szCs w:val="22"/>
        </w:rPr>
        <w:t xml:space="preserve">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addresses these concerns related to center sustainability through its integration and consideration at each stage of the project’s lifecycle and in various activities. The project has also prioritized sustainability in its engagement with global funding agencies and </w:t>
      </w:r>
      <w:r w:rsidR="00974ACF">
        <w:rPr>
          <w:rFonts w:ascii="Calibri" w:eastAsia="Calibri" w:hAnsi="Calibri" w:cs="Calibri"/>
          <w:sz w:val="22"/>
          <w:szCs w:val="22"/>
        </w:rPr>
        <w:t>DPs</w:t>
      </w:r>
      <w:r w:rsidRPr="002E1A3F">
        <w:rPr>
          <w:rFonts w:ascii="Calibri" w:eastAsia="Calibri" w:hAnsi="Calibri" w:cs="Calibri"/>
          <w:sz w:val="22"/>
          <w:szCs w:val="22"/>
        </w:rPr>
        <w:t xml:space="preserve"> to mobilize additional funds</w:t>
      </w:r>
      <w:r w:rsidR="009C3925">
        <w:rPr>
          <w:rFonts w:ascii="Calibri" w:eastAsia="Calibri" w:hAnsi="Calibri" w:cs="Calibri"/>
          <w:sz w:val="22"/>
          <w:szCs w:val="22"/>
        </w:rPr>
        <w:t xml:space="preserve"> during the project lifetime, with the expectation that </w:t>
      </w:r>
      <w:r w:rsidR="00C031AD">
        <w:rPr>
          <w:rFonts w:ascii="Calibri" w:eastAsia="Calibri" w:hAnsi="Calibri" w:cs="Calibri"/>
          <w:sz w:val="22"/>
          <w:szCs w:val="22"/>
        </w:rPr>
        <w:t>c</w:t>
      </w:r>
      <w:r w:rsidR="009C3925">
        <w:rPr>
          <w:rFonts w:ascii="Calibri" w:eastAsia="Calibri" w:hAnsi="Calibri" w:cs="Calibri"/>
          <w:sz w:val="22"/>
          <w:szCs w:val="22"/>
        </w:rPr>
        <w:t xml:space="preserve">enters will build on this </w:t>
      </w:r>
      <w:r w:rsidR="0047101C">
        <w:rPr>
          <w:rFonts w:ascii="Calibri" w:eastAsia="Calibri" w:hAnsi="Calibri" w:cs="Calibri"/>
          <w:sz w:val="22"/>
          <w:szCs w:val="22"/>
        </w:rPr>
        <w:t xml:space="preserve">opportunity and continue to seek external research </w:t>
      </w:r>
      <w:r w:rsidR="007F4A99">
        <w:rPr>
          <w:rFonts w:ascii="Calibri" w:eastAsia="Calibri" w:hAnsi="Calibri" w:cs="Calibri"/>
          <w:sz w:val="22"/>
          <w:szCs w:val="22"/>
        </w:rPr>
        <w:t>fun</w:t>
      </w:r>
      <w:r w:rsidR="006D1F89">
        <w:rPr>
          <w:rFonts w:ascii="Calibri" w:eastAsia="Calibri" w:hAnsi="Calibri" w:cs="Calibri"/>
          <w:sz w:val="22"/>
          <w:szCs w:val="22"/>
        </w:rPr>
        <w:t>ding</w:t>
      </w:r>
      <w:r w:rsidR="0047101C">
        <w:rPr>
          <w:rFonts w:ascii="Calibri" w:eastAsia="Calibri" w:hAnsi="Calibri" w:cs="Calibri"/>
          <w:sz w:val="22"/>
          <w:szCs w:val="22"/>
        </w:rPr>
        <w:t xml:space="preserve"> </w:t>
      </w:r>
      <w:r w:rsidR="003C0B75">
        <w:rPr>
          <w:rFonts w:ascii="Calibri" w:eastAsia="Calibri" w:hAnsi="Calibri" w:cs="Calibri"/>
          <w:sz w:val="22"/>
          <w:szCs w:val="22"/>
        </w:rPr>
        <w:t>in the future</w:t>
      </w:r>
      <w:r w:rsidRPr="002E1A3F">
        <w:rPr>
          <w:rFonts w:ascii="Calibri" w:eastAsia="Calibri" w:hAnsi="Calibri" w:cs="Calibri"/>
          <w:sz w:val="22"/>
          <w:szCs w:val="22"/>
        </w:rPr>
        <w:t>.  Workshops and webinars</w:t>
      </w:r>
      <w:r w:rsidR="002420F1">
        <w:rPr>
          <w:rFonts w:ascii="Calibri" w:eastAsia="Calibri" w:hAnsi="Calibri" w:cs="Calibri"/>
          <w:sz w:val="22"/>
          <w:szCs w:val="22"/>
        </w:rPr>
        <w:t xml:space="preserve"> </w:t>
      </w:r>
      <w:r w:rsidR="00244AEF">
        <w:rPr>
          <w:rFonts w:ascii="Calibri" w:eastAsia="Calibri" w:hAnsi="Calibri" w:cs="Calibri"/>
          <w:sz w:val="22"/>
          <w:szCs w:val="22"/>
        </w:rPr>
        <w:t xml:space="preserve">– including </w:t>
      </w:r>
      <w:r w:rsidR="008938C8">
        <w:rPr>
          <w:rFonts w:ascii="Calibri" w:eastAsia="Calibri" w:hAnsi="Calibri" w:cs="Calibri"/>
          <w:sz w:val="22"/>
          <w:szCs w:val="22"/>
        </w:rPr>
        <w:t>topics such as proposal writin</w:t>
      </w:r>
      <w:r w:rsidR="00040361">
        <w:rPr>
          <w:rFonts w:ascii="Calibri" w:eastAsia="Calibri" w:hAnsi="Calibri" w:cs="Calibri"/>
          <w:sz w:val="22"/>
          <w:szCs w:val="22"/>
        </w:rPr>
        <w:t>g,</w:t>
      </w:r>
      <w:r w:rsidR="00BD1B38">
        <w:rPr>
          <w:rFonts w:ascii="Calibri" w:eastAsia="Calibri" w:hAnsi="Calibri" w:cs="Calibri"/>
          <w:sz w:val="22"/>
          <w:szCs w:val="22"/>
        </w:rPr>
        <w:t xml:space="preserve"> </w:t>
      </w:r>
      <w:r w:rsidR="00B64EAB">
        <w:rPr>
          <w:rFonts w:ascii="Calibri" w:eastAsia="Calibri" w:hAnsi="Calibri" w:cs="Calibri"/>
          <w:sz w:val="22"/>
          <w:szCs w:val="22"/>
        </w:rPr>
        <w:t>research management</w:t>
      </w:r>
      <w:r w:rsidR="00040361">
        <w:rPr>
          <w:rFonts w:ascii="Calibri" w:eastAsia="Calibri" w:hAnsi="Calibri" w:cs="Calibri"/>
          <w:sz w:val="22"/>
          <w:szCs w:val="22"/>
        </w:rPr>
        <w:t xml:space="preserve"> </w:t>
      </w:r>
      <w:r w:rsidR="00BD1B38">
        <w:rPr>
          <w:rFonts w:ascii="Calibri" w:eastAsia="Calibri" w:hAnsi="Calibri" w:cs="Calibri"/>
          <w:sz w:val="22"/>
          <w:szCs w:val="22"/>
        </w:rPr>
        <w:t xml:space="preserve">and </w:t>
      </w:r>
      <w:r w:rsidR="00040361">
        <w:rPr>
          <w:rFonts w:ascii="Calibri" w:eastAsia="Calibri" w:hAnsi="Calibri" w:cs="Calibri"/>
          <w:sz w:val="22"/>
          <w:szCs w:val="22"/>
        </w:rPr>
        <w:t>commercialization of research results</w:t>
      </w:r>
      <w:r w:rsidR="00B64EAB">
        <w:rPr>
          <w:rFonts w:ascii="Calibri" w:eastAsia="Calibri" w:hAnsi="Calibri" w:cs="Calibri"/>
          <w:sz w:val="22"/>
          <w:szCs w:val="22"/>
        </w:rPr>
        <w:t xml:space="preserve"> - </w:t>
      </w:r>
      <w:r w:rsidRPr="002E1A3F">
        <w:rPr>
          <w:rFonts w:ascii="Calibri" w:eastAsia="Calibri" w:hAnsi="Calibri" w:cs="Calibri"/>
          <w:sz w:val="22"/>
          <w:szCs w:val="22"/>
        </w:rPr>
        <w:t xml:space="preserve">will be </w:t>
      </w:r>
      <w:r w:rsidR="007976C3">
        <w:rPr>
          <w:rFonts w:ascii="Calibri" w:eastAsia="Calibri" w:hAnsi="Calibri" w:cs="Calibri"/>
          <w:sz w:val="22"/>
          <w:szCs w:val="22"/>
        </w:rPr>
        <w:t>a</w:t>
      </w:r>
      <w:r w:rsidR="00BB3D46">
        <w:rPr>
          <w:rFonts w:ascii="Calibri" w:eastAsia="Calibri" w:hAnsi="Calibri" w:cs="Calibri"/>
          <w:sz w:val="22"/>
          <w:szCs w:val="22"/>
        </w:rPr>
        <w:t xml:space="preserve"> focus</w:t>
      </w:r>
      <w:r w:rsidR="007976C3" w:rsidRPr="002E1A3F">
        <w:rPr>
          <w:rFonts w:ascii="Calibri" w:eastAsia="Calibri" w:hAnsi="Calibri" w:cs="Calibri"/>
          <w:sz w:val="22"/>
          <w:szCs w:val="22"/>
        </w:rPr>
        <w:t xml:space="preserve"> </w:t>
      </w:r>
      <w:r w:rsidRPr="002E1A3F">
        <w:rPr>
          <w:rFonts w:ascii="Calibri" w:eastAsia="Calibri" w:hAnsi="Calibri" w:cs="Calibri"/>
          <w:sz w:val="22"/>
          <w:szCs w:val="22"/>
        </w:rPr>
        <w:t>of the TA to each ACE Impact center.</w:t>
      </w:r>
    </w:p>
    <w:p w14:paraId="704AE624" w14:textId="77777777" w:rsid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t xml:space="preserve">Institutional infrastructure developed through the Second </w:t>
      </w:r>
      <w:r w:rsidR="00BB4A89">
        <w:rPr>
          <w:rFonts w:ascii="Calibri" w:eastAsia="Calibri" w:hAnsi="Calibri" w:cs="Calibri"/>
          <w:b/>
          <w:sz w:val="22"/>
          <w:szCs w:val="22"/>
        </w:rPr>
        <w:t>ACE Impact Project</w:t>
      </w:r>
      <w:r w:rsidRPr="002E1A3F">
        <w:rPr>
          <w:rFonts w:ascii="Calibri" w:eastAsia="Calibri" w:hAnsi="Calibri" w:cs="Calibri"/>
          <w:b/>
          <w:sz w:val="22"/>
          <w:szCs w:val="22"/>
        </w:rPr>
        <w:t xml:space="preserve"> will be sustainable during the medium-term and will lay the foundation for long-term benefits. </w:t>
      </w:r>
      <w:r w:rsidRPr="002E1A3F">
        <w:rPr>
          <w:rFonts w:ascii="Calibri" w:eastAsia="Calibri" w:hAnsi="Calibri" w:cs="Calibri"/>
          <w:sz w:val="22"/>
          <w:szCs w:val="22"/>
        </w:rPr>
        <w:t>Physical infrastructure, including civil works, teaching and research facilities, and major laboratory equipment, will require ongoing investment to maintain standards. Moreover, the upgrading of faculty qualifications, and the expansion of academic programs and curricula will require continuous improvement in the teaching and research facilities beyond the lifetime of the project</w:t>
      </w:r>
      <w:r w:rsidR="00A052A0">
        <w:rPr>
          <w:rFonts w:ascii="Calibri" w:eastAsia="Calibri" w:hAnsi="Calibri" w:cs="Calibri"/>
          <w:sz w:val="22"/>
          <w:szCs w:val="22"/>
        </w:rPr>
        <w:t xml:space="preserve">.  </w:t>
      </w:r>
      <w:r w:rsidRPr="002E1A3F">
        <w:rPr>
          <w:rFonts w:ascii="Calibri" w:eastAsia="Calibri" w:hAnsi="Calibri" w:cs="Calibri"/>
          <w:sz w:val="22"/>
          <w:szCs w:val="22"/>
        </w:rPr>
        <w:t>These future investments will depend on the ability of participating centers</w:t>
      </w:r>
      <w:r w:rsidR="00E57761">
        <w:rPr>
          <w:rFonts w:ascii="Calibri" w:eastAsia="Calibri" w:hAnsi="Calibri" w:cs="Calibri"/>
          <w:sz w:val="22"/>
          <w:szCs w:val="22"/>
        </w:rPr>
        <w:t>, Colleges of Engineering</w:t>
      </w:r>
      <w:r w:rsidRPr="002E1A3F">
        <w:rPr>
          <w:rFonts w:ascii="Calibri" w:eastAsia="Calibri" w:hAnsi="Calibri" w:cs="Calibri"/>
          <w:sz w:val="22"/>
          <w:szCs w:val="22"/>
        </w:rPr>
        <w:t xml:space="preserve"> and their host institutions to generate funds to support recurrent expenditure.</w:t>
      </w:r>
      <w:r w:rsidR="007B26A6">
        <w:rPr>
          <w:rFonts w:ascii="Calibri" w:eastAsia="Calibri" w:hAnsi="Calibri" w:cs="Calibri"/>
          <w:sz w:val="22"/>
          <w:szCs w:val="22"/>
        </w:rPr>
        <w:t xml:space="preserve">  As part of a long-term plan for sustainability, ACE Impact funding should serve as a catalyst</w:t>
      </w:r>
      <w:r w:rsidR="00356629">
        <w:rPr>
          <w:rFonts w:ascii="Calibri" w:eastAsia="Calibri" w:hAnsi="Calibri" w:cs="Calibri"/>
          <w:sz w:val="22"/>
          <w:szCs w:val="22"/>
        </w:rPr>
        <w:t xml:space="preserve"> and foundation</w:t>
      </w:r>
      <w:r w:rsidR="0020123D">
        <w:rPr>
          <w:rFonts w:ascii="Calibri" w:eastAsia="Calibri" w:hAnsi="Calibri" w:cs="Calibri"/>
          <w:sz w:val="22"/>
          <w:szCs w:val="22"/>
        </w:rPr>
        <w:t xml:space="preserve"> for infrastructure to support the research and </w:t>
      </w:r>
      <w:r w:rsidR="000D0188">
        <w:rPr>
          <w:rFonts w:ascii="Calibri" w:eastAsia="Calibri" w:hAnsi="Calibri" w:cs="Calibri"/>
          <w:sz w:val="22"/>
          <w:szCs w:val="22"/>
        </w:rPr>
        <w:t xml:space="preserve">the </w:t>
      </w:r>
      <w:r w:rsidR="00BE7F23">
        <w:rPr>
          <w:rFonts w:ascii="Calibri" w:eastAsia="Calibri" w:hAnsi="Calibri" w:cs="Calibri"/>
          <w:sz w:val="22"/>
          <w:szCs w:val="22"/>
        </w:rPr>
        <w:t xml:space="preserve">teaching efforts of the centers </w:t>
      </w:r>
      <w:r w:rsidR="00900F01">
        <w:rPr>
          <w:rFonts w:ascii="Calibri" w:eastAsia="Calibri" w:hAnsi="Calibri" w:cs="Calibri"/>
          <w:sz w:val="22"/>
          <w:szCs w:val="22"/>
        </w:rPr>
        <w:t>into the future.</w:t>
      </w:r>
    </w:p>
    <w:p w14:paraId="046BF169" w14:textId="77777777" w:rsidR="002E1A3F" w:rsidRPr="00FF5851" w:rsidRDefault="00B00100" w:rsidP="008E2709">
      <w:pPr>
        <w:widowControl/>
        <w:numPr>
          <w:ilvl w:val="0"/>
          <w:numId w:val="7"/>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sz w:val="22"/>
          <w:szCs w:val="22"/>
        </w:rPr>
      </w:pPr>
      <w:r w:rsidRPr="002E1A3F">
        <w:rPr>
          <w:rFonts w:ascii="Calibri" w:eastAsia="Calibri" w:hAnsi="Calibri" w:cs="Calibri"/>
          <w:b/>
          <w:bCs/>
          <w:sz w:val="22"/>
          <w:szCs w:val="22"/>
        </w:rPr>
        <w:t xml:space="preserve">The Second </w:t>
      </w:r>
      <w:r w:rsidR="00BB4A89">
        <w:rPr>
          <w:rFonts w:ascii="Calibri" w:eastAsia="Calibri" w:hAnsi="Calibri" w:cs="Calibri"/>
          <w:b/>
          <w:bCs/>
          <w:sz w:val="22"/>
          <w:szCs w:val="22"/>
        </w:rPr>
        <w:t>ACE Impact Project</w:t>
      </w:r>
      <w:r w:rsidRPr="002E1A3F">
        <w:rPr>
          <w:rFonts w:ascii="Calibri" w:eastAsia="Calibri" w:hAnsi="Calibri" w:cs="Calibri"/>
          <w:b/>
          <w:bCs/>
          <w:sz w:val="22"/>
          <w:szCs w:val="22"/>
        </w:rPr>
        <w:t xml:space="preserve"> will incorporate a strong focus on institutional impact beyond the activities of the centers.  </w:t>
      </w:r>
      <w:r w:rsidRPr="002E1A3F">
        <w:rPr>
          <w:rFonts w:ascii="Calibri" w:eastAsia="Calibri" w:hAnsi="Calibri" w:cs="Calibri"/>
          <w:sz w:val="22"/>
          <w:szCs w:val="22"/>
        </w:rPr>
        <w:t xml:space="preserve">Under Components 1 and </w:t>
      </w:r>
      <w:r w:rsidR="00D45930">
        <w:rPr>
          <w:rFonts w:ascii="Calibri" w:eastAsia="Calibri" w:hAnsi="Calibri" w:cs="Calibri"/>
          <w:sz w:val="22"/>
          <w:szCs w:val="22"/>
        </w:rPr>
        <w:t>Sub</w:t>
      </w:r>
      <w:r w:rsidR="00612C95">
        <w:rPr>
          <w:rFonts w:ascii="Calibri" w:eastAsia="Calibri" w:hAnsi="Calibri" w:cs="Calibri"/>
          <w:sz w:val="22"/>
          <w:szCs w:val="22"/>
        </w:rPr>
        <w:t xml:space="preserve">-component </w:t>
      </w:r>
      <w:r w:rsidRPr="002E1A3F">
        <w:rPr>
          <w:rFonts w:ascii="Calibri" w:eastAsia="Calibri" w:hAnsi="Calibri" w:cs="Calibri"/>
          <w:sz w:val="22"/>
          <w:szCs w:val="22"/>
        </w:rPr>
        <w:t>2</w:t>
      </w:r>
      <w:r w:rsidR="00094138">
        <w:rPr>
          <w:rFonts w:ascii="Calibri" w:eastAsia="Calibri" w:hAnsi="Calibri" w:cs="Calibri"/>
          <w:sz w:val="22"/>
          <w:szCs w:val="22"/>
        </w:rPr>
        <w:t>.1</w:t>
      </w:r>
      <w:r w:rsidRPr="002E1A3F">
        <w:rPr>
          <w:rFonts w:ascii="Calibri" w:eastAsia="Calibri" w:hAnsi="Calibri" w:cs="Calibri"/>
          <w:sz w:val="22"/>
          <w:szCs w:val="22"/>
        </w:rPr>
        <w:t xml:space="preserve">, institutions will be required to implement actions based on best practices in higher education management to improve university leadership, management and operations. </w:t>
      </w:r>
      <w:r w:rsidR="000261F1">
        <w:rPr>
          <w:rFonts w:ascii="Calibri" w:eastAsia="Calibri" w:hAnsi="Calibri" w:cs="Calibri"/>
          <w:sz w:val="22"/>
          <w:szCs w:val="22"/>
        </w:rPr>
        <w:t xml:space="preserve">Investments in Institutional Impact – </w:t>
      </w:r>
      <w:r w:rsidR="00690394">
        <w:rPr>
          <w:rFonts w:ascii="Calibri" w:eastAsia="Calibri" w:hAnsi="Calibri" w:cs="Calibri"/>
          <w:sz w:val="22"/>
          <w:szCs w:val="22"/>
        </w:rPr>
        <w:t>whi</w:t>
      </w:r>
      <w:r w:rsidR="000261F1">
        <w:rPr>
          <w:rFonts w:ascii="Calibri" w:eastAsia="Calibri" w:hAnsi="Calibri" w:cs="Calibri"/>
          <w:sz w:val="22"/>
          <w:szCs w:val="22"/>
        </w:rPr>
        <w:t xml:space="preserve">ch may include </w:t>
      </w:r>
      <w:r w:rsidR="001F598D">
        <w:rPr>
          <w:rFonts w:ascii="Calibri" w:eastAsia="Calibri" w:hAnsi="Calibri" w:cs="Calibri"/>
          <w:sz w:val="22"/>
          <w:szCs w:val="22"/>
        </w:rPr>
        <w:t xml:space="preserve">developing a regional strategic plan for the institution and </w:t>
      </w:r>
      <w:r w:rsidR="000261F1">
        <w:rPr>
          <w:rFonts w:ascii="Calibri" w:eastAsia="Calibri" w:hAnsi="Calibri" w:cs="Calibri"/>
          <w:sz w:val="22"/>
          <w:szCs w:val="22"/>
        </w:rPr>
        <w:t>initiatives such as: a university small grants competition; an enhanced Sponsored</w:t>
      </w:r>
      <w:r w:rsidR="00FF1C20">
        <w:rPr>
          <w:rFonts w:ascii="Calibri" w:eastAsia="Calibri" w:hAnsi="Calibri" w:cs="Calibri"/>
          <w:sz w:val="22"/>
          <w:szCs w:val="22"/>
        </w:rPr>
        <w:t>-</w:t>
      </w:r>
      <w:r w:rsidR="000261F1">
        <w:rPr>
          <w:rFonts w:ascii="Calibri" w:eastAsia="Calibri" w:hAnsi="Calibri" w:cs="Calibri"/>
          <w:sz w:val="22"/>
          <w:szCs w:val="22"/>
        </w:rPr>
        <w:t xml:space="preserve">Research Office; </w:t>
      </w:r>
      <w:r w:rsidR="00C137AD">
        <w:rPr>
          <w:rFonts w:ascii="Calibri" w:eastAsia="Calibri" w:hAnsi="Calibri" w:cs="Calibri"/>
          <w:sz w:val="22"/>
          <w:szCs w:val="22"/>
        </w:rPr>
        <w:t xml:space="preserve">a Technology Transfer Office </w:t>
      </w:r>
      <w:r w:rsidR="000261F1">
        <w:rPr>
          <w:rFonts w:ascii="Calibri" w:eastAsia="Calibri" w:hAnsi="Calibri" w:cs="Calibri"/>
          <w:sz w:val="22"/>
          <w:szCs w:val="22"/>
        </w:rPr>
        <w:t>or strengthened Institutional Development/fundraising activit</w:t>
      </w:r>
      <w:r w:rsidR="00690394">
        <w:rPr>
          <w:rFonts w:ascii="Calibri" w:eastAsia="Calibri" w:hAnsi="Calibri" w:cs="Calibri"/>
          <w:sz w:val="22"/>
          <w:szCs w:val="22"/>
        </w:rPr>
        <w:t>i</w:t>
      </w:r>
      <w:r w:rsidR="000261F1">
        <w:rPr>
          <w:rFonts w:ascii="Calibri" w:eastAsia="Calibri" w:hAnsi="Calibri" w:cs="Calibri"/>
          <w:sz w:val="22"/>
          <w:szCs w:val="22"/>
        </w:rPr>
        <w:t xml:space="preserve">es – can support long-term sustainability not just in the </w:t>
      </w:r>
      <w:r w:rsidR="000261F1">
        <w:rPr>
          <w:rFonts w:ascii="Calibri" w:eastAsia="Calibri" w:hAnsi="Calibri" w:cs="Calibri"/>
          <w:sz w:val="22"/>
          <w:szCs w:val="22"/>
        </w:rPr>
        <w:lastRenderedPageBreak/>
        <w:t>centers</w:t>
      </w:r>
      <w:r w:rsidR="00690394">
        <w:rPr>
          <w:rFonts w:ascii="Calibri" w:eastAsia="Calibri" w:hAnsi="Calibri" w:cs="Calibri"/>
          <w:sz w:val="22"/>
          <w:szCs w:val="22"/>
        </w:rPr>
        <w:t xml:space="preserve"> but across the host universities</w:t>
      </w:r>
      <w:r w:rsidR="000261F1">
        <w:rPr>
          <w:rFonts w:ascii="Calibri" w:eastAsia="Calibri" w:hAnsi="Calibri" w:cs="Calibri"/>
          <w:sz w:val="22"/>
          <w:szCs w:val="22"/>
        </w:rPr>
        <w:t xml:space="preserve">.  </w:t>
      </w:r>
      <w:r w:rsidRPr="002E1A3F">
        <w:rPr>
          <w:rFonts w:ascii="Calibri" w:eastAsia="Calibri" w:hAnsi="Calibri" w:cs="Calibri"/>
          <w:sz w:val="22"/>
          <w:szCs w:val="22"/>
        </w:rPr>
        <w:t>These policies and practices should be sustainable in the medium</w:t>
      </w:r>
      <w:r w:rsidRPr="002E1A3F">
        <w:rPr>
          <w:rFonts w:ascii="Calibri,Arial,Times New Roman" w:eastAsia="Calibri,Arial,Times New Roman" w:hAnsi="Calibri,Arial,Times New Roman" w:cs="Calibri,Arial,Times New Roman"/>
          <w:sz w:val="22"/>
          <w:szCs w:val="22"/>
        </w:rPr>
        <w:t>-</w:t>
      </w:r>
      <w:r w:rsidRPr="002E1A3F">
        <w:rPr>
          <w:rFonts w:ascii="Calibri" w:eastAsia="Calibri" w:hAnsi="Calibri" w:cs="Calibri"/>
          <w:sz w:val="22"/>
          <w:szCs w:val="22"/>
        </w:rPr>
        <w:t xml:space="preserve"> and long-term and will provide a framework for continuous institutional improvement and sustainability. </w:t>
      </w:r>
    </w:p>
    <w:tbl>
      <w:tblPr>
        <w:tblStyle w:val="TableGrid18"/>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0"/>
        <w:gridCol w:w="90"/>
      </w:tblGrid>
      <w:tr w:rsidR="000C3959" w14:paraId="271020E2" w14:textId="77777777" w:rsidTr="009277AD">
        <w:trPr>
          <w:trHeight w:val="432"/>
        </w:trPr>
        <w:tc>
          <w:tcPr>
            <w:tcW w:w="10800" w:type="dxa"/>
            <w:gridSpan w:val="2"/>
            <w:shd w:val="clear" w:color="auto" w:fill="F2F7FC"/>
            <w:vAlign w:val="center"/>
          </w:tcPr>
          <w:p w14:paraId="3C190636" w14:textId="77777777" w:rsidR="002E1A3F" w:rsidRPr="002E1A3F" w:rsidRDefault="00B00100" w:rsidP="001D73BB">
            <w:pPr>
              <w:widowControl/>
              <w:autoSpaceDE/>
              <w:autoSpaceDN/>
              <w:adjustRightInd/>
              <w:ind w:left="90"/>
              <w:outlineLvl w:val="0"/>
              <w:rPr>
                <w:rFonts w:ascii="Calibri" w:eastAsia="Calibri" w:hAnsi="Calibri" w:cs="Times New Roman"/>
                <w:b/>
                <w:color w:val="auto"/>
                <w:sz w:val="22"/>
                <w:szCs w:val="22"/>
              </w:rPr>
            </w:pPr>
            <w:bookmarkStart w:id="213" w:name="_Toc256000147"/>
            <w:bookmarkStart w:id="214" w:name="_Toc256000118"/>
            <w:bookmarkStart w:id="215" w:name="_Toc256000085"/>
            <w:bookmarkStart w:id="216" w:name="_Toc256000053"/>
            <w:bookmarkStart w:id="217" w:name="_Toc256000021"/>
            <w:bookmarkStart w:id="218" w:name="_Toc8301933"/>
            <w:bookmarkStart w:id="219" w:name="_Toc14789350"/>
            <w:bookmarkStart w:id="220" w:name="_Toc22655919"/>
            <w:bookmarkStart w:id="221" w:name="_Toc23779848"/>
            <w:bookmarkStart w:id="222" w:name="_Toc23866064"/>
            <w:bookmarkStart w:id="223" w:name="_Toc23930675"/>
            <w:r>
              <w:rPr>
                <w:rFonts w:asciiTheme="minorHAnsi" w:eastAsiaTheme="minorHAnsi" w:hAnsiTheme="minorHAnsi" w:cstheme="minorBidi"/>
                <w:b/>
                <w:color w:val="auto"/>
                <w:sz w:val="22"/>
                <w:szCs w:val="22"/>
              </w:rPr>
              <w:t xml:space="preserve">IV. </w:t>
            </w:r>
            <w:r w:rsidR="00CE2C51" w:rsidRPr="00E003D0">
              <w:rPr>
                <w:rFonts w:asciiTheme="minorHAnsi" w:eastAsiaTheme="minorHAnsi" w:hAnsiTheme="minorHAnsi" w:cstheme="minorBidi"/>
                <w:b/>
                <w:color w:val="auto"/>
                <w:sz w:val="22"/>
                <w:szCs w:val="22"/>
              </w:rPr>
              <w:t>PROJECT APPRAISAL SUMMARY</w:t>
            </w:r>
            <w:bookmarkEnd w:id="213"/>
            <w:bookmarkEnd w:id="214"/>
            <w:bookmarkEnd w:id="215"/>
            <w:bookmarkEnd w:id="216"/>
            <w:bookmarkEnd w:id="217"/>
            <w:bookmarkEnd w:id="218"/>
            <w:bookmarkEnd w:id="219"/>
            <w:bookmarkEnd w:id="220"/>
            <w:bookmarkEnd w:id="221"/>
            <w:bookmarkEnd w:id="222"/>
            <w:bookmarkEnd w:id="223"/>
          </w:p>
        </w:tc>
      </w:tr>
      <w:tr w:rsidR="000C3959" w14:paraId="20360C3B" w14:textId="77777777" w:rsidTr="009277AD">
        <w:tblPrEx>
          <w:shd w:val="clear" w:color="auto" w:fill="auto"/>
        </w:tblPrEx>
        <w:trPr>
          <w:gridAfter w:val="1"/>
          <w:wAfter w:w="90" w:type="dxa"/>
          <w:trHeight w:val="80"/>
        </w:trPr>
        <w:tc>
          <w:tcPr>
            <w:tcW w:w="10710" w:type="dxa"/>
          </w:tcPr>
          <w:p w14:paraId="30CA3AB8" w14:textId="77777777" w:rsidR="003A6D8D" w:rsidRDefault="003A6D8D">
            <w:pPr>
              <w:keepNext/>
              <w:keepLines/>
              <w:widowControl/>
              <w:autoSpaceDE/>
              <w:autoSpaceDN/>
              <w:adjustRightInd/>
              <w:spacing w:before="40"/>
              <w:outlineLvl w:val="1"/>
              <w:rPr>
                <w:rFonts w:ascii="Calibri" w:eastAsia="Times New Roman" w:hAnsi="Calibri" w:cs="Times New Roman"/>
                <w:b/>
                <w:color w:val="172D5F"/>
                <w:sz w:val="22"/>
                <w:szCs w:val="22"/>
              </w:rPr>
            </w:pPr>
            <w:bookmarkStart w:id="224" w:name="_Toc8301934"/>
            <w:bookmarkStart w:id="225" w:name="_Toc14789351"/>
          </w:p>
          <w:p w14:paraId="593B7CA9" w14:textId="77777777" w:rsidR="002E1A3F" w:rsidRPr="002E1A3F" w:rsidRDefault="00B00100" w:rsidP="00F463C2">
            <w:pPr>
              <w:keepNext/>
              <w:keepLines/>
              <w:widowControl/>
              <w:autoSpaceDE/>
              <w:autoSpaceDN/>
              <w:adjustRightInd/>
              <w:spacing w:before="40"/>
              <w:outlineLvl w:val="1"/>
              <w:rPr>
                <w:rFonts w:ascii="Calibri" w:eastAsia="Times New Roman" w:hAnsi="Calibri" w:cs="Times New Roman"/>
                <w:b/>
                <w:color w:val="172D5F"/>
                <w:sz w:val="22"/>
                <w:szCs w:val="22"/>
              </w:rPr>
            </w:pPr>
            <w:bookmarkStart w:id="226" w:name="_Toc256000149"/>
            <w:bookmarkStart w:id="227" w:name="_Toc256000120"/>
            <w:bookmarkStart w:id="228" w:name="_Toc256000087"/>
            <w:bookmarkStart w:id="229" w:name="_Toc256000055"/>
            <w:bookmarkStart w:id="230" w:name="_Toc256000023"/>
            <w:bookmarkStart w:id="231" w:name="_Toc22655920"/>
            <w:bookmarkStart w:id="232" w:name="_Toc23779849"/>
            <w:bookmarkStart w:id="233" w:name="_Toc23866065"/>
            <w:bookmarkStart w:id="234" w:name="_Toc23930676"/>
            <w:r w:rsidRPr="002E1A3F">
              <w:rPr>
                <w:rFonts w:ascii="Calibri" w:eastAsia="Times New Roman" w:hAnsi="Calibri" w:cs="Times New Roman"/>
                <w:b/>
                <w:color w:val="172D5F"/>
                <w:sz w:val="22"/>
                <w:szCs w:val="22"/>
              </w:rPr>
              <w:t>A. Technical, Economic and Financial Analysis</w:t>
            </w:r>
            <w:bookmarkEnd w:id="224"/>
            <w:bookmarkEnd w:id="225"/>
            <w:bookmarkEnd w:id="226"/>
            <w:bookmarkEnd w:id="227"/>
            <w:bookmarkEnd w:id="228"/>
            <w:bookmarkEnd w:id="229"/>
            <w:bookmarkEnd w:id="230"/>
            <w:bookmarkEnd w:id="231"/>
            <w:bookmarkEnd w:id="232"/>
            <w:bookmarkEnd w:id="233"/>
            <w:bookmarkEnd w:id="234"/>
          </w:p>
          <w:p w14:paraId="5A2A34BD" w14:textId="77777777" w:rsidR="002E1A3F" w:rsidRPr="002E1A3F" w:rsidRDefault="002E1A3F" w:rsidP="00FC1A97">
            <w:pPr>
              <w:keepNext/>
              <w:keepLines/>
              <w:widowControl/>
              <w:autoSpaceDE/>
              <w:autoSpaceDN/>
              <w:adjustRightInd/>
              <w:rPr>
                <w:rFonts w:ascii="Calibri" w:eastAsia="Calibri" w:hAnsi="Calibri" w:cs="Times New Roman"/>
                <w:color w:val="auto"/>
                <w:sz w:val="22"/>
                <w:szCs w:val="22"/>
              </w:rPr>
            </w:pPr>
          </w:p>
        </w:tc>
      </w:tr>
    </w:tbl>
    <w:p w14:paraId="547FF78B" w14:textId="77777777" w:rsidR="002E1A3F" w:rsidRPr="002E1A3F" w:rsidRDefault="00B00100" w:rsidP="008E2709">
      <w:pPr>
        <w:keepNext/>
        <w:keepLines/>
        <w:widowControl/>
        <w:numPr>
          <w:ilvl w:val="2"/>
          <w:numId w:val="16"/>
        </w:numPr>
        <w:tabs>
          <w:tab w:val="left" w:pos="0"/>
          <w:tab w:val="left" w:pos="720"/>
          <w:tab w:val="left" w:pos="810"/>
        </w:tabs>
        <w:autoSpaceDE/>
        <w:autoSpaceDN/>
        <w:adjustRightInd/>
        <w:spacing w:after="240"/>
        <w:contextualSpacing/>
        <w:jc w:val="both"/>
        <w:rPr>
          <w:rFonts w:ascii="Calibri,Times New Roman" w:eastAsia="Calibri,Times New Roman" w:hAnsi="Calibri,Times New Roman" w:cs="Calibri,Times New Roman"/>
          <w:b/>
          <w:color w:val="auto"/>
          <w:sz w:val="22"/>
          <w:szCs w:val="22"/>
        </w:rPr>
      </w:pPr>
      <w:r w:rsidRPr="002E1A3F">
        <w:rPr>
          <w:rFonts w:ascii="Calibri" w:eastAsia="Calibri" w:hAnsi="Calibri" w:cs="Calibri"/>
          <w:b/>
          <w:color w:val="auto"/>
          <w:sz w:val="22"/>
          <w:szCs w:val="22"/>
        </w:rPr>
        <w:t xml:space="preserve">Technical Design </w:t>
      </w:r>
    </w:p>
    <w:p w14:paraId="4C486D9B" w14:textId="77777777" w:rsidR="002E1A3F" w:rsidRPr="002E1A3F" w:rsidRDefault="002E1A3F" w:rsidP="008E2709">
      <w:pPr>
        <w:keepNext/>
        <w:keepLines/>
        <w:widowControl/>
        <w:tabs>
          <w:tab w:val="left" w:pos="0"/>
          <w:tab w:val="left" w:pos="450"/>
          <w:tab w:val="left" w:pos="630"/>
        </w:tabs>
        <w:autoSpaceDE/>
        <w:autoSpaceDN/>
        <w:adjustRightInd/>
        <w:spacing w:after="240"/>
        <w:ind w:left="94"/>
        <w:contextualSpacing/>
        <w:jc w:val="both"/>
        <w:rPr>
          <w:rFonts w:ascii="Calibri,Times New Roman" w:eastAsia="Calibri,Times New Roman" w:hAnsi="Calibri,Times New Roman" w:cs="Calibri,Times New Roman"/>
          <w:b/>
          <w:color w:val="auto"/>
          <w:sz w:val="22"/>
          <w:szCs w:val="22"/>
          <w:u w:val="single"/>
        </w:rPr>
      </w:pPr>
    </w:p>
    <w:p w14:paraId="11A1B28C" w14:textId="77777777" w:rsidR="002E1A3F" w:rsidRPr="002E1A3F" w:rsidRDefault="00B00100" w:rsidP="008E2709">
      <w:pPr>
        <w:keepNext/>
        <w:keepLines/>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sz w:val="22"/>
          <w:szCs w:val="22"/>
        </w:rPr>
        <w:t xml:space="preserve">The technical design of the Second </w:t>
      </w:r>
      <w:r w:rsidR="00BB4A89">
        <w:rPr>
          <w:rFonts w:ascii="Calibri" w:eastAsia="Calibri" w:hAnsi="Calibri" w:cs="Calibri"/>
          <w:b/>
          <w:sz w:val="22"/>
          <w:szCs w:val="22"/>
        </w:rPr>
        <w:t>ACE Impact Project</w:t>
      </w:r>
      <w:r w:rsidRPr="002E1A3F">
        <w:rPr>
          <w:rFonts w:ascii="Calibri" w:eastAsia="Calibri" w:hAnsi="Calibri" w:cs="Calibri"/>
          <w:b/>
          <w:sz w:val="22"/>
          <w:szCs w:val="22"/>
        </w:rPr>
        <w:t xml:space="preserve"> is based on globally</w:t>
      </w:r>
      <w:r w:rsidR="00671147">
        <w:rPr>
          <w:rFonts w:ascii="Calibri" w:eastAsia="Calibri" w:hAnsi="Calibri" w:cs="Calibri"/>
          <w:b/>
          <w:sz w:val="22"/>
          <w:szCs w:val="22"/>
        </w:rPr>
        <w:t xml:space="preserve"> </w:t>
      </w:r>
      <w:r w:rsidRPr="002E1A3F">
        <w:rPr>
          <w:rFonts w:ascii="Calibri" w:eastAsia="Calibri" w:hAnsi="Calibri" w:cs="Calibri"/>
          <w:b/>
          <w:sz w:val="22"/>
          <w:szCs w:val="22"/>
        </w:rPr>
        <w:t>recognized approaches for building higher education excellence</w:t>
      </w:r>
      <w:r w:rsidR="008A541F">
        <w:rPr>
          <w:rFonts w:ascii="Calibri" w:eastAsia="Calibri" w:hAnsi="Calibri" w:cs="Calibri"/>
          <w:b/>
          <w:sz w:val="22"/>
          <w:szCs w:val="22"/>
        </w:rPr>
        <w:t xml:space="preserve">, </w:t>
      </w:r>
      <w:r w:rsidRPr="002E1A3F">
        <w:rPr>
          <w:rFonts w:ascii="Calibri" w:eastAsia="Calibri" w:hAnsi="Calibri" w:cs="Calibri"/>
          <w:sz w:val="22"/>
          <w:szCs w:val="22"/>
        </w:rPr>
        <w:t>includ</w:t>
      </w:r>
      <w:r w:rsidR="008A541F">
        <w:rPr>
          <w:rFonts w:ascii="Calibri" w:eastAsia="Calibri" w:hAnsi="Calibri" w:cs="Calibri"/>
          <w:sz w:val="22"/>
          <w:szCs w:val="22"/>
        </w:rPr>
        <w:t>ing</w:t>
      </w:r>
      <w:r w:rsidR="00FD46A3">
        <w:rPr>
          <w:rFonts w:ascii="Calibri" w:eastAsia="Calibri" w:hAnsi="Calibri" w:cs="Calibri"/>
          <w:sz w:val="22"/>
          <w:szCs w:val="22"/>
        </w:rPr>
        <w:t xml:space="preserve"> the following</w:t>
      </w:r>
      <w:r w:rsidRPr="002E1A3F">
        <w:rPr>
          <w:rFonts w:ascii="Calibri,Times New Roman" w:eastAsia="Calibri,Times New Roman" w:hAnsi="Calibri,Times New Roman" w:cs="Calibri,Times New Roman"/>
          <w:sz w:val="22"/>
          <w:szCs w:val="22"/>
        </w:rPr>
        <w:t xml:space="preserve">: </w:t>
      </w:r>
    </w:p>
    <w:p w14:paraId="034B532B" w14:textId="77777777" w:rsidR="002E1A3F" w:rsidRPr="002E1A3F" w:rsidRDefault="00B00100" w:rsidP="008E2709">
      <w:pPr>
        <w:widowControl/>
        <w:numPr>
          <w:ilvl w:val="0"/>
          <w:numId w:val="22"/>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2E1A3F">
        <w:rPr>
          <w:rFonts w:ascii="Calibri" w:eastAsia="Calibri" w:hAnsi="Calibri" w:cs="Calibri"/>
          <w:sz w:val="22"/>
          <w:szCs w:val="22"/>
        </w:rPr>
        <w:t xml:space="preserve">Competitive funding of higher education is the main vehicle in high performing systems for achieving specific education goals, such as increased graduate employability and the scaling-up of postgraduate education. The center selection and implementation processes incorporate lessons learned through oversight of global competitive funds in higher education, from science and engineering research funding programs in middle- and high-income countries and from the ongoing ACE I and ACE II projects. </w:t>
      </w:r>
      <w:bookmarkStart w:id="235" w:name="_Hlk518837409"/>
      <w:r w:rsidRPr="002E1A3F">
        <w:rPr>
          <w:rFonts w:ascii="Calibri" w:eastAsia="Calibri" w:hAnsi="Calibri" w:cs="Calibri"/>
          <w:sz w:val="22"/>
          <w:szCs w:val="22"/>
        </w:rPr>
        <w:t>The competitive selection process also provides a platform for identifying visionary center</w:t>
      </w:r>
      <w:r w:rsidRPr="002E1A3F">
        <w:rPr>
          <w:rFonts w:ascii="Calibri,Times New Roman" w:eastAsia="Calibri,Times New Roman" w:hAnsi="Calibri,Times New Roman" w:cs="Calibri,Times New Roman"/>
          <w:sz w:val="22"/>
          <w:szCs w:val="22"/>
        </w:rPr>
        <w:t xml:space="preserve"> </w:t>
      </w:r>
      <w:r w:rsidRPr="002E1A3F">
        <w:rPr>
          <w:rFonts w:ascii="Calibri" w:eastAsia="Calibri" w:hAnsi="Calibri" w:cs="Calibri"/>
          <w:sz w:val="22"/>
          <w:szCs w:val="22"/>
        </w:rPr>
        <w:t>leaders, who are innovative and have the capacity to lead the implementation of the center</w:t>
      </w:r>
      <w:r w:rsidR="00AD5E40">
        <w:rPr>
          <w:rFonts w:ascii="Calibri" w:eastAsia="Calibri" w:hAnsi="Calibri" w:cs="Calibri"/>
          <w:sz w:val="22"/>
          <w:szCs w:val="22"/>
        </w:rPr>
        <w:t>s</w:t>
      </w:r>
      <w:r w:rsidRPr="002E1A3F">
        <w:rPr>
          <w:rFonts w:ascii="Calibri" w:eastAsia="Calibri" w:hAnsi="Calibri" w:cs="Calibri"/>
          <w:sz w:val="22"/>
          <w:szCs w:val="22"/>
        </w:rPr>
        <w:t xml:space="preserve"> beyond the life of the</w:t>
      </w:r>
      <w:r w:rsidR="00AD5E40">
        <w:rPr>
          <w:rFonts w:ascii="Calibri" w:eastAsia="Calibri" w:hAnsi="Calibri" w:cs="Calibri"/>
          <w:sz w:val="22"/>
          <w:szCs w:val="22"/>
        </w:rPr>
        <w:t xml:space="preserve"> p</w:t>
      </w:r>
      <w:r w:rsidR="00BB4A89">
        <w:rPr>
          <w:rFonts w:ascii="Calibri" w:eastAsia="Calibri" w:hAnsi="Calibri" w:cs="Calibri"/>
          <w:sz w:val="22"/>
          <w:szCs w:val="22"/>
        </w:rPr>
        <w:t>roject</w:t>
      </w:r>
      <w:r w:rsidRPr="002E1A3F">
        <w:rPr>
          <w:rFonts w:ascii="Calibri" w:eastAsia="Calibri" w:hAnsi="Calibri" w:cs="Calibri"/>
          <w:sz w:val="22"/>
          <w:szCs w:val="22"/>
        </w:rPr>
        <w:t>.</w:t>
      </w:r>
      <w:bookmarkEnd w:id="235"/>
    </w:p>
    <w:p w14:paraId="7BC255D6" w14:textId="77777777" w:rsidR="002E1A3F" w:rsidRPr="002E1A3F" w:rsidRDefault="00B00100" w:rsidP="008E2709">
      <w:pPr>
        <w:widowControl/>
        <w:numPr>
          <w:ilvl w:val="0"/>
          <w:numId w:val="22"/>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2E1A3F">
        <w:rPr>
          <w:rFonts w:ascii="Calibri" w:eastAsia="Calibri" w:hAnsi="Calibri" w:cs="Calibri"/>
          <w:sz w:val="22"/>
          <w:szCs w:val="22"/>
        </w:rPr>
        <w:t xml:space="preserve">The RBF approach which demonstrated results </w:t>
      </w:r>
      <w:r w:rsidR="0006299D">
        <w:rPr>
          <w:rFonts w:ascii="Calibri" w:eastAsia="Calibri" w:hAnsi="Calibri" w:cs="Calibri"/>
          <w:sz w:val="22"/>
          <w:szCs w:val="22"/>
        </w:rPr>
        <w:t>in the</w:t>
      </w:r>
      <w:r w:rsidRPr="002E1A3F">
        <w:rPr>
          <w:rFonts w:ascii="Calibri" w:eastAsia="Calibri" w:hAnsi="Calibri" w:cs="Calibri"/>
          <w:sz w:val="22"/>
          <w:szCs w:val="22"/>
        </w:rPr>
        <w:t xml:space="preserve"> implementation of the </w:t>
      </w:r>
      <w:r w:rsidR="00BB4A89">
        <w:rPr>
          <w:rFonts w:ascii="Calibri" w:eastAsia="Calibri" w:hAnsi="Calibri" w:cs="Calibri"/>
          <w:sz w:val="22"/>
          <w:szCs w:val="22"/>
        </w:rPr>
        <w:t>ACE I Project</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will be utilized in the proposed Second </w:t>
      </w:r>
      <w:r w:rsidR="00BB4A89">
        <w:rPr>
          <w:rFonts w:ascii="Calibri" w:eastAsia="Calibri" w:hAnsi="Calibri" w:cs="Calibri"/>
          <w:sz w:val="22"/>
          <w:szCs w:val="22"/>
        </w:rPr>
        <w:t>ACE Impact Project</w:t>
      </w:r>
      <w:r w:rsidRPr="002E1A3F">
        <w:rPr>
          <w:rFonts w:ascii="Calibri" w:eastAsia="Calibri" w:hAnsi="Calibri" w:cs="Calibri"/>
          <w:sz w:val="22"/>
          <w:szCs w:val="22"/>
        </w:rPr>
        <w:t>. This approach uses DLIs to incentivize centers to work towards results.</w:t>
      </w:r>
    </w:p>
    <w:p w14:paraId="6963DBF1" w14:textId="77777777" w:rsidR="002E1A3F" w:rsidRPr="002E1A3F" w:rsidRDefault="00B00100" w:rsidP="008E2709">
      <w:pPr>
        <w:widowControl/>
        <w:numPr>
          <w:ilvl w:val="0"/>
          <w:numId w:val="22"/>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2E1A3F">
        <w:rPr>
          <w:rFonts w:ascii="Calibri" w:eastAsia="Calibri" w:hAnsi="Calibri" w:cs="Calibri"/>
          <w:sz w:val="22"/>
          <w:szCs w:val="22"/>
        </w:rPr>
        <w:t>The project is expected to lay a foundation for improvements in governance in higher education</w:t>
      </w:r>
      <w:r w:rsidRPr="002E1A3F">
        <w:rPr>
          <w:rFonts w:ascii="Calibri,Times New Roman" w:eastAsia="Calibri,Times New Roman" w:hAnsi="Calibri,Times New Roman" w:cs="Calibri,Times New Roman"/>
          <w:sz w:val="22"/>
          <w:szCs w:val="22"/>
        </w:rPr>
        <w:t>,</w:t>
      </w:r>
      <w:r w:rsidRPr="002E1A3F">
        <w:rPr>
          <w:rFonts w:ascii="Calibri" w:eastAsia="Calibri" w:hAnsi="Calibri" w:cs="Calibri"/>
          <w:sz w:val="22"/>
          <w:szCs w:val="22"/>
        </w:rPr>
        <w:t xml:space="preserve"> research groups and institutions. This will be key to achieving transformation and excellence in higher education.</w:t>
      </w:r>
    </w:p>
    <w:p w14:paraId="36F99E5E" w14:textId="77777777" w:rsidR="002E1A3F" w:rsidRPr="002E1A3F" w:rsidRDefault="00B00100" w:rsidP="008E2709">
      <w:pPr>
        <w:widowControl/>
        <w:numPr>
          <w:ilvl w:val="0"/>
          <w:numId w:val="22"/>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2E1A3F">
        <w:rPr>
          <w:rFonts w:ascii="Calibri" w:eastAsia="Calibri" w:hAnsi="Calibri" w:cs="Calibri"/>
          <w:sz w:val="22"/>
          <w:szCs w:val="22"/>
        </w:rPr>
        <w:t xml:space="preserve">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design is skewed towards STEM fields, that is, most of the centers are in STEM-related fields. The project will strengthen selected institutions to improve the quality of STEM programs and applied research and incorporate digital skills competencies (across disciplines) in their curricula which are key in supporting economic development. </w:t>
      </w:r>
    </w:p>
    <w:p w14:paraId="213D529E" w14:textId="77777777" w:rsidR="002E1A3F" w:rsidRPr="002E1A3F" w:rsidRDefault="00B00100" w:rsidP="008E2709">
      <w:pPr>
        <w:widowControl/>
        <w:numPr>
          <w:ilvl w:val="0"/>
          <w:numId w:val="22"/>
        </w:numPr>
        <w:tabs>
          <w:tab w:val="left" w:pos="0"/>
          <w:tab w:val="left" w:pos="720"/>
        </w:tabs>
        <w:autoSpaceDE/>
        <w:autoSpaceDN/>
        <w:adjustRightInd/>
        <w:spacing w:after="120"/>
        <w:ind w:left="1080"/>
        <w:jc w:val="both"/>
        <w:rPr>
          <w:rFonts w:ascii="Calibri,Times New Roman" w:eastAsia="Calibri,Times New Roman" w:hAnsi="Calibri,Times New Roman" w:cs="Calibri,Times New Roman"/>
          <w:sz w:val="22"/>
          <w:szCs w:val="22"/>
        </w:rPr>
      </w:pPr>
      <w:r w:rsidRPr="002E1A3F">
        <w:rPr>
          <w:rFonts w:ascii="Calibri" w:eastAsia="Calibri" w:hAnsi="Calibri" w:cs="Calibri"/>
          <w:sz w:val="22"/>
          <w:szCs w:val="22"/>
        </w:rPr>
        <w:t>The project design aims to support higher education institutions in the region to be competitive and marketable to the student population in the region.</w:t>
      </w:r>
    </w:p>
    <w:p w14:paraId="48974267" w14:textId="77777777" w:rsidR="002E1A3F" w:rsidRPr="006D006B"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6D006B">
        <w:rPr>
          <w:rFonts w:ascii="Calibri" w:eastAsia="Times New Roman" w:hAnsi="Calibri" w:cs="Calibri"/>
          <w:b/>
          <w:bCs/>
          <w:sz w:val="22"/>
          <w:szCs w:val="22"/>
        </w:rPr>
        <w:t>The project will proactively address climate change issues affecting the region</w:t>
      </w:r>
      <w:r w:rsidRPr="006D006B">
        <w:rPr>
          <w:rFonts w:ascii="Calibri" w:eastAsia="Times New Roman" w:hAnsi="Calibri" w:cs="Calibri"/>
          <w:bCs/>
          <w:sz w:val="22"/>
          <w:szCs w:val="22"/>
        </w:rPr>
        <w:t xml:space="preserve">. </w:t>
      </w:r>
      <w:r w:rsidR="00316577">
        <w:rPr>
          <w:rFonts w:ascii="Calibri" w:eastAsia="Times New Roman" w:hAnsi="Calibri" w:cs="Calibri"/>
          <w:bCs/>
          <w:sz w:val="22"/>
          <w:szCs w:val="22"/>
        </w:rPr>
        <w:t>As part of</w:t>
      </w:r>
      <w:r w:rsidR="00AC3C7C">
        <w:rPr>
          <w:rFonts w:ascii="Calibri" w:eastAsia="Times New Roman" w:hAnsi="Calibri" w:cs="Calibri"/>
          <w:bCs/>
          <w:sz w:val="22"/>
          <w:szCs w:val="22"/>
        </w:rPr>
        <w:t xml:space="preserve"> the climate and </w:t>
      </w:r>
      <w:r w:rsidR="00316577">
        <w:rPr>
          <w:rFonts w:ascii="Calibri" w:eastAsia="Times New Roman" w:hAnsi="Calibri" w:cs="Calibri"/>
          <w:bCs/>
          <w:sz w:val="22"/>
          <w:szCs w:val="22"/>
        </w:rPr>
        <w:t xml:space="preserve">disaster risk screening of the project, it was identified that </w:t>
      </w:r>
      <w:r w:rsidR="00316577">
        <w:rPr>
          <w:rFonts w:ascii="Calibri" w:eastAsia="Calibri" w:hAnsi="Calibri" w:cs="Times New Roman"/>
          <w:color w:val="auto"/>
          <w:sz w:val="22"/>
          <w:szCs w:val="22"/>
        </w:rPr>
        <w:t>t</w:t>
      </w:r>
      <w:r w:rsidRPr="006D006B">
        <w:rPr>
          <w:rFonts w:ascii="Calibri" w:eastAsia="Calibri" w:hAnsi="Calibri" w:cs="Times New Roman"/>
          <w:color w:val="auto"/>
          <w:sz w:val="22"/>
          <w:szCs w:val="22"/>
        </w:rPr>
        <w:t>emperatures over West Africa have risen significantly over the past 20 years.</w:t>
      </w:r>
      <w:r w:rsidR="006D006B" w:rsidRPr="006D006B">
        <w:rPr>
          <w:rFonts w:ascii="Calibri" w:eastAsia="Calibri" w:hAnsi="Calibri" w:cs="Times New Roman"/>
          <w:color w:val="auto"/>
          <w:sz w:val="22"/>
          <w:szCs w:val="22"/>
        </w:rPr>
        <w:t xml:space="preserve"> In Nigeria, monthly high temperature averages now regularly range between 31-33° C. Floods</w:t>
      </w:r>
      <w:r w:rsidR="002D5EDB">
        <w:rPr>
          <w:rFonts w:ascii="Calibri" w:eastAsia="Calibri" w:hAnsi="Calibri" w:cs="Times New Roman"/>
          <w:color w:val="auto"/>
          <w:sz w:val="22"/>
          <w:szCs w:val="22"/>
        </w:rPr>
        <w:t>,</w:t>
      </w:r>
      <w:r w:rsidR="006D006B" w:rsidRPr="006D006B">
        <w:rPr>
          <w:rFonts w:ascii="Calibri" w:eastAsia="Calibri" w:hAnsi="Calibri" w:cs="Times New Roman"/>
          <w:color w:val="auto"/>
          <w:sz w:val="22"/>
          <w:szCs w:val="22"/>
        </w:rPr>
        <w:t xml:space="preserve"> mostly due to </w:t>
      </w:r>
      <w:r w:rsidR="001829FD">
        <w:rPr>
          <w:rFonts w:ascii="Calibri" w:eastAsia="Calibri" w:hAnsi="Calibri" w:cs="Times New Roman"/>
          <w:color w:val="auto"/>
          <w:sz w:val="22"/>
          <w:szCs w:val="22"/>
        </w:rPr>
        <w:t xml:space="preserve">a </w:t>
      </w:r>
      <w:r w:rsidR="00AD5FA8">
        <w:rPr>
          <w:rFonts w:ascii="Calibri" w:eastAsia="Calibri" w:hAnsi="Calibri" w:cs="Times New Roman"/>
          <w:color w:val="auto"/>
          <w:sz w:val="22"/>
          <w:szCs w:val="22"/>
        </w:rPr>
        <w:t xml:space="preserve">rise in </w:t>
      </w:r>
      <w:r w:rsidR="006D006B" w:rsidRPr="006D006B">
        <w:rPr>
          <w:rFonts w:ascii="Calibri" w:eastAsia="Calibri" w:hAnsi="Calibri" w:cs="Times New Roman"/>
          <w:color w:val="auto"/>
          <w:sz w:val="22"/>
          <w:szCs w:val="22"/>
        </w:rPr>
        <w:t>sea</w:t>
      </w:r>
      <w:r w:rsidR="00AD5FA8">
        <w:rPr>
          <w:rFonts w:ascii="Calibri" w:eastAsia="Calibri" w:hAnsi="Calibri" w:cs="Times New Roman"/>
          <w:color w:val="auto"/>
          <w:sz w:val="22"/>
          <w:szCs w:val="22"/>
        </w:rPr>
        <w:t>-</w:t>
      </w:r>
      <w:r w:rsidR="006D006B" w:rsidRPr="006D006B">
        <w:rPr>
          <w:rFonts w:ascii="Calibri" w:eastAsia="Calibri" w:hAnsi="Calibri" w:cs="Times New Roman"/>
          <w:color w:val="auto"/>
          <w:sz w:val="22"/>
          <w:szCs w:val="22"/>
        </w:rPr>
        <w:t>level</w:t>
      </w:r>
      <w:r w:rsidR="001829FD">
        <w:rPr>
          <w:rFonts w:ascii="Calibri" w:eastAsia="Calibri" w:hAnsi="Calibri" w:cs="Times New Roman"/>
          <w:color w:val="auto"/>
          <w:sz w:val="22"/>
          <w:szCs w:val="22"/>
        </w:rPr>
        <w:t>,</w:t>
      </w:r>
      <w:r w:rsidR="006D006B" w:rsidRPr="006D006B">
        <w:rPr>
          <w:rFonts w:ascii="Calibri" w:eastAsia="Calibri" w:hAnsi="Calibri" w:cs="Times New Roman"/>
          <w:color w:val="auto"/>
          <w:sz w:val="22"/>
          <w:szCs w:val="22"/>
        </w:rPr>
        <w:t xml:space="preserve"> are a recurring natural hazard in Nigeria and have become more frequent throughout the country in the last couple of decades. Droughts negatively impact the socio-economic growth of Nigeria and are projected to become more severe in the </w:t>
      </w:r>
      <w:r w:rsidR="006D006B" w:rsidRPr="006D006B">
        <w:rPr>
          <w:rFonts w:ascii="Calibri" w:eastAsia="Calibri" w:hAnsi="Calibri" w:cs="Times New Roman"/>
          <w:color w:val="auto"/>
          <w:sz w:val="22"/>
          <w:szCs w:val="22"/>
        </w:rPr>
        <w:lastRenderedPageBreak/>
        <w:t xml:space="preserve">future as a result of climate change. In Niger, the mean annual temperature increased by 0.6°–0.8°C between 1970 and 2010, slightly higher than the global average. </w:t>
      </w:r>
      <w:r w:rsidR="00FA67BE">
        <w:rPr>
          <w:rFonts w:ascii="Calibri" w:eastAsia="Calibri" w:hAnsi="Calibri" w:cs="Times New Roman"/>
          <w:color w:val="auto"/>
          <w:sz w:val="22"/>
          <w:szCs w:val="22"/>
        </w:rPr>
        <w:t>In Niger, d</w:t>
      </w:r>
      <w:r w:rsidR="006D006B" w:rsidRPr="006D006B">
        <w:rPr>
          <w:rFonts w:ascii="Calibri" w:eastAsia="Calibri" w:hAnsi="Calibri" w:cs="Times New Roman"/>
          <w:color w:val="auto"/>
          <w:sz w:val="22"/>
          <w:szCs w:val="22"/>
        </w:rPr>
        <w:t xml:space="preserve">roughts are projected to increase in frequency in the coming century, which will have negative consequences on public health, food security, agricultural and pastoral activities, nutrition, and natural resources. In The Gambia, </w:t>
      </w:r>
      <w:r w:rsidR="005B7ED6">
        <w:rPr>
          <w:rFonts w:ascii="Calibri" w:eastAsia="Calibri" w:hAnsi="Calibri" w:cs="Times New Roman"/>
          <w:color w:val="auto"/>
          <w:sz w:val="22"/>
          <w:szCs w:val="22"/>
        </w:rPr>
        <w:t xml:space="preserve">the </w:t>
      </w:r>
      <w:r w:rsidR="006D006B" w:rsidRPr="006D006B">
        <w:rPr>
          <w:rFonts w:ascii="Calibri" w:eastAsia="Calibri" w:hAnsi="Calibri" w:cs="Times New Roman"/>
          <w:color w:val="auto"/>
          <w:sz w:val="22"/>
          <w:szCs w:val="22"/>
        </w:rPr>
        <w:t xml:space="preserve">mean annual temperatures have increased by 1.0°C since 1960, an average rate of 0.21°C per decade. All projections indicate substantial increases in the frequency of days and nights that are considered ‘hot’ in </w:t>
      </w:r>
      <w:r w:rsidR="00127E39">
        <w:rPr>
          <w:rFonts w:ascii="Calibri" w:eastAsia="Calibri" w:hAnsi="Calibri" w:cs="Times New Roman"/>
          <w:color w:val="auto"/>
          <w:sz w:val="22"/>
          <w:szCs w:val="22"/>
        </w:rPr>
        <w:t xml:space="preserve">the </w:t>
      </w:r>
      <w:r w:rsidR="006D006B" w:rsidRPr="006D006B">
        <w:rPr>
          <w:rFonts w:ascii="Calibri" w:eastAsia="Calibri" w:hAnsi="Calibri" w:cs="Times New Roman"/>
          <w:color w:val="auto"/>
          <w:sz w:val="22"/>
          <w:szCs w:val="22"/>
        </w:rPr>
        <w:t xml:space="preserve">current climate. These three countries selected are representative of the type of climate in the other </w:t>
      </w:r>
      <w:r w:rsidR="00913640">
        <w:rPr>
          <w:rFonts w:ascii="Calibri" w:eastAsia="Calibri" w:hAnsi="Calibri" w:cs="Times New Roman"/>
          <w:color w:val="auto"/>
          <w:sz w:val="22"/>
          <w:szCs w:val="22"/>
        </w:rPr>
        <w:t>two</w:t>
      </w:r>
      <w:r w:rsidR="006D006B" w:rsidRPr="006D006B">
        <w:rPr>
          <w:rFonts w:ascii="Calibri" w:eastAsia="Calibri" w:hAnsi="Calibri" w:cs="Times New Roman"/>
          <w:color w:val="auto"/>
          <w:sz w:val="22"/>
          <w:szCs w:val="22"/>
        </w:rPr>
        <w:t xml:space="preserve"> countries (Benin</w:t>
      </w:r>
      <w:r w:rsidR="00913640">
        <w:rPr>
          <w:rFonts w:ascii="Calibri" w:eastAsia="Calibri" w:hAnsi="Calibri" w:cs="Times New Roman"/>
          <w:color w:val="auto"/>
          <w:sz w:val="22"/>
          <w:szCs w:val="22"/>
        </w:rPr>
        <w:t xml:space="preserve"> and </w:t>
      </w:r>
      <w:r w:rsidR="006D006B" w:rsidRPr="006D006B">
        <w:rPr>
          <w:rFonts w:ascii="Calibri" w:eastAsia="Calibri" w:hAnsi="Calibri" w:cs="Times New Roman"/>
          <w:color w:val="auto"/>
          <w:sz w:val="22"/>
          <w:szCs w:val="22"/>
        </w:rPr>
        <w:t>Togo)</w:t>
      </w:r>
      <w:r w:rsidR="002A081F">
        <w:rPr>
          <w:rFonts w:ascii="Calibri" w:eastAsia="Calibri" w:hAnsi="Calibri" w:cs="Times New Roman"/>
          <w:color w:val="auto"/>
          <w:sz w:val="22"/>
          <w:szCs w:val="22"/>
        </w:rPr>
        <w:t>,</w:t>
      </w:r>
      <w:r w:rsidR="00605E35">
        <w:rPr>
          <w:rFonts w:ascii="Calibri" w:eastAsia="Calibri" w:hAnsi="Calibri" w:cs="Times New Roman"/>
          <w:color w:val="auto"/>
          <w:sz w:val="22"/>
          <w:szCs w:val="22"/>
        </w:rPr>
        <w:t xml:space="preserve"> which will participate in the Second ACE Impact Project</w:t>
      </w:r>
      <w:r w:rsidR="006D006B" w:rsidRPr="006D006B">
        <w:rPr>
          <w:rFonts w:ascii="Calibri" w:eastAsia="Calibri" w:hAnsi="Calibri" w:cs="Times New Roman"/>
          <w:color w:val="auto"/>
          <w:sz w:val="22"/>
          <w:szCs w:val="22"/>
        </w:rPr>
        <w:t xml:space="preserve">. </w:t>
      </w:r>
      <w:r w:rsidRPr="006D006B">
        <w:rPr>
          <w:rFonts w:ascii="Calibri" w:eastAsia="Calibri" w:hAnsi="Calibri" w:cs="Times New Roman"/>
          <w:color w:val="auto"/>
          <w:sz w:val="22"/>
          <w:szCs w:val="22"/>
        </w:rPr>
        <w:t xml:space="preserve"> </w:t>
      </w:r>
    </w:p>
    <w:p w14:paraId="6DDB3C70"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The substantial increase in the occurrence of these hazards in the region poses a significant risk to vulnerable populations and hence the need to mitigate these risks.</w:t>
      </w:r>
      <w:r w:rsidRPr="002E1A3F">
        <w:rPr>
          <w:rFonts w:ascii="Calibri" w:eastAsia="Calibri" w:hAnsi="Calibri" w:cs="Times New Roman"/>
          <w:color w:val="auto"/>
          <w:sz w:val="22"/>
          <w:szCs w:val="22"/>
        </w:rPr>
        <w:t xml:space="preserve"> For example, particularly in rural regions where water is scarce due to drought, women and girls are negatively impacted the most as they tend to be tasked with the responsibility for finding water for their families. The </w:t>
      </w:r>
      <w:r w:rsidR="001829FD">
        <w:rPr>
          <w:rFonts w:ascii="Calibri" w:eastAsia="Calibri" w:hAnsi="Calibri" w:cs="Times New Roman"/>
          <w:color w:val="auto"/>
          <w:sz w:val="22"/>
          <w:szCs w:val="22"/>
        </w:rPr>
        <w:t xml:space="preserve">proposed </w:t>
      </w:r>
      <w:r w:rsidR="00776EA0">
        <w:rPr>
          <w:rFonts w:ascii="Calibri" w:eastAsia="Calibri" w:hAnsi="Calibri" w:cs="Times New Roman"/>
          <w:color w:val="auto"/>
          <w:sz w:val="22"/>
          <w:szCs w:val="22"/>
        </w:rPr>
        <w:t>project</w:t>
      </w:r>
      <w:r w:rsidRPr="002E1A3F">
        <w:rPr>
          <w:rFonts w:ascii="Calibri" w:eastAsia="Calibri" w:hAnsi="Calibri" w:cs="Times New Roman"/>
          <w:color w:val="auto"/>
          <w:sz w:val="22"/>
          <w:szCs w:val="22"/>
        </w:rPr>
        <w:t xml:space="preserve"> will incorporate a two-pronged approach to addressing climate and disaster risks: (i) provide training and undertake applied research in climate change and related fields; and (ii) implement strategies during project implementation to mitigate the impact of climate hazards on the project</w:t>
      </w:r>
      <w:r w:rsidR="00513073">
        <w:rPr>
          <w:rFonts w:ascii="Calibri" w:eastAsia="Calibri" w:hAnsi="Calibri" w:cs="Times New Roman"/>
          <w:color w:val="auto"/>
          <w:sz w:val="22"/>
          <w:szCs w:val="22"/>
        </w:rPr>
        <w:t xml:space="preserve"> </w:t>
      </w:r>
      <w:r w:rsidR="00E54EDC">
        <w:rPr>
          <w:rFonts w:ascii="Calibri" w:eastAsia="Calibri" w:hAnsi="Calibri" w:cs="Times New Roman"/>
          <w:color w:val="auto"/>
          <w:sz w:val="22"/>
          <w:szCs w:val="22"/>
        </w:rPr>
        <w:t>and beyond</w:t>
      </w:r>
      <w:r w:rsidRPr="002E1A3F">
        <w:rPr>
          <w:rFonts w:ascii="Calibri" w:eastAsia="Calibri" w:hAnsi="Calibri" w:cs="Times New Roman"/>
          <w:color w:val="auto"/>
          <w:sz w:val="22"/>
          <w:szCs w:val="22"/>
        </w:rPr>
        <w:t>.</w:t>
      </w:r>
    </w:p>
    <w:p w14:paraId="0EAA786C"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bCs/>
          <w:sz w:val="22"/>
          <w:szCs w:val="22"/>
        </w:rPr>
      </w:pPr>
      <w:r w:rsidRPr="002E1A3F">
        <w:rPr>
          <w:rFonts w:ascii="Calibri" w:eastAsia="Calibri" w:hAnsi="Calibri" w:cs="Times New Roman"/>
          <w:b/>
          <w:color w:val="auto"/>
          <w:sz w:val="22"/>
          <w:szCs w:val="22"/>
        </w:rPr>
        <w:t>Currently, there is limited institutional capacity and systems in place in the countries participating in the project to identify and respond to disruptions from climate hazards.</w:t>
      </w:r>
      <w:r w:rsidRPr="002E1A3F">
        <w:rPr>
          <w:rFonts w:ascii="Calibri" w:eastAsia="Calibri" w:hAnsi="Calibri" w:cs="Times New Roman"/>
          <w:color w:val="auto"/>
          <w:sz w:val="22"/>
          <w:szCs w:val="22"/>
        </w:rPr>
        <w:t xml:space="preserve"> In order to increase the resilience of these countries in the face of extreme events identified above, the relevant government line ministries will need to include risk reduction strategies for hazards and vulnerabilities into their future planning and concrete actions to be taken. However, there are limited numbers of experts trained in these fields in the region. Through the project, countries will be able to train and produce experts and the research required to develop identification, prevention, mitigation and adaptation strategies to reduce the countries’ vulnerability to extreme events and improve their ability to prevent and respond to these events. Seve</w:t>
      </w:r>
      <w:r w:rsidRPr="002E1A3F">
        <w:rPr>
          <w:rFonts w:ascii="Calibri" w:eastAsia="Times New Roman" w:hAnsi="Calibri" w:cs="Calibri"/>
          <w:bCs/>
          <w:sz w:val="22"/>
          <w:szCs w:val="22"/>
        </w:rPr>
        <w:t xml:space="preserve">ral of the centers will train highly skilled graduates and mid-level professional workers and will undertake research in areas including water (irrigation, drylands), </w:t>
      </w:r>
      <w:r w:rsidR="00202F0B">
        <w:rPr>
          <w:rFonts w:ascii="Calibri" w:eastAsia="Times New Roman" w:hAnsi="Calibri" w:cs="Calibri"/>
          <w:bCs/>
          <w:sz w:val="22"/>
          <w:szCs w:val="22"/>
        </w:rPr>
        <w:t xml:space="preserve">sanitation, </w:t>
      </w:r>
      <w:r w:rsidR="007D3744">
        <w:rPr>
          <w:rFonts w:ascii="Calibri" w:eastAsia="Times New Roman" w:hAnsi="Calibri" w:cs="Calibri"/>
          <w:bCs/>
          <w:sz w:val="22"/>
          <w:szCs w:val="22"/>
        </w:rPr>
        <w:t>urban design</w:t>
      </w:r>
      <w:r w:rsidR="00D008EE">
        <w:rPr>
          <w:rFonts w:ascii="Calibri" w:eastAsia="Times New Roman" w:hAnsi="Calibri" w:cs="Calibri"/>
          <w:bCs/>
          <w:sz w:val="22"/>
          <w:szCs w:val="22"/>
        </w:rPr>
        <w:t xml:space="preserve"> (sustainable cities)</w:t>
      </w:r>
      <w:r w:rsidR="007D3744">
        <w:rPr>
          <w:rFonts w:ascii="Calibri" w:eastAsia="Times New Roman" w:hAnsi="Calibri" w:cs="Calibri"/>
          <w:bCs/>
          <w:sz w:val="22"/>
          <w:szCs w:val="22"/>
        </w:rPr>
        <w:t xml:space="preserve">, </w:t>
      </w:r>
      <w:r w:rsidRPr="002E1A3F">
        <w:rPr>
          <w:rFonts w:ascii="Calibri" w:eastAsia="Times New Roman" w:hAnsi="Calibri" w:cs="Calibri"/>
          <w:bCs/>
          <w:sz w:val="22"/>
          <w:szCs w:val="22"/>
        </w:rPr>
        <w:t xml:space="preserve">renewable energy and </w:t>
      </w:r>
      <w:r w:rsidR="004550E7">
        <w:rPr>
          <w:rFonts w:ascii="Calibri" w:eastAsia="Times New Roman" w:hAnsi="Calibri" w:cs="Calibri"/>
          <w:bCs/>
          <w:sz w:val="22"/>
          <w:szCs w:val="22"/>
        </w:rPr>
        <w:t xml:space="preserve">academic </w:t>
      </w:r>
      <w:r w:rsidRPr="002E1A3F">
        <w:rPr>
          <w:rFonts w:ascii="Calibri" w:eastAsia="Times New Roman" w:hAnsi="Calibri" w:cs="Calibri"/>
          <w:bCs/>
          <w:sz w:val="22"/>
          <w:szCs w:val="22"/>
        </w:rPr>
        <w:t>programs addressing environmental issues (</w:t>
      </w:r>
      <w:r w:rsidR="0076649E">
        <w:rPr>
          <w:rFonts w:ascii="Calibri" w:eastAsia="Times New Roman" w:hAnsi="Calibri" w:cs="Calibri"/>
          <w:bCs/>
          <w:sz w:val="22"/>
          <w:szCs w:val="22"/>
        </w:rPr>
        <w:t xml:space="preserve">in fields such as </w:t>
      </w:r>
      <w:r w:rsidRPr="002E1A3F">
        <w:rPr>
          <w:rFonts w:ascii="Calibri" w:eastAsia="Times New Roman" w:hAnsi="Calibri" w:cs="Calibri"/>
          <w:bCs/>
          <w:sz w:val="22"/>
          <w:szCs w:val="22"/>
        </w:rPr>
        <w:t xml:space="preserve">mining). </w:t>
      </w:r>
    </w:p>
    <w:p w14:paraId="3CDA71B8"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bCs/>
          <w:sz w:val="22"/>
          <w:szCs w:val="22"/>
        </w:rPr>
      </w:pPr>
      <w:r w:rsidRPr="002E1A3F">
        <w:rPr>
          <w:rFonts w:ascii="Calibri" w:eastAsia="Calibri" w:hAnsi="Calibri" w:cs="Times New Roman"/>
          <w:b/>
          <w:color w:val="auto"/>
          <w:sz w:val="22"/>
          <w:szCs w:val="22"/>
        </w:rPr>
        <w:t xml:space="preserve">Given that the project will support civil works for improving education and research facilities and purchase of equipment, there is the potential risk that these investments </w:t>
      </w:r>
      <w:r w:rsidR="00B92D5B">
        <w:rPr>
          <w:rFonts w:ascii="Calibri" w:eastAsia="Calibri" w:hAnsi="Calibri" w:cs="Times New Roman"/>
          <w:b/>
          <w:color w:val="auto"/>
          <w:sz w:val="22"/>
          <w:szCs w:val="22"/>
        </w:rPr>
        <w:t>could be</w:t>
      </w:r>
      <w:r w:rsidRPr="002E1A3F">
        <w:rPr>
          <w:rFonts w:ascii="Calibri" w:eastAsia="Calibri" w:hAnsi="Calibri" w:cs="Times New Roman"/>
          <w:b/>
          <w:color w:val="auto"/>
          <w:sz w:val="22"/>
          <w:szCs w:val="22"/>
        </w:rPr>
        <w:t xml:space="preserve"> physically damaged in case these extreme climate hazards occur.</w:t>
      </w:r>
      <w:r w:rsidRPr="002E1A3F">
        <w:rPr>
          <w:rFonts w:ascii="Calibri" w:eastAsia="Calibri" w:hAnsi="Calibri" w:cs="Times New Roman"/>
          <w:color w:val="auto"/>
          <w:sz w:val="22"/>
          <w:szCs w:val="22"/>
        </w:rPr>
        <w:t xml:space="preserve"> These risks will be reduced through the development of tailored guidelines for the construction of buildings and installation, and the maintenance of equipment that take into consideration the potential impact of natural hazards in each participating country. Thus, each center undertaking upgrade/construction of buildings such as laboratories, training centers, and students’ hostels will incorporate adaptation measures for safe and sustainable buildings in extreme temperature-, drought- and flood- prone areas. These measures in flood-prone areas may include drainage improvement, terracing for flood control to improve resilience, elevating equipment and investing in more water-resistant equipment and technologies. Further, the project will strengthen regional networks built around specialized research areas across the centers, support internet </w:t>
      </w:r>
      <w:r w:rsidRPr="002E1A3F">
        <w:rPr>
          <w:rFonts w:ascii="Calibri" w:eastAsia="Calibri" w:hAnsi="Calibri" w:cs="Calibri"/>
          <w:color w:val="auto"/>
          <w:sz w:val="22"/>
          <w:szCs w:val="22"/>
        </w:rPr>
        <w:lastRenderedPageBreak/>
        <w:t>connectivity and the use of technology (ICT) in delivery of courses towards minimizing disruptions in the delivery of services (teaching and research), should climate events negatively affect any of the centers</w:t>
      </w:r>
      <w:r w:rsidR="00B6678B">
        <w:rPr>
          <w:rFonts w:ascii="Calibri" w:eastAsia="Calibri" w:hAnsi="Calibri" w:cs="Calibri"/>
          <w:color w:val="auto"/>
          <w:sz w:val="22"/>
          <w:szCs w:val="22"/>
        </w:rPr>
        <w:t xml:space="preserve"> and interrupt </w:t>
      </w:r>
      <w:r w:rsidR="003354B4">
        <w:rPr>
          <w:rFonts w:ascii="Calibri" w:eastAsia="Calibri" w:hAnsi="Calibri" w:cs="Calibri"/>
          <w:color w:val="auto"/>
          <w:sz w:val="22"/>
          <w:szCs w:val="22"/>
        </w:rPr>
        <w:t>the regular academic activities</w:t>
      </w:r>
      <w:r w:rsidRPr="002E1A3F">
        <w:rPr>
          <w:rFonts w:ascii="Calibri" w:eastAsia="Calibri" w:hAnsi="Calibri" w:cs="Calibri"/>
          <w:color w:val="auto"/>
          <w:sz w:val="22"/>
          <w:szCs w:val="22"/>
        </w:rPr>
        <w:t xml:space="preserve">. </w:t>
      </w:r>
    </w:p>
    <w:p w14:paraId="2349794F" w14:textId="77777777" w:rsidR="002E1A3F" w:rsidRPr="002E1A3F" w:rsidRDefault="00B00100" w:rsidP="008E2709">
      <w:pPr>
        <w:keepNext/>
        <w:keepLines/>
        <w:widowControl/>
        <w:numPr>
          <w:ilvl w:val="2"/>
          <w:numId w:val="16"/>
        </w:numPr>
        <w:tabs>
          <w:tab w:val="left" w:pos="0"/>
          <w:tab w:val="left" w:pos="720"/>
          <w:tab w:val="left" w:pos="810"/>
        </w:tabs>
        <w:autoSpaceDE/>
        <w:autoSpaceDN/>
        <w:adjustRightInd/>
        <w:spacing w:after="240"/>
        <w:contextualSpacing/>
        <w:jc w:val="both"/>
        <w:rPr>
          <w:rFonts w:ascii="Calibri" w:eastAsia="Calibri,Times New Roman" w:hAnsi="Calibri" w:cs="Calibri"/>
          <w:color w:val="auto"/>
          <w:sz w:val="22"/>
          <w:szCs w:val="22"/>
        </w:rPr>
      </w:pPr>
      <w:r w:rsidRPr="002E1A3F">
        <w:rPr>
          <w:rFonts w:ascii="Calibri" w:eastAsia="Calibri" w:hAnsi="Calibri" w:cs="Calibri"/>
          <w:b/>
          <w:color w:val="auto"/>
          <w:sz w:val="22"/>
          <w:szCs w:val="22"/>
        </w:rPr>
        <w:t xml:space="preserve">Economic and Financial Analysis </w:t>
      </w:r>
    </w:p>
    <w:p w14:paraId="54BFA0E4" w14:textId="77777777" w:rsidR="002E1A3F" w:rsidRPr="002E1A3F" w:rsidRDefault="002E1A3F" w:rsidP="008E2709">
      <w:pPr>
        <w:widowControl/>
        <w:tabs>
          <w:tab w:val="left" w:pos="0"/>
          <w:tab w:val="left" w:pos="450"/>
          <w:tab w:val="left" w:pos="630"/>
        </w:tabs>
        <w:autoSpaceDE/>
        <w:autoSpaceDN/>
        <w:adjustRightInd/>
        <w:spacing w:after="240"/>
        <w:ind w:left="720"/>
        <w:contextualSpacing/>
        <w:jc w:val="both"/>
        <w:rPr>
          <w:rFonts w:ascii="Calibri" w:eastAsia="Calibri,Times New Roman" w:hAnsi="Calibri" w:cs="Calibri"/>
          <w:color w:val="auto"/>
          <w:sz w:val="22"/>
          <w:szCs w:val="22"/>
        </w:rPr>
      </w:pPr>
    </w:p>
    <w:p w14:paraId="568C38D2"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t xml:space="preserve">The economic and financial analysis provides the rationale for investing in higher education in SSA countries and estimates the economic internal rates of returns (IRR) to education. </w:t>
      </w:r>
      <w:r w:rsidRPr="002E1A3F">
        <w:rPr>
          <w:rFonts w:ascii="Calibri" w:eastAsia="Calibri" w:hAnsi="Calibri" w:cs="Calibri"/>
          <w:sz w:val="22"/>
          <w:szCs w:val="22"/>
        </w:rPr>
        <w:t xml:space="preserve">The empirical results on the returns to higher education from the </w:t>
      </w:r>
      <w:r w:rsidR="00BB4A89">
        <w:rPr>
          <w:rFonts w:ascii="Calibri" w:eastAsia="Calibri" w:hAnsi="Calibri" w:cs="Calibri"/>
          <w:sz w:val="22"/>
          <w:szCs w:val="22"/>
        </w:rPr>
        <w:t>ACE I Project</w:t>
      </w:r>
      <w:r w:rsidRPr="002E1A3F">
        <w:rPr>
          <w:rFonts w:ascii="Calibri" w:eastAsia="Calibri" w:hAnsi="Calibri" w:cs="Calibri"/>
          <w:sz w:val="22"/>
          <w:szCs w:val="22"/>
        </w:rPr>
        <w:t xml:space="preserve"> indicate that obtaining a higher education degree is associated with higher earnings</w:t>
      </w:r>
      <w:r>
        <w:rPr>
          <w:rFonts w:ascii="Calibri" w:eastAsia="Calibri" w:hAnsi="Calibri" w:cs="Calibri"/>
          <w:sz w:val="22"/>
          <w:szCs w:val="22"/>
          <w:vertAlign w:val="superscript"/>
        </w:rPr>
        <w:footnoteReference w:id="16"/>
      </w:r>
      <w:r w:rsidRPr="002E1A3F">
        <w:rPr>
          <w:rFonts w:ascii="Calibri" w:eastAsia="Calibri" w:hAnsi="Calibri" w:cs="Calibri"/>
          <w:sz w:val="22"/>
          <w:szCs w:val="22"/>
        </w:rPr>
        <w:t xml:space="preserve"> (returns are 2.4 percent for Burkina Faso, 30 percent for Cameroon, 30 percent for Ghana, and 15 percent for Nigeria). </w:t>
      </w:r>
      <w:r w:rsidR="00D628B3">
        <w:rPr>
          <w:rFonts w:ascii="Calibri" w:eastAsia="Calibri" w:hAnsi="Calibri" w:cs="Calibri"/>
          <w:sz w:val="22"/>
          <w:szCs w:val="22"/>
        </w:rPr>
        <w:t>The</w:t>
      </w:r>
      <w:r w:rsidRPr="002E1A3F">
        <w:rPr>
          <w:rFonts w:ascii="Calibri" w:eastAsia="Calibri" w:hAnsi="Calibri" w:cs="Calibri"/>
          <w:sz w:val="22"/>
          <w:szCs w:val="22"/>
        </w:rPr>
        <w:t xml:space="preserve"> cost-benefit analysis (CBA) of </w:t>
      </w:r>
      <w:r w:rsidR="00B416ED">
        <w:rPr>
          <w:rFonts w:ascii="Calibri" w:eastAsia="Calibri" w:hAnsi="Calibri" w:cs="Calibri"/>
          <w:sz w:val="22"/>
          <w:szCs w:val="22"/>
        </w:rPr>
        <w:t>the</w:t>
      </w:r>
      <w:r w:rsidRPr="002E1A3F">
        <w:rPr>
          <w:rFonts w:ascii="Calibri" w:eastAsia="Calibri" w:hAnsi="Calibri" w:cs="Calibri"/>
          <w:sz w:val="22"/>
          <w:szCs w:val="22"/>
        </w:rPr>
        <w:t xml:space="preserve"> </w:t>
      </w:r>
      <w:r w:rsidR="00D628B3">
        <w:rPr>
          <w:rFonts w:ascii="Calibri" w:eastAsia="Calibri" w:hAnsi="Calibri" w:cs="Calibri"/>
          <w:sz w:val="22"/>
          <w:szCs w:val="22"/>
        </w:rPr>
        <w:t xml:space="preserve">ACE </w:t>
      </w:r>
      <w:r w:rsidR="00B416ED">
        <w:rPr>
          <w:rFonts w:ascii="Calibri" w:eastAsia="Calibri" w:hAnsi="Calibri" w:cs="Calibri"/>
          <w:sz w:val="22"/>
          <w:szCs w:val="22"/>
        </w:rPr>
        <w:t>1</w:t>
      </w:r>
      <w:r w:rsidR="00D628B3">
        <w:rPr>
          <w:rFonts w:ascii="Calibri" w:eastAsia="Calibri" w:hAnsi="Calibri" w:cs="Calibri"/>
          <w:sz w:val="22"/>
          <w:szCs w:val="22"/>
        </w:rPr>
        <w:t xml:space="preserve"> </w:t>
      </w:r>
      <w:r w:rsidRPr="002E1A3F">
        <w:rPr>
          <w:rFonts w:ascii="Calibri" w:eastAsia="Calibri" w:hAnsi="Calibri" w:cs="Calibri"/>
          <w:sz w:val="22"/>
          <w:szCs w:val="22"/>
        </w:rPr>
        <w:t xml:space="preserve">Component 1 demonstrates an IRR of approximately 3 percent in Burkina-Faso, 30 percent in Cameroon, 28 percent in Ghana, and 15 percent in Nigeria. Due to lack of detailed data, the returns </w:t>
      </w:r>
      <w:r w:rsidR="004C1FDF">
        <w:rPr>
          <w:rFonts w:ascii="Calibri" w:eastAsia="Calibri" w:hAnsi="Calibri" w:cs="Calibri"/>
          <w:sz w:val="22"/>
          <w:szCs w:val="22"/>
        </w:rPr>
        <w:t>w</w:t>
      </w:r>
      <w:r w:rsidR="00211227">
        <w:rPr>
          <w:rFonts w:ascii="Calibri" w:eastAsia="Calibri" w:hAnsi="Calibri" w:cs="Calibri"/>
          <w:sz w:val="22"/>
          <w:szCs w:val="22"/>
        </w:rPr>
        <w:t>ere</w:t>
      </w:r>
      <w:r w:rsidR="004C1FDF">
        <w:rPr>
          <w:rFonts w:ascii="Calibri" w:eastAsia="Calibri" w:hAnsi="Calibri" w:cs="Calibri"/>
          <w:sz w:val="22"/>
          <w:szCs w:val="22"/>
        </w:rPr>
        <w:t xml:space="preserve"> not calculated by</w:t>
      </w:r>
      <w:r w:rsidRPr="002E1A3F">
        <w:rPr>
          <w:rFonts w:ascii="Calibri" w:eastAsia="Calibri" w:hAnsi="Calibri" w:cs="Calibri"/>
          <w:sz w:val="22"/>
          <w:szCs w:val="22"/>
        </w:rPr>
        <w:t xml:space="preserve"> specific targeted professions funded in this project, such as engineering and medicine, where surveys indicate high private sector demand and low unemployment. In Burkina Faso, as elsewhere, the calculated average returns therefore represent national averages, </w:t>
      </w:r>
      <w:r w:rsidR="00642623">
        <w:rPr>
          <w:rFonts w:ascii="Calibri" w:eastAsia="Calibri" w:hAnsi="Calibri" w:cs="Calibri"/>
          <w:sz w:val="22"/>
          <w:szCs w:val="22"/>
        </w:rPr>
        <w:t>and</w:t>
      </w:r>
      <w:r w:rsidRPr="002E1A3F">
        <w:rPr>
          <w:rFonts w:ascii="Calibri" w:eastAsia="Calibri" w:hAnsi="Calibri" w:cs="Calibri"/>
          <w:sz w:val="22"/>
          <w:szCs w:val="22"/>
        </w:rPr>
        <w:t xml:space="preserve"> includ</w:t>
      </w:r>
      <w:r w:rsidR="00642623">
        <w:rPr>
          <w:rFonts w:ascii="Calibri" w:eastAsia="Calibri" w:hAnsi="Calibri" w:cs="Calibri"/>
          <w:sz w:val="22"/>
          <w:szCs w:val="22"/>
        </w:rPr>
        <w:t>e</w:t>
      </w:r>
      <w:r w:rsidRPr="002E1A3F">
        <w:rPr>
          <w:rFonts w:ascii="Calibri" w:eastAsia="Calibri" w:hAnsi="Calibri" w:cs="Calibri"/>
          <w:sz w:val="22"/>
          <w:szCs w:val="22"/>
        </w:rPr>
        <w:t xml:space="preserve"> humanities and social science disciplines that are in low demand on the West African labor market. Globally, private returns to higher education (14.6 percent) are higher than the returns to primary education (11.5 percent). The average rate of private returns to higher education in SSA is 21 percent; higher than any other region due to the much lower percentage of higher education graduates in the general population in SSA. Returns to higher education in the region are on average 29.7 percent (2011) in Niger, 21.8 percent in Senegal (2011), and 28.7 percent (2012) in Ghana. </w:t>
      </w:r>
    </w:p>
    <w:p w14:paraId="5C6CC301"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z w:val="22"/>
          <w:szCs w:val="22"/>
        </w:rPr>
      </w:pPr>
      <w:r w:rsidRPr="002E1A3F">
        <w:rPr>
          <w:rFonts w:ascii="Calibri" w:eastAsia="Calibri" w:hAnsi="Calibri" w:cs="Calibri"/>
          <w:b/>
          <w:bCs/>
          <w:sz w:val="22"/>
          <w:szCs w:val="22"/>
        </w:rPr>
        <w:t>The high returns on investment in</w:t>
      </w:r>
      <w:r w:rsidRPr="002E1A3F">
        <w:rPr>
          <w:rFonts w:ascii="Calibri,Times New Roman" w:eastAsia="Calibri,Times New Roman" w:hAnsi="Calibri,Times New Roman" w:cs="Calibri,Times New Roman"/>
          <w:b/>
          <w:bCs/>
          <w:sz w:val="22"/>
          <w:szCs w:val="22"/>
        </w:rPr>
        <w:t xml:space="preserve"> </w:t>
      </w:r>
      <w:r w:rsidRPr="002E1A3F">
        <w:rPr>
          <w:rFonts w:ascii="Calibri" w:eastAsia="Calibri" w:hAnsi="Calibri" w:cs="Calibri"/>
          <w:b/>
          <w:bCs/>
          <w:sz w:val="22"/>
          <w:szCs w:val="22"/>
        </w:rPr>
        <w:t>higher education on specific regional skills shortages will support the SSA growth and competitiveness.</w:t>
      </w:r>
      <w:r w:rsidRPr="002E1A3F">
        <w:rPr>
          <w:rFonts w:ascii="Calibri" w:eastAsia="Calibri" w:hAnsi="Calibri" w:cs="Calibri"/>
          <w:sz w:val="22"/>
          <w:szCs w:val="22"/>
        </w:rPr>
        <w:t xml:space="preserve"> Despite investments in higher education, returns</w:t>
      </w:r>
      <w:r w:rsidR="00CD775A">
        <w:rPr>
          <w:rFonts w:ascii="Calibri" w:eastAsia="Calibri" w:hAnsi="Calibri" w:cs="Calibri"/>
          <w:sz w:val="22"/>
          <w:szCs w:val="22"/>
        </w:rPr>
        <w:t xml:space="preserve"> achieved in </w:t>
      </w:r>
      <w:r w:rsidRPr="002E1A3F">
        <w:rPr>
          <w:rFonts w:ascii="Calibri" w:eastAsia="Calibri" w:hAnsi="Calibri" w:cs="Calibri"/>
          <w:sz w:val="22"/>
          <w:szCs w:val="22"/>
        </w:rPr>
        <w:t xml:space="preserve">SSA </w:t>
      </w:r>
      <w:r w:rsidR="00B60967">
        <w:rPr>
          <w:rFonts w:ascii="Calibri" w:eastAsia="Calibri" w:hAnsi="Calibri" w:cs="Calibri"/>
          <w:sz w:val="22"/>
          <w:szCs w:val="22"/>
        </w:rPr>
        <w:t xml:space="preserve">are not </w:t>
      </w:r>
      <w:r w:rsidRPr="002E1A3F">
        <w:rPr>
          <w:rFonts w:ascii="Calibri" w:eastAsia="Calibri" w:hAnsi="Calibri" w:cs="Calibri"/>
          <w:sz w:val="22"/>
          <w:szCs w:val="22"/>
        </w:rPr>
        <w:t>sufficient. In addition, the quality of the education delivered in SSA countries tends to be lower than countries in other regions. For instance</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 xml:space="preserve">available data shows that countries such as </w:t>
      </w:r>
      <w:r w:rsidR="00380408">
        <w:rPr>
          <w:rFonts w:ascii="Calibri" w:eastAsia="Calibri" w:hAnsi="Calibri" w:cs="Calibri"/>
          <w:sz w:val="22"/>
          <w:szCs w:val="22"/>
        </w:rPr>
        <w:t>Benin</w:t>
      </w:r>
      <w:r w:rsidRPr="002E1A3F">
        <w:rPr>
          <w:rFonts w:ascii="Calibri" w:eastAsia="Calibri" w:hAnsi="Calibri" w:cs="Calibri"/>
          <w:sz w:val="22"/>
          <w:szCs w:val="22"/>
        </w:rPr>
        <w:t xml:space="preserve">, </w:t>
      </w:r>
      <w:r w:rsidR="002C0B2A">
        <w:rPr>
          <w:rFonts w:ascii="Calibri" w:eastAsia="Times New Roman" w:hAnsi="Calibri" w:cs="Calibri"/>
          <w:color w:val="auto"/>
          <w:sz w:val="22"/>
          <w:szCs w:val="22"/>
        </w:rPr>
        <w:t xml:space="preserve">Burundi </w:t>
      </w:r>
      <w:r w:rsidRPr="002E1A3F">
        <w:rPr>
          <w:rFonts w:ascii="Calibri" w:eastAsia="Times New Roman" w:hAnsi="Calibri" w:cs="Calibri"/>
          <w:color w:val="auto"/>
          <w:sz w:val="22"/>
          <w:szCs w:val="22"/>
        </w:rPr>
        <w:t xml:space="preserve">and </w:t>
      </w:r>
      <w:r w:rsidR="00711968">
        <w:rPr>
          <w:rFonts w:ascii="Calibri" w:eastAsia="Times New Roman" w:hAnsi="Calibri" w:cs="Calibri"/>
          <w:color w:val="auto"/>
          <w:sz w:val="22"/>
          <w:szCs w:val="22"/>
        </w:rPr>
        <w:t>Sierra Leone</w:t>
      </w:r>
      <w:r w:rsidRPr="002E1A3F">
        <w:rPr>
          <w:rFonts w:ascii="Calibri" w:eastAsia="Times New Roman" w:hAnsi="Calibri" w:cs="Calibri"/>
          <w:color w:val="auto"/>
          <w:sz w:val="22"/>
          <w:szCs w:val="22"/>
        </w:rPr>
        <w:t xml:space="preserve"> where government expenditure on tertiary education as a percentage of GDP ranges between 1.</w:t>
      </w:r>
      <w:r w:rsidR="00711968">
        <w:rPr>
          <w:rFonts w:ascii="Calibri" w:eastAsia="Times New Roman" w:hAnsi="Calibri" w:cs="Calibri"/>
          <w:color w:val="auto"/>
          <w:sz w:val="22"/>
          <w:szCs w:val="22"/>
        </w:rPr>
        <w:t>2</w:t>
      </w:r>
      <w:r w:rsidRPr="002E1A3F">
        <w:rPr>
          <w:rFonts w:ascii="Calibri" w:eastAsia="Times New Roman" w:hAnsi="Calibri" w:cs="Calibri"/>
          <w:color w:val="auto"/>
          <w:sz w:val="22"/>
          <w:szCs w:val="22"/>
        </w:rPr>
        <w:t xml:space="preserve"> to </w:t>
      </w:r>
      <w:r w:rsidR="00711968">
        <w:rPr>
          <w:rFonts w:ascii="Calibri" w:eastAsia="Times New Roman" w:hAnsi="Calibri" w:cs="Calibri"/>
          <w:color w:val="auto"/>
          <w:sz w:val="22"/>
          <w:szCs w:val="22"/>
        </w:rPr>
        <w:t>1</w:t>
      </w:r>
      <w:r w:rsidRPr="002E1A3F">
        <w:rPr>
          <w:rFonts w:ascii="Calibri" w:eastAsia="Times New Roman" w:hAnsi="Calibri" w:cs="Calibri"/>
          <w:color w:val="auto"/>
          <w:sz w:val="22"/>
          <w:szCs w:val="22"/>
        </w:rPr>
        <w:t>.</w:t>
      </w:r>
      <w:r w:rsidR="00711968">
        <w:rPr>
          <w:rFonts w:ascii="Calibri" w:eastAsia="Times New Roman" w:hAnsi="Calibri" w:cs="Calibri"/>
          <w:color w:val="auto"/>
          <w:sz w:val="22"/>
          <w:szCs w:val="22"/>
        </w:rPr>
        <w:t>6</w:t>
      </w:r>
      <w:r w:rsidRPr="002E1A3F">
        <w:rPr>
          <w:rFonts w:ascii="Calibri" w:eastAsia="Times New Roman" w:hAnsi="Calibri" w:cs="Calibri"/>
          <w:color w:val="auto"/>
          <w:sz w:val="22"/>
          <w:szCs w:val="22"/>
        </w:rPr>
        <w:t xml:space="preserve"> percent, have scores between </w:t>
      </w:r>
      <w:r w:rsidR="00711968">
        <w:rPr>
          <w:rFonts w:ascii="Calibri" w:eastAsia="Times New Roman" w:hAnsi="Calibri" w:cs="Calibri"/>
          <w:color w:val="auto"/>
          <w:sz w:val="22"/>
          <w:szCs w:val="22"/>
        </w:rPr>
        <w:t>2.9</w:t>
      </w:r>
      <w:r w:rsidRPr="002E1A3F">
        <w:rPr>
          <w:rFonts w:ascii="Calibri" w:eastAsia="Times New Roman" w:hAnsi="Calibri" w:cs="Calibri"/>
          <w:color w:val="auto"/>
          <w:sz w:val="22"/>
          <w:szCs w:val="22"/>
        </w:rPr>
        <w:t xml:space="preserve"> and </w:t>
      </w:r>
      <w:r w:rsidR="009835CE">
        <w:rPr>
          <w:rFonts w:ascii="Calibri" w:eastAsia="Times New Roman" w:hAnsi="Calibri" w:cs="Calibri"/>
          <w:color w:val="auto"/>
          <w:sz w:val="22"/>
          <w:szCs w:val="22"/>
        </w:rPr>
        <w:t>3.3</w:t>
      </w:r>
      <w:r w:rsidRPr="002E1A3F">
        <w:rPr>
          <w:rFonts w:ascii="Calibri" w:eastAsia="Times New Roman" w:hAnsi="Calibri" w:cs="Calibri"/>
          <w:color w:val="auto"/>
          <w:sz w:val="22"/>
          <w:szCs w:val="22"/>
        </w:rPr>
        <w:t xml:space="preserve"> for the aspect “quality of tertiary education” of the Global Competitiveness Index</w:t>
      </w:r>
      <w:r>
        <w:rPr>
          <w:rFonts w:ascii="Calibri" w:eastAsia="Times New Roman" w:hAnsi="Calibri" w:cs="Calibri"/>
          <w:color w:val="auto"/>
          <w:sz w:val="22"/>
          <w:szCs w:val="22"/>
          <w:vertAlign w:val="superscript"/>
        </w:rPr>
        <w:footnoteReference w:id="17"/>
      </w:r>
      <w:r w:rsidRPr="002E1A3F">
        <w:rPr>
          <w:rFonts w:ascii="Calibri" w:eastAsia="Times New Roman" w:hAnsi="Calibri" w:cs="Calibri"/>
          <w:color w:val="auto"/>
          <w:sz w:val="22"/>
          <w:szCs w:val="22"/>
        </w:rPr>
        <w:t xml:space="preserve">; while other countries like </w:t>
      </w:r>
      <w:r w:rsidR="009835CE">
        <w:rPr>
          <w:rFonts w:ascii="Calibri" w:eastAsia="Times New Roman" w:hAnsi="Calibri" w:cs="Calibri"/>
          <w:color w:val="auto"/>
          <w:sz w:val="22"/>
          <w:szCs w:val="22"/>
        </w:rPr>
        <w:t>Albania</w:t>
      </w:r>
      <w:r w:rsidRPr="002E1A3F">
        <w:rPr>
          <w:rFonts w:ascii="Calibri" w:eastAsia="Times New Roman" w:hAnsi="Calibri" w:cs="Calibri"/>
          <w:color w:val="auto"/>
          <w:sz w:val="22"/>
          <w:szCs w:val="22"/>
        </w:rPr>
        <w:t xml:space="preserve">, </w:t>
      </w:r>
      <w:r w:rsidR="009835CE">
        <w:rPr>
          <w:rFonts w:ascii="Calibri" w:eastAsia="Times New Roman" w:hAnsi="Calibri" w:cs="Calibri"/>
          <w:color w:val="auto"/>
          <w:sz w:val="22"/>
          <w:szCs w:val="22"/>
        </w:rPr>
        <w:t>Tajikistan</w:t>
      </w:r>
      <w:r w:rsidRPr="002E1A3F">
        <w:rPr>
          <w:rFonts w:ascii="Calibri" w:eastAsia="Times New Roman" w:hAnsi="Calibri" w:cs="Calibri"/>
          <w:color w:val="auto"/>
          <w:sz w:val="22"/>
          <w:szCs w:val="22"/>
        </w:rPr>
        <w:t xml:space="preserve"> and </w:t>
      </w:r>
      <w:r w:rsidR="00545161">
        <w:rPr>
          <w:rFonts w:ascii="Calibri" w:eastAsia="Times New Roman" w:hAnsi="Calibri" w:cs="Calibri"/>
          <w:color w:val="auto"/>
          <w:sz w:val="22"/>
          <w:szCs w:val="22"/>
        </w:rPr>
        <w:t>Nepal</w:t>
      </w:r>
      <w:r w:rsidRPr="002E1A3F">
        <w:rPr>
          <w:rFonts w:ascii="Calibri" w:eastAsia="Times New Roman" w:hAnsi="Calibri" w:cs="Calibri"/>
          <w:color w:val="auto"/>
          <w:sz w:val="22"/>
          <w:szCs w:val="22"/>
        </w:rPr>
        <w:t xml:space="preserve"> have scores higher than </w:t>
      </w:r>
      <w:r w:rsidR="00545161">
        <w:rPr>
          <w:rFonts w:ascii="Calibri" w:eastAsia="Times New Roman" w:hAnsi="Calibri" w:cs="Calibri"/>
          <w:color w:val="auto"/>
          <w:sz w:val="22"/>
          <w:szCs w:val="22"/>
        </w:rPr>
        <w:t>3.8</w:t>
      </w:r>
      <w:r w:rsidRPr="002E1A3F">
        <w:rPr>
          <w:rFonts w:ascii="Calibri" w:eastAsia="Times New Roman" w:hAnsi="Calibri" w:cs="Calibri"/>
          <w:color w:val="auto"/>
          <w:sz w:val="22"/>
          <w:szCs w:val="22"/>
        </w:rPr>
        <w:t xml:space="preserve"> with lower investment ranging between 0.</w:t>
      </w:r>
      <w:r w:rsidR="00E4540E">
        <w:rPr>
          <w:rFonts w:ascii="Calibri" w:eastAsia="Times New Roman" w:hAnsi="Calibri" w:cs="Calibri"/>
          <w:color w:val="auto"/>
          <w:sz w:val="22"/>
          <w:szCs w:val="22"/>
        </w:rPr>
        <w:t>39</w:t>
      </w:r>
      <w:r w:rsidRPr="002E1A3F">
        <w:rPr>
          <w:rFonts w:ascii="Calibri" w:eastAsia="Times New Roman" w:hAnsi="Calibri" w:cs="Calibri"/>
          <w:color w:val="auto"/>
          <w:sz w:val="22"/>
          <w:szCs w:val="22"/>
        </w:rPr>
        <w:t xml:space="preserve"> to </w:t>
      </w:r>
      <w:r w:rsidR="000B41BC">
        <w:rPr>
          <w:rFonts w:ascii="Calibri" w:eastAsia="Times New Roman" w:hAnsi="Calibri" w:cs="Calibri"/>
          <w:color w:val="auto"/>
          <w:sz w:val="22"/>
          <w:szCs w:val="22"/>
        </w:rPr>
        <w:t>0.78</w:t>
      </w:r>
      <w:r w:rsidRPr="002E1A3F">
        <w:rPr>
          <w:rFonts w:ascii="Calibri" w:eastAsia="Times New Roman" w:hAnsi="Calibri" w:cs="Calibri"/>
          <w:color w:val="auto"/>
          <w:sz w:val="22"/>
          <w:szCs w:val="22"/>
        </w:rPr>
        <w:t xml:space="preserve"> percent of GDP. </w:t>
      </w:r>
      <w:r w:rsidRPr="002E1A3F">
        <w:rPr>
          <w:rFonts w:ascii="Calibri" w:eastAsia="Calibri" w:hAnsi="Calibri" w:cs="Calibri"/>
          <w:sz w:val="22"/>
          <w:szCs w:val="22"/>
        </w:rPr>
        <w:t xml:space="preserve"> Each country faces several challenges making it difficult to afford the interventions needed to ensure that their higher education systems can compete internationally.  Furthermore, studies show that: a one percent increase in the stock of higher education (the number of people having completed higher education) leads to a 0.35 percent increase in industrial production, and that a one percent increase in the number of </w:t>
      </w:r>
      <w:r w:rsidRPr="002E1A3F">
        <w:rPr>
          <w:rFonts w:ascii="Calibri" w:eastAsia="Calibri" w:hAnsi="Calibri" w:cs="Calibri"/>
          <w:sz w:val="22"/>
          <w:szCs w:val="22"/>
        </w:rPr>
        <w:lastRenderedPageBreak/>
        <w:t>engineering or natural sciences graduates leads to a 0.15 percent increase in agricultural production</w:t>
      </w:r>
      <w:r>
        <w:rPr>
          <w:rFonts w:ascii="Calibri" w:eastAsia="Calibri,Times New Roman" w:hAnsi="Calibri" w:cs="Calibri"/>
          <w:sz w:val="22"/>
          <w:szCs w:val="22"/>
          <w:vertAlign w:val="superscript"/>
        </w:rPr>
        <w:footnoteReference w:id="18"/>
      </w:r>
      <w:r w:rsidRPr="002E1A3F">
        <w:rPr>
          <w:rFonts w:ascii="Calibri" w:eastAsia="Calibri" w:hAnsi="Calibri" w:cs="Calibri"/>
          <w:sz w:val="22"/>
          <w:szCs w:val="22"/>
        </w:rPr>
        <w:t>. In addition, a one-year increase in average higher education levels would raise annual GDP growth in Africa by 0.39 percentage points, and eventually yield up to a 12 percent increase in GDP. The private rate of return to another year of schooling in higher education is 15.2 percent for men and 16.8 percent for women. Returns to higher education across the region are, on average, higher for women than for men.</w:t>
      </w:r>
    </w:p>
    <w:p w14:paraId="5381DAB9" w14:textId="77777777" w:rsidR="002E1A3F" w:rsidRPr="008E2709"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
          <w:sz w:val="22"/>
          <w:szCs w:val="22"/>
        </w:rPr>
      </w:pPr>
      <w:r w:rsidRPr="002E1A3F">
        <w:rPr>
          <w:rFonts w:ascii="Calibri" w:eastAsia="Calibri" w:hAnsi="Calibri" w:cs="Calibri"/>
          <w:b/>
          <w:bCs/>
          <w:sz w:val="22"/>
          <w:szCs w:val="22"/>
        </w:rPr>
        <w:t>A CBA undertaken in the context of project preparation shows that the proposed project is economically viable</w:t>
      </w:r>
      <w:r w:rsidRPr="002E1A3F">
        <w:rPr>
          <w:rFonts w:ascii="Calibri" w:eastAsia="Calibri" w:hAnsi="Calibri" w:cs="Calibri"/>
          <w:sz w:val="22"/>
          <w:szCs w:val="22"/>
        </w:rPr>
        <w:t xml:space="preserve"> for both IRRs and </w:t>
      </w:r>
      <w:r w:rsidRPr="002E1A3F">
        <w:rPr>
          <w:rFonts w:ascii="Calibri" w:eastAsia="Times New Roman" w:hAnsi="Calibri" w:cs="Calibri"/>
          <w:color w:val="auto"/>
          <w:sz w:val="22"/>
          <w:szCs w:val="22"/>
        </w:rPr>
        <w:t>the Net Present Values (NPVs)</w:t>
      </w:r>
      <w:r w:rsidRPr="002E1A3F">
        <w:rPr>
          <w:rFonts w:ascii="Calibri" w:eastAsia="Calibri" w:hAnsi="Calibri" w:cs="Calibri"/>
          <w:sz w:val="22"/>
          <w:szCs w:val="22"/>
        </w:rPr>
        <w:t xml:space="preserve"> of costs and benefits for combined estimates of the quantifiable </w:t>
      </w:r>
      <w:r w:rsidR="00415372">
        <w:rPr>
          <w:rFonts w:ascii="Calibri" w:eastAsia="Calibri" w:hAnsi="Calibri" w:cs="Calibri"/>
          <w:sz w:val="22"/>
          <w:szCs w:val="22"/>
        </w:rPr>
        <w:t>C</w:t>
      </w:r>
      <w:r w:rsidRPr="002E1A3F">
        <w:rPr>
          <w:rFonts w:ascii="Calibri" w:eastAsia="Calibri" w:hAnsi="Calibri" w:cs="Calibri"/>
          <w:sz w:val="22"/>
          <w:szCs w:val="22"/>
        </w:rPr>
        <w:t xml:space="preserve">omponents for the project. For an estimated present discounted value of benefits for the overall project of US$229.7 million, the corresponding NPV of program benefits is US$35.88 million. The IRR associated with this NPV is 24.7 percent. Overall, the cost-benefit ratio implies that for every US$1 invested the return is US$1.2 Therefore, although data to measure all likely benefits are not available and given the high opportunity costs for project participants, the NPV from the quantifiable benefits outweigh the NPV of costs, and the results support investment in the project. Moreover, the cost of an ACE center represents a small portion of government expenditure on higher education. The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will be implemented over the course of four and a half years, with each center being awarded an average of US$4 to US$6 million within that period</w:t>
      </w:r>
      <w:r w:rsidRPr="002E1A3F">
        <w:rPr>
          <w:rFonts w:ascii="Calibri" w:eastAsia="Calibri,Times New Roman" w:hAnsi="Calibri" w:cs="Calibri"/>
          <w:sz w:val="22"/>
          <w:szCs w:val="22"/>
        </w:rPr>
        <w:t xml:space="preserve">.  </w:t>
      </w:r>
      <w:r w:rsidRPr="002E1A3F">
        <w:rPr>
          <w:rFonts w:ascii="Calibri" w:eastAsia="Calibri" w:hAnsi="Calibri" w:cs="Calibri"/>
          <w:sz w:val="22"/>
          <w:szCs w:val="22"/>
        </w:rPr>
        <w:t xml:space="preserve">If one assumes that in a year a center of excellence will receive </w:t>
      </w:r>
      <w:r w:rsidR="00BD2876" w:rsidRPr="000829ED">
        <w:rPr>
          <w:rFonts w:ascii="Calibri" w:eastAsia="Calibri" w:hAnsi="Calibri" w:cs="Calibri"/>
          <w:sz w:val="22"/>
          <w:szCs w:val="22"/>
        </w:rPr>
        <w:t>between US$0.8 to 1.2million</w:t>
      </w:r>
      <w:r w:rsidRPr="002E1A3F">
        <w:rPr>
          <w:rFonts w:ascii="Calibri" w:eastAsia="Calibri" w:hAnsi="Calibri" w:cs="Calibri"/>
          <w:sz w:val="22"/>
          <w:szCs w:val="22"/>
        </w:rPr>
        <w:t xml:space="preserve">, each ACE only represents </w:t>
      </w:r>
      <w:r w:rsidR="00BD2876" w:rsidRPr="000829ED">
        <w:rPr>
          <w:rFonts w:ascii="Calibri" w:eastAsia="Calibri" w:hAnsi="Calibri" w:cs="Calibri"/>
          <w:sz w:val="22"/>
          <w:szCs w:val="22"/>
        </w:rPr>
        <w:t xml:space="preserve">0.91 and 1.37 percent of the Government of Benin’s annual public expenditure on higher education, 0.67 to 1.01 in Burkina Faso, 0.22 to 0.33 percent in Côte d’Ivoire, and 0.14 to 0.21 percent in Ghana </w:t>
      </w:r>
      <w:r w:rsidRPr="002E1A3F">
        <w:rPr>
          <w:rFonts w:ascii="Calibri" w:eastAsia="Calibri" w:hAnsi="Calibri" w:cs="Calibri"/>
          <w:sz w:val="22"/>
          <w:szCs w:val="22"/>
        </w:rPr>
        <w:t>(see Annex 7 for further details on the economic analysis)</w:t>
      </w:r>
      <w:r w:rsidR="005A2C9C" w:rsidRPr="00B22FEF">
        <w:rPr>
          <w:rFonts w:ascii="Calibri" w:eastAsia="Calibri" w:hAnsi="Calibri" w:cs="Calibri"/>
          <w:sz w:val="22"/>
          <w:szCs w:val="22"/>
        </w:rPr>
        <w:t>.</w:t>
      </w:r>
    </w:p>
    <w:p w14:paraId="37B0D17C" w14:textId="37C81E82" w:rsidR="002E1A3F" w:rsidRPr="006C70A5" w:rsidRDefault="00B00100" w:rsidP="008E2709">
      <w:pPr>
        <w:widowControl/>
        <w:numPr>
          <w:ilvl w:val="0"/>
          <w:numId w:val="7"/>
        </w:numPr>
        <w:tabs>
          <w:tab w:val="left" w:pos="0"/>
          <w:tab w:val="left" w:pos="720"/>
        </w:tabs>
        <w:autoSpaceDE/>
        <w:autoSpaceDN/>
        <w:adjustRightInd/>
        <w:spacing w:after="240"/>
        <w:ind w:left="0" w:firstLine="0"/>
        <w:jc w:val="both"/>
        <w:rPr>
          <w:rFonts w:ascii="Calibri,Times New Roman" w:eastAsia="Calibri,Times New Roman" w:hAnsi="Calibri,Times New Roman" w:cs="Calibri,Times New Roman"/>
          <w:sz w:val="22"/>
          <w:szCs w:val="22"/>
        </w:rPr>
      </w:pPr>
      <w:r w:rsidRPr="002E1A3F">
        <w:rPr>
          <w:rFonts w:ascii="Calibri" w:eastAsia="Calibri" w:hAnsi="Calibri" w:cs="Calibri"/>
          <w:b/>
          <w:bCs/>
          <w:sz w:val="22"/>
          <w:szCs w:val="22"/>
        </w:rPr>
        <w:t xml:space="preserve">Public financing is necessary due to absence of private financing for STEM and post-graduate studies and substantial spillover effects. </w:t>
      </w:r>
      <w:r w:rsidRPr="002E1A3F">
        <w:rPr>
          <w:rFonts w:ascii="Calibri" w:eastAsia="Calibri" w:hAnsi="Calibri" w:cs="Calibri"/>
          <w:bCs/>
          <w:sz w:val="22"/>
          <w:szCs w:val="22"/>
        </w:rPr>
        <w:t xml:space="preserve">For example, in Nigeria, less than 1 in 20 post-graduate students are enrolled in self-financed studies, and </w:t>
      </w:r>
      <w:r w:rsidR="00C217EF">
        <w:rPr>
          <w:rFonts w:ascii="Calibri" w:eastAsia="Calibri" w:hAnsi="Calibri" w:cs="Calibri"/>
          <w:bCs/>
          <w:sz w:val="22"/>
          <w:szCs w:val="22"/>
        </w:rPr>
        <w:t>most</w:t>
      </w:r>
      <w:r w:rsidRPr="002E1A3F">
        <w:rPr>
          <w:rFonts w:ascii="Calibri" w:eastAsia="Calibri" w:hAnsi="Calibri" w:cs="Calibri"/>
          <w:bCs/>
          <w:sz w:val="22"/>
          <w:szCs w:val="22"/>
        </w:rPr>
        <w:t xml:space="preserve"> of those studies are in business management or accounting. Further, very few non-government institutions invest in post-graduate studies and research due to the low private returns and lack of public funding to these activities.  However, post-graduate education in thematic areas of high relevance to development can have high economy-wide returns through economic spill-overs on: (i) adoption of new technology which benefit co-workers and users, such as new tablet apps; (ii) quality of policy making from applied and communicated research, for example within climate change or water usage; (iii) quality of higher education through higher quality and relevance of teaching staff with post-graduate studies; </w:t>
      </w:r>
      <w:r w:rsidR="00DD2C87">
        <w:rPr>
          <w:rFonts w:ascii="Calibri" w:eastAsia="Calibri" w:hAnsi="Calibri" w:cs="Calibri"/>
          <w:bCs/>
          <w:sz w:val="22"/>
          <w:szCs w:val="22"/>
        </w:rPr>
        <w:t xml:space="preserve">and </w:t>
      </w:r>
      <w:r w:rsidRPr="002E1A3F">
        <w:rPr>
          <w:rFonts w:ascii="Calibri" w:eastAsia="Calibri" w:hAnsi="Calibri" w:cs="Calibri"/>
          <w:bCs/>
          <w:sz w:val="22"/>
          <w:szCs w:val="22"/>
        </w:rPr>
        <w:t xml:space="preserve">(iv) diffusion of new labs, products and processes, such as rapid in-country diagnosing of infectious disease or new drought-resistant crops. </w:t>
      </w:r>
    </w:p>
    <w:p w14:paraId="13472317" w14:textId="1222B6EF" w:rsidR="00AA7938" w:rsidRDefault="00AA7938" w:rsidP="00AA7938">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p w14:paraId="58D0A598" w14:textId="5FBACECC" w:rsidR="00AA7938" w:rsidRDefault="00AA7938" w:rsidP="00AA7938">
      <w:pPr>
        <w:widowControl/>
        <w:tabs>
          <w:tab w:val="left" w:pos="0"/>
          <w:tab w:val="left" w:pos="720"/>
        </w:tabs>
        <w:autoSpaceDE/>
        <w:autoSpaceDN/>
        <w:adjustRightInd/>
        <w:spacing w:after="240"/>
        <w:jc w:val="both"/>
        <w:rPr>
          <w:rFonts w:ascii="Calibri,Times New Roman" w:eastAsia="Calibri,Times New Roman" w:hAnsi="Calibri,Times New Roman" w:cs="Calibri,Times New Roman"/>
          <w:sz w:val="22"/>
          <w:szCs w:val="22"/>
        </w:rPr>
      </w:pP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52B5C925" w14:textId="77777777" w:rsidTr="009277AD">
        <w:trPr>
          <w:trHeight w:val="80"/>
        </w:trPr>
        <w:tc>
          <w:tcPr>
            <w:tcW w:w="10710" w:type="dxa"/>
          </w:tcPr>
          <w:p w14:paraId="15615991" w14:textId="77777777" w:rsidR="002E1A3F" w:rsidRPr="002E1A3F" w:rsidRDefault="00B00100">
            <w:pPr>
              <w:keepNext/>
              <w:widowControl/>
              <w:autoSpaceDE/>
              <w:autoSpaceDN/>
              <w:adjustRightInd/>
              <w:spacing w:before="40"/>
              <w:outlineLvl w:val="1"/>
              <w:rPr>
                <w:rFonts w:ascii="Calibri" w:eastAsia="Times New Roman" w:hAnsi="Calibri" w:cs="Times New Roman"/>
                <w:b/>
                <w:color w:val="172D5F"/>
                <w:sz w:val="22"/>
                <w:szCs w:val="22"/>
              </w:rPr>
            </w:pPr>
            <w:bookmarkStart w:id="236" w:name="_Toc256000150"/>
            <w:bookmarkStart w:id="237" w:name="_Toc256000121"/>
            <w:bookmarkStart w:id="238" w:name="_Toc256000088"/>
            <w:bookmarkStart w:id="239" w:name="_Toc256000056"/>
            <w:bookmarkStart w:id="240" w:name="_Toc256000024"/>
            <w:bookmarkStart w:id="241" w:name="_Toc8301935"/>
            <w:bookmarkStart w:id="242" w:name="_Toc14789352"/>
            <w:bookmarkStart w:id="243" w:name="_Toc22655921"/>
            <w:bookmarkStart w:id="244" w:name="_Toc23779850"/>
            <w:bookmarkStart w:id="245" w:name="_Toc23866066"/>
            <w:bookmarkStart w:id="246" w:name="_Toc23930677"/>
            <w:r w:rsidRPr="002E1A3F">
              <w:rPr>
                <w:rFonts w:ascii="Calibri" w:eastAsia="Times New Roman" w:hAnsi="Calibri" w:cs="Times New Roman"/>
                <w:b/>
                <w:color w:val="172D5F"/>
                <w:sz w:val="22"/>
                <w:szCs w:val="22"/>
              </w:rPr>
              <w:lastRenderedPageBreak/>
              <w:t>B. Fiduciary</w:t>
            </w:r>
            <w:bookmarkEnd w:id="236"/>
            <w:bookmarkEnd w:id="237"/>
            <w:bookmarkEnd w:id="238"/>
            <w:bookmarkEnd w:id="239"/>
            <w:bookmarkEnd w:id="240"/>
            <w:bookmarkEnd w:id="241"/>
            <w:bookmarkEnd w:id="242"/>
            <w:bookmarkEnd w:id="243"/>
            <w:bookmarkEnd w:id="244"/>
            <w:bookmarkEnd w:id="245"/>
            <w:bookmarkEnd w:id="246"/>
          </w:p>
        </w:tc>
      </w:tr>
    </w:tbl>
    <w:p w14:paraId="22F2767F" w14:textId="77777777" w:rsidR="002E1A3F" w:rsidRPr="002E1A3F" w:rsidRDefault="002E1A3F">
      <w:pPr>
        <w:ind w:left="-634"/>
        <w:rPr>
          <w:rFonts w:ascii="Calibri" w:eastAsia="Times New Roman" w:hAnsi="Calibri"/>
          <w:bCs/>
        </w:rPr>
      </w:pPr>
      <w:bookmarkStart w:id="247" w:name="_Hlk265827"/>
    </w:p>
    <w:bookmarkEnd w:id="247"/>
    <w:p w14:paraId="4AB8A8BF" w14:textId="77777777" w:rsidR="002E1A3F" w:rsidRPr="002E1A3F" w:rsidRDefault="00B00100" w:rsidP="008E2709">
      <w:pPr>
        <w:widowControl/>
        <w:numPr>
          <w:ilvl w:val="2"/>
          <w:numId w:val="7"/>
        </w:numPr>
        <w:autoSpaceDE/>
        <w:autoSpaceDN/>
        <w:adjustRightInd/>
        <w:spacing w:after="160"/>
        <w:contextualSpacing/>
        <w:rPr>
          <w:rFonts w:ascii="Calibri,Times New Roman" w:eastAsia="Calibri,Times New Roman" w:hAnsi="Calibri,Times New Roman" w:cs="Calibri,Times New Roman"/>
          <w:b/>
          <w:color w:val="auto"/>
          <w:sz w:val="22"/>
          <w:szCs w:val="22"/>
        </w:rPr>
      </w:pPr>
      <w:r w:rsidRPr="002E1A3F">
        <w:rPr>
          <w:rFonts w:ascii="Calibri" w:eastAsia="Calibri" w:hAnsi="Calibri" w:cs="Calibri"/>
          <w:b/>
          <w:color w:val="auto"/>
          <w:sz w:val="22"/>
          <w:szCs w:val="22"/>
        </w:rPr>
        <w:t xml:space="preserve">Financial Management (FM) </w:t>
      </w:r>
    </w:p>
    <w:p w14:paraId="292E9396" w14:textId="77777777" w:rsidR="002E1A3F" w:rsidRPr="002E1A3F" w:rsidRDefault="002E1A3F">
      <w:pPr>
        <w:ind w:left="94"/>
        <w:contextualSpacing/>
        <w:rPr>
          <w:rFonts w:ascii="Calibri,Times New Roman" w:eastAsia="Calibri,Times New Roman" w:hAnsi="Calibri,Times New Roman" w:cs="Calibri,Times New Roman"/>
          <w:b/>
          <w:color w:val="auto"/>
          <w:sz w:val="22"/>
          <w:szCs w:val="22"/>
        </w:rPr>
      </w:pPr>
    </w:p>
    <w:p w14:paraId="7AE0A00E"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Arial,Times New Roman" w:eastAsia="Calibri,Arial,Times New Roman" w:hAnsi="Calibri,Arial,Times New Roman" w:cs="Calibri,Arial,Times New Roman"/>
          <w:color w:val="172D5F"/>
          <w:sz w:val="22"/>
          <w:szCs w:val="22"/>
        </w:rPr>
      </w:pPr>
      <w:r w:rsidRPr="002E1A3F">
        <w:rPr>
          <w:rFonts w:ascii="Calibri" w:eastAsia="Calibri" w:hAnsi="Calibri" w:cs="Calibri"/>
          <w:b/>
          <w:sz w:val="22"/>
          <w:szCs w:val="22"/>
        </w:rPr>
        <w:t>At the national level, each selected higher education institution will implement its own ACE Impact sub-project</w:t>
      </w:r>
      <w:r w:rsidRPr="002E1A3F">
        <w:rPr>
          <w:rFonts w:ascii="Calibri,Arial,Times New Roman" w:eastAsia="Calibri,Arial,Times New Roman" w:hAnsi="Calibri,Arial,Times New Roman" w:cs="Calibri,Arial,Times New Roman"/>
          <w:b/>
          <w:sz w:val="22"/>
          <w:szCs w:val="22"/>
        </w:rPr>
        <w:t xml:space="preserve">. </w:t>
      </w:r>
      <w:r w:rsidRPr="002E1A3F">
        <w:rPr>
          <w:rFonts w:ascii="Calibri" w:eastAsia="Calibri" w:hAnsi="Calibri" w:cs="Calibri"/>
          <w:sz w:val="22"/>
          <w:szCs w:val="22"/>
        </w:rPr>
        <w:t>Each Second ACE Impact host institution will house an ACE Impact implementation team that will manage both the technical and the fiduciary aspects of its own sub-project. At the regional level, the AAU, in its role as the RFU,</w:t>
      </w:r>
      <w:r w:rsidRPr="002E1A3F">
        <w:rPr>
          <w:rFonts w:ascii="Calibri,Arial,Times New Roman" w:eastAsia="Calibri,Arial,Times New Roman" w:hAnsi="Calibri,Arial,Times New Roman" w:cs="Calibri,Arial,Times New Roman"/>
          <w:sz w:val="22"/>
          <w:szCs w:val="22"/>
        </w:rPr>
        <w:t xml:space="preserve"> </w:t>
      </w:r>
      <w:r w:rsidRPr="002E1A3F">
        <w:rPr>
          <w:rFonts w:ascii="Calibri" w:eastAsia="Calibri" w:hAnsi="Calibri" w:cs="Calibri"/>
          <w:sz w:val="22"/>
          <w:szCs w:val="22"/>
        </w:rPr>
        <w:t xml:space="preserve">will receive a grant to support overall project facilitation as indicated under Component 3 of the </w:t>
      </w:r>
      <w:r w:rsidR="00416038">
        <w:rPr>
          <w:rFonts w:ascii="Calibri" w:eastAsia="Calibri" w:hAnsi="Calibri" w:cs="Calibri"/>
          <w:sz w:val="22"/>
          <w:szCs w:val="22"/>
        </w:rPr>
        <w:t>proposed</w:t>
      </w:r>
      <w:r w:rsidRPr="002E1A3F">
        <w:rPr>
          <w:rFonts w:ascii="Calibri" w:eastAsia="Calibri" w:hAnsi="Calibri" w:cs="Calibri"/>
          <w:sz w:val="22"/>
          <w:szCs w:val="22"/>
        </w:rPr>
        <w:t xml:space="preserve"> project, supporting the centers under Components 1 and </w:t>
      </w:r>
      <w:r w:rsidR="00612C95">
        <w:rPr>
          <w:rFonts w:ascii="Calibri" w:eastAsia="Calibri" w:hAnsi="Calibri" w:cs="Calibri"/>
          <w:sz w:val="22"/>
          <w:szCs w:val="22"/>
        </w:rPr>
        <w:t xml:space="preserve">Sub-component </w:t>
      </w:r>
      <w:r w:rsidRPr="002E1A3F">
        <w:rPr>
          <w:rFonts w:ascii="Calibri" w:eastAsia="Calibri" w:hAnsi="Calibri" w:cs="Calibri"/>
          <w:sz w:val="22"/>
          <w:szCs w:val="22"/>
        </w:rPr>
        <w:t>2</w:t>
      </w:r>
      <w:r w:rsidR="000C125B">
        <w:rPr>
          <w:rFonts w:ascii="Calibri" w:eastAsia="Calibri" w:hAnsi="Calibri" w:cs="Calibri"/>
          <w:sz w:val="22"/>
          <w:szCs w:val="22"/>
        </w:rPr>
        <w:t>.1</w:t>
      </w:r>
      <w:r w:rsidRPr="002E1A3F">
        <w:rPr>
          <w:rFonts w:ascii="Calibri" w:eastAsia="Calibri" w:hAnsi="Calibri" w:cs="Calibri"/>
          <w:sz w:val="22"/>
          <w:szCs w:val="22"/>
        </w:rPr>
        <w:t>. AAU will be responsible for all fiduciary aspects associated with the use of the grant it will receive. In addition, under Component 3, NUC (Nigeria)</w:t>
      </w:r>
      <w:r w:rsidR="007F0B0B">
        <w:rPr>
          <w:rFonts w:ascii="Calibri" w:eastAsia="Calibri" w:hAnsi="Calibri" w:cs="Calibri"/>
          <w:sz w:val="22"/>
          <w:szCs w:val="22"/>
        </w:rPr>
        <w:t xml:space="preserve"> and</w:t>
      </w:r>
      <w:r w:rsidRPr="002E1A3F">
        <w:rPr>
          <w:rFonts w:ascii="Calibri" w:eastAsia="Calibri" w:hAnsi="Calibri" w:cs="Calibri"/>
          <w:sz w:val="22"/>
          <w:szCs w:val="22"/>
        </w:rPr>
        <w:t xml:space="preserve"> </w:t>
      </w:r>
      <w:r w:rsidR="00B85ED6">
        <w:rPr>
          <w:rFonts w:ascii="Calibri" w:eastAsia="Calibri" w:hAnsi="Calibri" w:cs="Calibri"/>
          <w:sz w:val="22"/>
          <w:szCs w:val="22"/>
        </w:rPr>
        <w:t xml:space="preserve">the </w:t>
      </w:r>
      <w:r w:rsidR="0037443A">
        <w:rPr>
          <w:rFonts w:ascii="Calibri" w:eastAsia="Calibri" w:hAnsi="Calibri" w:cs="Calibri"/>
          <w:sz w:val="22"/>
          <w:szCs w:val="22"/>
        </w:rPr>
        <w:t>PCU-</w:t>
      </w:r>
      <w:r w:rsidR="00D13540">
        <w:rPr>
          <w:rFonts w:ascii="Calibri" w:eastAsia="Calibri" w:hAnsi="Calibri" w:cs="Calibri"/>
          <w:sz w:val="22"/>
          <w:szCs w:val="22"/>
        </w:rPr>
        <w:t xml:space="preserve">Gambia </w:t>
      </w:r>
      <w:r w:rsidRPr="002E1A3F">
        <w:rPr>
          <w:rFonts w:ascii="Calibri" w:eastAsia="Calibri" w:hAnsi="Calibri" w:cs="Calibri"/>
          <w:sz w:val="22"/>
          <w:szCs w:val="22"/>
        </w:rPr>
        <w:t>will also receive funding for national level coordination of the centers within their respective countries.</w:t>
      </w:r>
      <w:r w:rsidRPr="002E1A3F">
        <w:rPr>
          <w:rFonts w:ascii="Calibri,Arial,Times New Roman" w:eastAsia="Calibri,Arial,Times New Roman" w:hAnsi="Calibri,Arial,Times New Roman" w:cs="Calibri,Arial,Times New Roman"/>
          <w:sz w:val="22"/>
          <w:szCs w:val="22"/>
        </w:rPr>
        <w:t xml:space="preserve">  </w:t>
      </w:r>
    </w:p>
    <w:p w14:paraId="16692CA1" w14:textId="77777777" w:rsidR="002E1A3F" w:rsidRPr="002E1A3F" w:rsidRDefault="00B00100">
      <w:pPr>
        <w:tabs>
          <w:tab w:val="left" w:pos="0"/>
          <w:tab w:val="left" w:pos="720"/>
        </w:tabs>
        <w:spacing w:after="240"/>
        <w:jc w:val="both"/>
        <w:rPr>
          <w:rFonts w:ascii="Calibri" w:eastAsia="Calibri" w:hAnsi="Calibri" w:cs="Calibri"/>
          <w:b/>
          <w:bCs/>
          <w:color w:val="auto"/>
          <w:sz w:val="22"/>
          <w:szCs w:val="22"/>
        </w:rPr>
      </w:pPr>
      <w:r w:rsidRPr="002E1A3F">
        <w:rPr>
          <w:rFonts w:ascii="Calibri" w:eastAsia="Calibri" w:hAnsi="Calibri" w:cs="Calibri"/>
          <w:b/>
          <w:bCs/>
          <w:color w:val="auto"/>
          <w:sz w:val="22"/>
          <w:szCs w:val="22"/>
        </w:rPr>
        <w:t>Brief highlights from FM assessments of centers and risk mitigating steps</w:t>
      </w:r>
    </w:p>
    <w:p w14:paraId="5BE1D38F"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E114F3">
        <w:rPr>
          <w:rFonts w:asciiTheme="minorHAnsi" w:hAnsiTheme="minorHAnsi" w:cstheme="minorHAnsi"/>
          <w:sz w:val="22"/>
          <w:szCs w:val="22"/>
        </w:rPr>
        <w:t xml:space="preserve">In line with the guidelines as stated in the Financial Management Practices Manual issued by the Financial Management Sector Board on March 1, 2010, a </w:t>
      </w:r>
      <w:r w:rsidR="00864D46">
        <w:rPr>
          <w:rFonts w:asciiTheme="minorHAnsi" w:hAnsiTheme="minorHAnsi" w:cstheme="minorHAnsi"/>
          <w:sz w:val="22"/>
          <w:szCs w:val="22"/>
        </w:rPr>
        <w:t>FM</w:t>
      </w:r>
      <w:r w:rsidRPr="00E114F3">
        <w:rPr>
          <w:rFonts w:asciiTheme="minorHAnsi" w:hAnsiTheme="minorHAnsi" w:cstheme="minorHAnsi"/>
          <w:sz w:val="22"/>
          <w:szCs w:val="22"/>
        </w:rPr>
        <w:t xml:space="preserve"> assessment –was conducted </w:t>
      </w:r>
      <w:r>
        <w:rPr>
          <w:rFonts w:asciiTheme="minorHAnsi" w:hAnsiTheme="minorHAnsi" w:cstheme="minorHAnsi"/>
          <w:sz w:val="22"/>
          <w:szCs w:val="22"/>
        </w:rPr>
        <w:t>within the AAU (</w:t>
      </w:r>
      <w:r w:rsidR="00435409">
        <w:rPr>
          <w:rFonts w:asciiTheme="minorHAnsi" w:hAnsiTheme="minorHAnsi" w:cstheme="minorHAnsi"/>
          <w:sz w:val="22"/>
          <w:szCs w:val="22"/>
        </w:rPr>
        <w:t>under the First ACE Impact), NUC, PCU-Gambia and</w:t>
      </w:r>
      <w:r>
        <w:rPr>
          <w:rFonts w:asciiTheme="minorHAnsi" w:hAnsiTheme="minorHAnsi" w:cstheme="minorHAnsi"/>
          <w:sz w:val="22"/>
          <w:szCs w:val="22"/>
        </w:rPr>
        <w:t xml:space="preserve"> each participating University </w:t>
      </w:r>
      <w:r w:rsidR="00F606D0">
        <w:rPr>
          <w:rFonts w:asciiTheme="minorHAnsi" w:hAnsiTheme="minorHAnsi" w:cstheme="minorHAnsi"/>
          <w:sz w:val="22"/>
          <w:szCs w:val="22"/>
        </w:rPr>
        <w:t xml:space="preserve">(hosting a center) </w:t>
      </w:r>
      <w:r>
        <w:rPr>
          <w:rFonts w:asciiTheme="minorHAnsi" w:hAnsiTheme="minorHAnsi" w:cstheme="minorHAnsi"/>
          <w:sz w:val="22"/>
          <w:szCs w:val="22"/>
        </w:rPr>
        <w:t>to support the implementation of the project.</w:t>
      </w:r>
      <w:r w:rsidR="00FA42DB" w:rsidRPr="002E1A3F">
        <w:rPr>
          <w:rFonts w:ascii="Calibri" w:eastAsia="Calibri" w:hAnsi="Calibri" w:cs="Calibri"/>
          <w:bCs/>
          <w:color w:val="auto"/>
          <w:sz w:val="22"/>
          <w:szCs w:val="22"/>
        </w:rPr>
        <w:t xml:space="preserve"> </w:t>
      </w:r>
      <w:r w:rsidR="00F606D0">
        <w:rPr>
          <w:rFonts w:ascii="Calibri" w:eastAsia="Calibri" w:hAnsi="Calibri" w:cs="Calibri"/>
          <w:bCs/>
          <w:color w:val="auto"/>
          <w:sz w:val="22"/>
          <w:szCs w:val="22"/>
        </w:rPr>
        <w:t>C</w:t>
      </w:r>
      <w:r w:rsidR="00FA42DB" w:rsidRPr="002E1A3F">
        <w:rPr>
          <w:rFonts w:ascii="Calibri" w:eastAsia="Calibri" w:hAnsi="Calibri" w:cs="Calibri"/>
          <w:bCs/>
          <w:color w:val="auto"/>
          <w:sz w:val="22"/>
          <w:szCs w:val="22"/>
        </w:rPr>
        <w:t xml:space="preserve">enters and their implementing teams at the following </w:t>
      </w:r>
      <w:r w:rsidR="008C109E">
        <w:rPr>
          <w:rFonts w:ascii="Calibri" w:eastAsia="Calibri" w:hAnsi="Calibri" w:cs="Calibri"/>
          <w:bCs/>
          <w:color w:val="auto"/>
          <w:sz w:val="22"/>
          <w:szCs w:val="22"/>
        </w:rPr>
        <w:t xml:space="preserve">19 </w:t>
      </w:r>
      <w:r w:rsidR="00FA42DB" w:rsidRPr="002E1A3F">
        <w:rPr>
          <w:rFonts w:ascii="Calibri" w:eastAsia="Calibri" w:hAnsi="Calibri" w:cs="Calibri"/>
          <w:bCs/>
          <w:color w:val="auto"/>
          <w:sz w:val="22"/>
          <w:szCs w:val="22"/>
        </w:rPr>
        <w:t>participating Universities</w:t>
      </w:r>
      <w:r w:rsidR="00F606D0">
        <w:rPr>
          <w:rFonts w:ascii="Calibri" w:eastAsia="Calibri" w:hAnsi="Calibri" w:cs="Calibri"/>
          <w:bCs/>
          <w:color w:val="auto"/>
          <w:sz w:val="22"/>
          <w:szCs w:val="22"/>
        </w:rPr>
        <w:t xml:space="preserve"> were assessed</w:t>
      </w:r>
      <w:r w:rsidR="00FA42DB" w:rsidRPr="002E1A3F">
        <w:rPr>
          <w:rFonts w:ascii="Calibri" w:eastAsia="Calibri" w:hAnsi="Calibri" w:cs="Calibri"/>
          <w:bCs/>
          <w:color w:val="auto"/>
          <w:sz w:val="22"/>
          <w:szCs w:val="22"/>
        </w:rPr>
        <w:t xml:space="preserve">: </w:t>
      </w:r>
      <w:r w:rsidR="00FA42DB" w:rsidRPr="002E1A3F">
        <w:rPr>
          <w:rFonts w:ascii="Calibri" w:eastAsia="Calibri" w:hAnsi="Calibri" w:cs="Calibri"/>
          <w:b/>
          <w:bCs/>
          <w:color w:val="auto"/>
          <w:sz w:val="22"/>
          <w:szCs w:val="22"/>
        </w:rPr>
        <w:t>Benin</w:t>
      </w:r>
      <w:r w:rsidR="00FA42DB" w:rsidRPr="002E1A3F">
        <w:rPr>
          <w:rFonts w:ascii="Calibri" w:eastAsia="Calibri" w:hAnsi="Calibri" w:cs="Calibri"/>
          <w:bCs/>
          <w:color w:val="auto"/>
          <w:sz w:val="22"/>
          <w:szCs w:val="22"/>
        </w:rPr>
        <w:t xml:space="preserve">: </w:t>
      </w:r>
      <w:r w:rsidR="00FA42DB" w:rsidRPr="00DA01D5">
        <w:rPr>
          <w:rFonts w:ascii="Calibri" w:eastAsia="Calibri" w:hAnsi="Calibri" w:cs="Calibri"/>
          <w:bCs/>
          <w:color w:val="auto"/>
          <w:sz w:val="22"/>
          <w:szCs w:val="22"/>
        </w:rPr>
        <w:t>University of Abomey Calavi</w:t>
      </w:r>
      <w:r w:rsidR="00FA42DB" w:rsidRPr="002E1A3F">
        <w:rPr>
          <w:rFonts w:ascii="Calibri" w:eastAsia="Calibri" w:hAnsi="Calibri" w:cs="Calibri"/>
          <w:bCs/>
          <w:i/>
          <w:color w:val="auto"/>
          <w:sz w:val="22"/>
          <w:szCs w:val="22"/>
        </w:rPr>
        <w:t xml:space="preserve"> (</w:t>
      </w:r>
      <w:r w:rsidR="002064A1" w:rsidRPr="002E1A3F">
        <w:rPr>
          <w:rFonts w:ascii="Calibri" w:eastAsia="Calibri" w:hAnsi="Calibri" w:cs="Calibri"/>
          <w:bCs/>
          <w:i/>
          <w:color w:val="auto"/>
          <w:sz w:val="22"/>
          <w:szCs w:val="22"/>
        </w:rPr>
        <w:t xml:space="preserve">Université </w:t>
      </w:r>
      <w:r w:rsidR="002064A1">
        <w:rPr>
          <w:rFonts w:ascii="Calibri" w:eastAsia="Calibri" w:hAnsi="Calibri" w:cs="Calibri"/>
          <w:bCs/>
          <w:i/>
          <w:color w:val="auto"/>
          <w:sz w:val="22"/>
          <w:szCs w:val="22"/>
        </w:rPr>
        <w:t xml:space="preserve">d’Abomey Calavi, </w:t>
      </w:r>
      <w:r w:rsidR="00FA42DB" w:rsidRPr="002E1A3F">
        <w:rPr>
          <w:rFonts w:ascii="Calibri" w:eastAsia="Calibri" w:hAnsi="Calibri" w:cs="Calibri"/>
          <w:bCs/>
          <w:i/>
          <w:color w:val="auto"/>
          <w:sz w:val="22"/>
          <w:szCs w:val="22"/>
        </w:rPr>
        <w:t>UAC)</w:t>
      </w:r>
      <w:r w:rsidR="00FA42DB" w:rsidRPr="002E1A3F">
        <w:rPr>
          <w:rFonts w:ascii="Calibri" w:eastAsia="Calibri" w:hAnsi="Calibri" w:cs="Calibri"/>
          <w:bCs/>
          <w:color w:val="auto"/>
          <w:sz w:val="22"/>
          <w:szCs w:val="22"/>
        </w:rPr>
        <w:t xml:space="preserve">; </w:t>
      </w:r>
      <w:r w:rsidR="00FA42DB" w:rsidRPr="002E1A3F">
        <w:rPr>
          <w:rFonts w:ascii="Calibri" w:eastAsia="Calibri" w:hAnsi="Calibri" w:cs="Calibri"/>
          <w:b/>
          <w:bCs/>
          <w:color w:val="auto"/>
          <w:sz w:val="22"/>
          <w:szCs w:val="22"/>
        </w:rPr>
        <w:t>Niger</w:t>
      </w:r>
      <w:r w:rsidR="00FA42DB" w:rsidRPr="002E1A3F">
        <w:rPr>
          <w:rFonts w:ascii="Calibri" w:eastAsia="Calibri" w:hAnsi="Calibri" w:cs="Calibri"/>
          <w:bCs/>
          <w:color w:val="auto"/>
          <w:sz w:val="22"/>
          <w:szCs w:val="22"/>
        </w:rPr>
        <w:t xml:space="preserve">: </w:t>
      </w:r>
      <w:r w:rsidR="001F600B" w:rsidRPr="00A13494">
        <w:rPr>
          <w:rFonts w:ascii="Calibri" w:eastAsia="Calibri" w:hAnsi="Calibri" w:cs="Calibri"/>
          <w:bCs/>
          <w:color w:val="auto"/>
          <w:sz w:val="22"/>
          <w:szCs w:val="22"/>
        </w:rPr>
        <w:t>Abdou Moumouni University</w:t>
      </w:r>
      <w:r w:rsidR="001F600B" w:rsidRPr="00DA01D5">
        <w:rPr>
          <w:rFonts w:ascii="Calibri" w:eastAsia="Calibri" w:hAnsi="Calibri" w:cs="Calibri"/>
          <w:bCs/>
          <w:i/>
          <w:color w:val="auto"/>
          <w:sz w:val="22"/>
          <w:szCs w:val="22"/>
        </w:rPr>
        <w:t xml:space="preserve"> (</w:t>
      </w:r>
      <w:r w:rsidR="00FA42DB" w:rsidRPr="002E1A3F">
        <w:rPr>
          <w:rFonts w:ascii="Calibri" w:eastAsia="Calibri" w:hAnsi="Calibri" w:cs="Calibri"/>
          <w:bCs/>
          <w:i/>
          <w:color w:val="auto"/>
          <w:sz w:val="22"/>
          <w:szCs w:val="22"/>
        </w:rPr>
        <w:t>Université Abdou Moumouni</w:t>
      </w:r>
      <w:r w:rsidR="00421C88">
        <w:rPr>
          <w:rFonts w:ascii="Calibri" w:eastAsia="Calibri" w:hAnsi="Calibri" w:cs="Calibri"/>
          <w:bCs/>
          <w:i/>
          <w:color w:val="auto"/>
          <w:sz w:val="22"/>
          <w:szCs w:val="22"/>
        </w:rPr>
        <w:t xml:space="preserve">, </w:t>
      </w:r>
      <w:r w:rsidR="00FA42DB" w:rsidRPr="002E1A3F">
        <w:rPr>
          <w:rFonts w:ascii="Calibri" w:eastAsia="Calibri" w:hAnsi="Calibri" w:cs="Calibri"/>
          <w:bCs/>
          <w:color w:val="auto"/>
          <w:sz w:val="22"/>
          <w:szCs w:val="22"/>
        </w:rPr>
        <w:t xml:space="preserve">UAM) </w:t>
      </w:r>
      <w:r w:rsidR="00FA42DB" w:rsidRPr="00DA01D5">
        <w:rPr>
          <w:rFonts w:ascii="Calibri" w:eastAsia="Calibri" w:hAnsi="Calibri" w:cs="Calibri"/>
          <w:bCs/>
          <w:color w:val="auto"/>
          <w:sz w:val="22"/>
          <w:szCs w:val="22"/>
        </w:rPr>
        <w:t xml:space="preserve">and </w:t>
      </w:r>
      <w:r w:rsidR="004D1D42" w:rsidRPr="00DA01D5">
        <w:rPr>
          <w:rFonts w:asciiTheme="minorHAnsi" w:eastAsiaTheme="minorHAnsi" w:hAnsiTheme="minorHAnsi" w:cstheme="minorBidi"/>
          <w:color w:val="auto"/>
          <w:sz w:val="22"/>
          <w:szCs w:val="22"/>
        </w:rPr>
        <w:t>School of Mines, Industry and Geology (</w:t>
      </w:r>
      <w:r w:rsidR="00FA42DB" w:rsidRPr="002E1A3F">
        <w:rPr>
          <w:rFonts w:ascii="Calibri" w:eastAsia="Calibri" w:hAnsi="Calibri" w:cs="Calibri"/>
          <w:bCs/>
          <w:i/>
          <w:color w:val="auto"/>
          <w:sz w:val="22"/>
          <w:szCs w:val="22"/>
        </w:rPr>
        <w:t>l’Ecole des Mines, de l’Industrie et de la Géologie</w:t>
      </w:r>
      <w:r w:rsidR="004D1D42">
        <w:rPr>
          <w:rFonts w:ascii="Calibri" w:eastAsia="Calibri" w:hAnsi="Calibri" w:cs="Calibri"/>
          <w:bCs/>
          <w:i/>
          <w:color w:val="auto"/>
          <w:sz w:val="22"/>
          <w:szCs w:val="22"/>
        </w:rPr>
        <w:t>,</w:t>
      </w:r>
      <w:r w:rsidR="00FA42DB" w:rsidRPr="002E1A3F">
        <w:rPr>
          <w:rFonts w:ascii="Calibri" w:eastAsia="Calibri" w:hAnsi="Calibri" w:cs="Calibri"/>
          <w:bCs/>
          <w:i/>
          <w:color w:val="auto"/>
          <w:sz w:val="22"/>
          <w:szCs w:val="22"/>
        </w:rPr>
        <w:t xml:space="preserve"> </w:t>
      </w:r>
      <w:r w:rsidR="00FA42DB" w:rsidRPr="002E1A3F">
        <w:rPr>
          <w:rFonts w:ascii="Calibri" w:eastAsia="Calibri" w:hAnsi="Calibri" w:cs="Calibri"/>
          <w:bCs/>
          <w:color w:val="auto"/>
          <w:sz w:val="22"/>
          <w:szCs w:val="22"/>
        </w:rPr>
        <w:t xml:space="preserve">EMIG); </w:t>
      </w:r>
      <w:r w:rsidR="00FA42DB" w:rsidRPr="002E1A3F">
        <w:rPr>
          <w:rFonts w:ascii="Calibri" w:eastAsia="Calibri" w:hAnsi="Calibri" w:cs="Calibri"/>
          <w:b/>
          <w:bCs/>
          <w:color w:val="auto"/>
          <w:sz w:val="22"/>
          <w:szCs w:val="22"/>
        </w:rPr>
        <w:t>The Gambia</w:t>
      </w:r>
      <w:r w:rsidR="00FA42DB" w:rsidRPr="002E1A3F">
        <w:rPr>
          <w:rFonts w:ascii="Calibri" w:eastAsia="Calibri" w:hAnsi="Calibri" w:cs="Calibri"/>
          <w:bCs/>
          <w:color w:val="auto"/>
          <w:sz w:val="22"/>
          <w:szCs w:val="22"/>
        </w:rPr>
        <w:t xml:space="preserve">: </w:t>
      </w:r>
      <w:r w:rsidR="00FA42DB" w:rsidRPr="002E1A3F">
        <w:rPr>
          <w:rFonts w:ascii="Calibri" w:eastAsia="Calibri" w:hAnsi="Calibri" w:cs="Calibri"/>
          <w:bCs/>
          <w:i/>
          <w:color w:val="auto"/>
          <w:sz w:val="22"/>
          <w:szCs w:val="22"/>
        </w:rPr>
        <w:t>Gambia Technical Training Institute</w:t>
      </w:r>
      <w:r w:rsidR="00FA42DB" w:rsidRPr="002E1A3F">
        <w:rPr>
          <w:rFonts w:ascii="Calibri" w:eastAsia="Calibri" w:hAnsi="Calibri" w:cs="Calibri"/>
          <w:bCs/>
          <w:color w:val="auto"/>
          <w:sz w:val="22"/>
          <w:szCs w:val="22"/>
        </w:rPr>
        <w:t xml:space="preserve"> (GTTI); and </w:t>
      </w:r>
      <w:r w:rsidR="00FA42DB" w:rsidRPr="002E1A3F">
        <w:rPr>
          <w:rFonts w:ascii="Calibri" w:eastAsia="Calibri" w:hAnsi="Calibri" w:cs="Calibri"/>
          <w:b/>
          <w:bCs/>
          <w:color w:val="auto"/>
          <w:sz w:val="22"/>
          <w:szCs w:val="22"/>
        </w:rPr>
        <w:t>Togo</w:t>
      </w:r>
      <w:r w:rsidR="00FA42DB" w:rsidRPr="002E1A3F">
        <w:rPr>
          <w:rFonts w:ascii="Calibri" w:eastAsia="Calibri" w:hAnsi="Calibri" w:cs="Calibri"/>
          <w:bCs/>
          <w:color w:val="auto"/>
          <w:sz w:val="22"/>
          <w:szCs w:val="22"/>
        </w:rPr>
        <w:t xml:space="preserve">: </w:t>
      </w:r>
      <w:r w:rsidR="00FA42DB" w:rsidRPr="002E1A3F">
        <w:rPr>
          <w:rFonts w:ascii="Calibri" w:eastAsia="Calibri" w:hAnsi="Calibri" w:cs="Calibri"/>
          <w:bCs/>
          <w:i/>
          <w:color w:val="auto"/>
          <w:sz w:val="22"/>
          <w:szCs w:val="22"/>
        </w:rPr>
        <w:t>University of Lomé</w:t>
      </w:r>
      <w:r w:rsidR="00940863">
        <w:rPr>
          <w:rFonts w:ascii="Calibri" w:eastAsia="Calibri" w:hAnsi="Calibri" w:cs="Calibri"/>
          <w:bCs/>
          <w:i/>
          <w:color w:val="auto"/>
          <w:sz w:val="22"/>
          <w:szCs w:val="22"/>
        </w:rPr>
        <w:t xml:space="preserve"> </w:t>
      </w:r>
      <w:r w:rsidR="00940863" w:rsidRPr="002E1A3F">
        <w:rPr>
          <w:rFonts w:ascii="Calibri" w:eastAsia="Calibri" w:hAnsi="Calibri" w:cs="Calibri"/>
          <w:bCs/>
          <w:color w:val="auto"/>
          <w:sz w:val="22"/>
          <w:szCs w:val="22"/>
        </w:rPr>
        <w:t>(</w:t>
      </w:r>
      <w:r w:rsidR="006F45D7" w:rsidRPr="002E1A3F">
        <w:rPr>
          <w:rFonts w:ascii="Calibri" w:eastAsia="Calibri" w:hAnsi="Calibri" w:cs="Calibri"/>
          <w:bCs/>
          <w:i/>
          <w:color w:val="auto"/>
          <w:sz w:val="22"/>
          <w:szCs w:val="22"/>
        </w:rPr>
        <w:t>Universit</w:t>
      </w:r>
      <w:r w:rsidR="006F45D7">
        <w:rPr>
          <w:rFonts w:ascii="Calibri" w:eastAsia="Calibri" w:hAnsi="Calibri" w:cs="Calibri"/>
          <w:bCs/>
          <w:i/>
          <w:color w:val="auto"/>
          <w:sz w:val="22"/>
          <w:szCs w:val="22"/>
        </w:rPr>
        <w:t xml:space="preserve">é de </w:t>
      </w:r>
      <w:r w:rsidR="006F45D7" w:rsidRPr="002E1A3F">
        <w:rPr>
          <w:rFonts w:ascii="Calibri" w:eastAsia="Calibri" w:hAnsi="Calibri" w:cs="Calibri"/>
          <w:bCs/>
          <w:i/>
          <w:color w:val="auto"/>
          <w:sz w:val="22"/>
          <w:szCs w:val="22"/>
        </w:rPr>
        <w:t>Lomé</w:t>
      </w:r>
      <w:r w:rsidR="006F45D7">
        <w:rPr>
          <w:rFonts w:ascii="Calibri" w:eastAsia="Calibri" w:hAnsi="Calibri" w:cs="Calibri"/>
          <w:bCs/>
          <w:i/>
          <w:color w:val="auto"/>
          <w:sz w:val="22"/>
          <w:szCs w:val="22"/>
        </w:rPr>
        <w:t xml:space="preserve">, </w:t>
      </w:r>
      <w:r w:rsidR="00940863" w:rsidRPr="002E1A3F">
        <w:rPr>
          <w:rFonts w:ascii="Calibri" w:eastAsia="Calibri" w:hAnsi="Calibri" w:cs="Calibri"/>
          <w:bCs/>
          <w:color w:val="auto"/>
          <w:sz w:val="22"/>
          <w:szCs w:val="22"/>
        </w:rPr>
        <w:t>UL)</w:t>
      </w:r>
      <w:r w:rsidR="00FA42DB" w:rsidRPr="002E1A3F">
        <w:rPr>
          <w:rFonts w:ascii="Calibri" w:eastAsia="Calibri" w:hAnsi="Calibri" w:cs="Calibri"/>
          <w:bCs/>
          <w:color w:val="auto"/>
          <w:sz w:val="22"/>
          <w:szCs w:val="22"/>
        </w:rPr>
        <w:t xml:space="preserve">; and </w:t>
      </w:r>
      <w:r w:rsidR="00FA42DB" w:rsidRPr="002E1A3F">
        <w:rPr>
          <w:rFonts w:ascii="Calibri" w:eastAsia="Calibri" w:hAnsi="Calibri" w:cs="Calibri"/>
          <w:b/>
          <w:bCs/>
          <w:color w:val="auto"/>
          <w:sz w:val="22"/>
          <w:szCs w:val="22"/>
        </w:rPr>
        <w:t>Nigeria</w:t>
      </w:r>
      <w:r w:rsidR="00FA42DB" w:rsidRPr="002E1A3F">
        <w:rPr>
          <w:rFonts w:ascii="Calibri" w:eastAsia="Calibri" w:hAnsi="Calibri" w:cs="Calibri"/>
          <w:bCs/>
          <w:color w:val="auto"/>
          <w:sz w:val="22"/>
          <w:szCs w:val="22"/>
        </w:rPr>
        <w:t>:</w:t>
      </w:r>
      <w:r w:rsidR="00FA42DB" w:rsidRPr="002E1A3F">
        <w:rPr>
          <w:rFonts w:ascii="Calibri" w:eastAsia="Calibri" w:hAnsi="Calibri" w:cs="Times New Roman"/>
          <w:color w:val="auto"/>
          <w:sz w:val="22"/>
          <w:szCs w:val="22"/>
        </w:rPr>
        <w:t xml:space="preserve"> </w:t>
      </w:r>
      <w:r w:rsidR="00FA42DB" w:rsidRPr="002E1A3F">
        <w:rPr>
          <w:rFonts w:ascii="Calibri" w:eastAsia="Calibri" w:hAnsi="Calibri" w:cs="Calibri"/>
          <w:bCs/>
          <w:i/>
          <w:color w:val="auto"/>
          <w:sz w:val="22"/>
          <w:szCs w:val="22"/>
        </w:rPr>
        <w:t>Redeemer's University</w:t>
      </w:r>
      <w:r w:rsidR="00FA42DB" w:rsidRPr="002E1A3F">
        <w:rPr>
          <w:rFonts w:ascii="Calibri" w:eastAsia="Calibri" w:hAnsi="Calibri" w:cs="Calibri"/>
          <w:bCs/>
          <w:color w:val="auto"/>
          <w:sz w:val="22"/>
          <w:szCs w:val="22"/>
        </w:rPr>
        <w:t xml:space="preserve"> (RU), </w:t>
      </w:r>
      <w:r w:rsidR="00FA42DB" w:rsidRPr="002E1A3F">
        <w:rPr>
          <w:rFonts w:ascii="Calibri" w:eastAsia="Calibri" w:hAnsi="Calibri" w:cs="Calibri"/>
          <w:bCs/>
          <w:i/>
          <w:color w:val="auto"/>
          <w:sz w:val="22"/>
          <w:szCs w:val="22"/>
        </w:rPr>
        <w:t>Ahmadu Bello University</w:t>
      </w:r>
      <w:r w:rsidR="00FA42DB" w:rsidRPr="002E1A3F">
        <w:rPr>
          <w:rFonts w:ascii="Calibri" w:eastAsia="Calibri" w:hAnsi="Calibri" w:cs="Calibri"/>
          <w:bCs/>
          <w:color w:val="auto"/>
          <w:sz w:val="22"/>
          <w:szCs w:val="22"/>
        </w:rPr>
        <w:t xml:space="preserve"> (ABU), </w:t>
      </w:r>
      <w:r w:rsidR="00FA42DB" w:rsidRPr="002E1A3F">
        <w:rPr>
          <w:rFonts w:ascii="Calibri" w:eastAsia="Calibri" w:hAnsi="Calibri" w:cs="Calibri"/>
          <w:bCs/>
          <w:i/>
          <w:color w:val="auto"/>
          <w:sz w:val="22"/>
          <w:szCs w:val="22"/>
        </w:rPr>
        <w:t>University of Benin</w:t>
      </w:r>
      <w:r w:rsidR="007B0E25">
        <w:rPr>
          <w:rFonts w:ascii="Calibri" w:eastAsia="Calibri" w:hAnsi="Calibri" w:cs="Calibri"/>
          <w:bCs/>
          <w:i/>
          <w:color w:val="auto"/>
          <w:sz w:val="22"/>
          <w:szCs w:val="22"/>
        </w:rPr>
        <w:t xml:space="preserve">, </w:t>
      </w:r>
      <w:r w:rsidR="007B0E25">
        <w:rPr>
          <w:rFonts w:ascii="Calibri" w:eastAsia="Calibri" w:hAnsi="Calibri" w:cs="Calibri"/>
          <w:bCs/>
          <w:color w:val="auto"/>
          <w:sz w:val="22"/>
          <w:szCs w:val="22"/>
        </w:rPr>
        <w:t>Nigeria</w:t>
      </w:r>
      <w:r w:rsidR="00FA42DB" w:rsidRPr="002E1A3F">
        <w:rPr>
          <w:rFonts w:ascii="Calibri" w:eastAsia="Calibri" w:hAnsi="Calibri" w:cs="Calibri"/>
          <w:bCs/>
          <w:color w:val="auto"/>
          <w:sz w:val="22"/>
          <w:szCs w:val="22"/>
        </w:rPr>
        <w:t xml:space="preserve"> (UniBen), </w:t>
      </w:r>
      <w:r w:rsidR="00FA42DB" w:rsidRPr="002E1A3F">
        <w:rPr>
          <w:rFonts w:ascii="Calibri" w:eastAsia="Calibri" w:hAnsi="Calibri" w:cs="Calibri"/>
          <w:bCs/>
          <w:i/>
          <w:color w:val="auto"/>
          <w:sz w:val="22"/>
          <w:szCs w:val="22"/>
        </w:rPr>
        <w:t>Bayero University</w:t>
      </w:r>
      <w:r w:rsidR="00970C07">
        <w:rPr>
          <w:rFonts w:ascii="Calibri" w:eastAsia="Calibri" w:hAnsi="Calibri" w:cs="Calibri"/>
          <w:bCs/>
          <w:i/>
          <w:color w:val="auto"/>
          <w:sz w:val="22"/>
          <w:szCs w:val="22"/>
        </w:rPr>
        <w:t xml:space="preserve">, </w:t>
      </w:r>
      <w:r w:rsidR="00FA42DB" w:rsidRPr="002E1A3F">
        <w:rPr>
          <w:rFonts w:ascii="Calibri" w:eastAsia="Calibri" w:hAnsi="Calibri" w:cs="Calibri"/>
          <w:bCs/>
          <w:i/>
          <w:color w:val="auto"/>
          <w:sz w:val="22"/>
          <w:szCs w:val="22"/>
        </w:rPr>
        <w:t>Kano</w:t>
      </w:r>
      <w:r w:rsidR="00FA42DB" w:rsidRPr="002E1A3F">
        <w:rPr>
          <w:rFonts w:ascii="Calibri" w:eastAsia="Calibri" w:hAnsi="Calibri" w:cs="Calibri"/>
          <w:bCs/>
          <w:color w:val="auto"/>
          <w:sz w:val="22"/>
          <w:szCs w:val="22"/>
        </w:rPr>
        <w:t xml:space="preserve"> (BUK), </w:t>
      </w:r>
      <w:r w:rsidR="00FA42DB" w:rsidRPr="002E1A3F">
        <w:rPr>
          <w:rFonts w:ascii="Calibri" w:eastAsia="Calibri" w:hAnsi="Calibri" w:cs="Calibri"/>
          <w:bCs/>
          <w:i/>
          <w:color w:val="auto"/>
          <w:sz w:val="22"/>
          <w:szCs w:val="22"/>
        </w:rPr>
        <w:t>Benue State University</w:t>
      </w:r>
      <w:r w:rsidR="00970C07">
        <w:rPr>
          <w:rFonts w:ascii="Calibri" w:eastAsia="Calibri" w:hAnsi="Calibri" w:cs="Calibri"/>
          <w:bCs/>
          <w:i/>
          <w:color w:val="auto"/>
          <w:sz w:val="22"/>
          <w:szCs w:val="22"/>
        </w:rPr>
        <w:t>, Nigeria</w:t>
      </w:r>
      <w:r w:rsidR="00FA42DB" w:rsidRPr="002E1A3F">
        <w:rPr>
          <w:rFonts w:ascii="Calibri" w:eastAsia="Calibri" w:hAnsi="Calibri" w:cs="Calibri"/>
          <w:bCs/>
          <w:color w:val="auto"/>
          <w:sz w:val="22"/>
          <w:szCs w:val="22"/>
        </w:rPr>
        <w:t xml:space="preserve"> (BSU), </w:t>
      </w:r>
      <w:r w:rsidR="00FA42DB" w:rsidRPr="002E1A3F">
        <w:rPr>
          <w:rFonts w:ascii="Calibri" w:eastAsia="Calibri" w:hAnsi="Calibri" w:cs="Calibri"/>
          <w:bCs/>
          <w:i/>
          <w:color w:val="auto"/>
          <w:sz w:val="22"/>
          <w:szCs w:val="22"/>
        </w:rPr>
        <w:t>Obafemi Awolowo University</w:t>
      </w:r>
      <w:r w:rsidR="00FA42DB" w:rsidRPr="002E1A3F">
        <w:rPr>
          <w:rFonts w:ascii="Calibri" w:eastAsia="Calibri" w:hAnsi="Calibri" w:cs="Calibri"/>
          <w:bCs/>
          <w:color w:val="auto"/>
          <w:sz w:val="22"/>
          <w:szCs w:val="22"/>
        </w:rPr>
        <w:t xml:space="preserve"> (OAU), </w:t>
      </w:r>
      <w:r w:rsidR="00FA42DB" w:rsidRPr="002E1A3F">
        <w:rPr>
          <w:rFonts w:ascii="Calibri" w:eastAsia="Calibri" w:hAnsi="Calibri" w:cs="Calibri"/>
          <w:bCs/>
          <w:i/>
          <w:color w:val="auto"/>
          <w:sz w:val="22"/>
          <w:szCs w:val="22"/>
        </w:rPr>
        <w:t>University of Port Harcourt</w:t>
      </w:r>
      <w:r w:rsidR="007B0E25">
        <w:rPr>
          <w:rFonts w:ascii="Calibri" w:eastAsia="Calibri" w:hAnsi="Calibri" w:cs="Calibri"/>
          <w:bCs/>
          <w:i/>
          <w:color w:val="auto"/>
          <w:sz w:val="22"/>
          <w:szCs w:val="22"/>
        </w:rPr>
        <w:t>, Nigeria</w:t>
      </w:r>
      <w:r w:rsidR="00FA42DB" w:rsidRPr="002E1A3F">
        <w:rPr>
          <w:rFonts w:ascii="Calibri" w:eastAsia="Calibri" w:hAnsi="Calibri" w:cs="Calibri"/>
          <w:bCs/>
          <w:color w:val="auto"/>
          <w:sz w:val="22"/>
          <w:szCs w:val="22"/>
        </w:rPr>
        <w:t xml:space="preserve"> (UniPort), </w:t>
      </w:r>
      <w:r w:rsidR="00FA42DB" w:rsidRPr="002E1A3F">
        <w:rPr>
          <w:rFonts w:ascii="Calibri" w:eastAsia="Calibri" w:hAnsi="Calibri" w:cs="Calibri"/>
          <w:bCs/>
          <w:i/>
          <w:color w:val="auto"/>
          <w:sz w:val="22"/>
          <w:szCs w:val="22"/>
        </w:rPr>
        <w:t>Covenant University</w:t>
      </w:r>
      <w:r w:rsidR="00FA42DB" w:rsidRPr="002E1A3F">
        <w:rPr>
          <w:rFonts w:ascii="Calibri" w:eastAsia="Calibri" w:hAnsi="Calibri" w:cs="Calibri"/>
          <w:bCs/>
          <w:color w:val="auto"/>
          <w:sz w:val="22"/>
          <w:szCs w:val="22"/>
        </w:rPr>
        <w:t xml:space="preserve"> (CU), </w:t>
      </w:r>
      <w:r w:rsidR="00FA42DB" w:rsidRPr="002E1A3F">
        <w:rPr>
          <w:rFonts w:ascii="Calibri" w:eastAsia="Calibri" w:hAnsi="Calibri" w:cs="Calibri"/>
          <w:bCs/>
          <w:i/>
          <w:color w:val="auto"/>
          <w:sz w:val="22"/>
          <w:szCs w:val="22"/>
        </w:rPr>
        <w:t>National Open University of Nigeria</w:t>
      </w:r>
      <w:r w:rsidR="00FA42DB" w:rsidRPr="002E1A3F">
        <w:rPr>
          <w:rFonts w:ascii="Calibri" w:eastAsia="Calibri" w:hAnsi="Calibri" w:cs="Calibri"/>
          <w:bCs/>
          <w:color w:val="auto"/>
          <w:sz w:val="22"/>
          <w:szCs w:val="22"/>
        </w:rPr>
        <w:t xml:space="preserve"> (NOUN), </w:t>
      </w:r>
      <w:r w:rsidR="00FA42DB" w:rsidRPr="002E1A3F">
        <w:rPr>
          <w:rFonts w:ascii="Calibri" w:eastAsia="Calibri" w:hAnsi="Calibri" w:cs="Calibri"/>
          <w:bCs/>
          <w:i/>
          <w:color w:val="auto"/>
          <w:sz w:val="22"/>
          <w:szCs w:val="22"/>
        </w:rPr>
        <w:t>Lagos State University</w:t>
      </w:r>
      <w:r w:rsidR="00FA42DB" w:rsidRPr="002E1A3F">
        <w:rPr>
          <w:rFonts w:ascii="Calibri" w:eastAsia="Calibri" w:hAnsi="Calibri" w:cs="Calibri"/>
          <w:bCs/>
          <w:color w:val="auto"/>
          <w:sz w:val="22"/>
          <w:szCs w:val="22"/>
        </w:rPr>
        <w:t xml:space="preserve"> (LSU), </w:t>
      </w:r>
      <w:r w:rsidR="00FA42DB" w:rsidRPr="002E1A3F">
        <w:rPr>
          <w:rFonts w:ascii="Calibri" w:eastAsia="Calibri" w:hAnsi="Calibri" w:cs="Calibri"/>
          <w:bCs/>
          <w:i/>
          <w:color w:val="auto"/>
          <w:sz w:val="22"/>
          <w:szCs w:val="22"/>
        </w:rPr>
        <w:t>Federal University of Technology</w:t>
      </w:r>
      <w:r w:rsidR="00864D46">
        <w:rPr>
          <w:rFonts w:ascii="Calibri" w:eastAsia="Calibri" w:hAnsi="Calibri" w:cs="Calibri"/>
          <w:bCs/>
          <w:i/>
          <w:color w:val="auto"/>
          <w:sz w:val="22"/>
          <w:szCs w:val="22"/>
        </w:rPr>
        <w:t>,</w:t>
      </w:r>
      <w:r w:rsidR="00FA42DB" w:rsidRPr="002E1A3F">
        <w:rPr>
          <w:rFonts w:ascii="Calibri" w:eastAsia="Calibri" w:hAnsi="Calibri" w:cs="Calibri"/>
          <w:bCs/>
          <w:i/>
          <w:color w:val="auto"/>
          <w:sz w:val="22"/>
          <w:szCs w:val="22"/>
        </w:rPr>
        <w:t xml:space="preserve"> Minna</w:t>
      </w:r>
      <w:r w:rsidR="00864D46">
        <w:rPr>
          <w:rFonts w:ascii="Calibri" w:eastAsia="Calibri" w:hAnsi="Calibri" w:cs="Calibri"/>
          <w:bCs/>
          <w:i/>
          <w:color w:val="auto"/>
          <w:sz w:val="22"/>
          <w:szCs w:val="22"/>
        </w:rPr>
        <w:t>, Nigeria</w:t>
      </w:r>
      <w:r w:rsidR="00FA42DB" w:rsidRPr="002E1A3F">
        <w:rPr>
          <w:rFonts w:ascii="Calibri" w:eastAsia="Calibri" w:hAnsi="Calibri" w:cs="Calibri"/>
          <w:bCs/>
          <w:color w:val="auto"/>
          <w:sz w:val="22"/>
          <w:szCs w:val="22"/>
        </w:rPr>
        <w:t xml:space="preserve"> (FUTM</w:t>
      </w:r>
      <w:r w:rsidR="00273255">
        <w:rPr>
          <w:rFonts w:ascii="Calibri" w:eastAsia="Calibri" w:hAnsi="Calibri" w:cs="Calibri"/>
          <w:bCs/>
          <w:color w:val="auto"/>
          <w:sz w:val="22"/>
          <w:szCs w:val="22"/>
        </w:rPr>
        <w:t>IN</w:t>
      </w:r>
      <w:r w:rsidR="00FA42DB" w:rsidRPr="002E1A3F">
        <w:rPr>
          <w:rFonts w:ascii="Calibri" w:eastAsia="Calibri" w:hAnsi="Calibri" w:cs="Calibri"/>
          <w:bCs/>
          <w:color w:val="auto"/>
          <w:sz w:val="22"/>
          <w:szCs w:val="22"/>
        </w:rPr>
        <w:t xml:space="preserve">), </w:t>
      </w:r>
      <w:r w:rsidR="00FA42DB" w:rsidRPr="002E1A3F">
        <w:rPr>
          <w:rFonts w:ascii="Calibri" w:eastAsia="Calibri" w:hAnsi="Calibri" w:cs="Calibri"/>
          <w:bCs/>
          <w:i/>
          <w:color w:val="auto"/>
          <w:sz w:val="22"/>
          <w:szCs w:val="22"/>
        </w:rPr>
        <w:t>University of Lagos</w:t>
      </w:r>
      <w:r w:rsidR="007B0E25">
        <w:rPr>
          <w:rFonts w:ascii="Calibri" w:eastAsia="Calibri" w:hAnsi="Calibri" w:cs="Calibri"/>
          <w:bCs/>
          <w:i/>
          <w:color w:val="auto"/>
          <w:sz w:val="22"/>
          <w:szCs w:val="22"/>
        </w:rPr>
        <w:t xml:space="preserve"> Nigeria</w:t>
      </w:r>
      <w:r w:rsidR="00FA42DB" w:rsidRPr="002E1A3F">
        <w:rPr>
          <w:rFonts w:ascii="Calibri" w:eastAsia="Calibri" w:hAnsi="Calibri" w:cs="Calibri"/>
          <w:bCs/>
          <w:color w:val="auto"/>
          <w:sz w:val="22"/>
          <w:szCs w:val="22"/>
        </w:rPr>
        <w:t xml:space="preserve"> (UniLag), </w:t>
      </w:r>
      <w:r w:rsidR="00FA42DB" w:rsidRPr="002E1A3F">
        <w:rPr>
          <w:rFonts w:ascii="Calibri" w:eastAsia="Calibri" w:hAnsi="Calibri" w:cs="Calibri"/>
          <w:bCs/>
          <w:i/>
          <w:color w:val="auto"/>
          <w:sz w:val="22"/>
          <w:szCs w:val="22"/>
        </w:rPr>
        <w:t>University of Nigeria-Nsukka</w:t>
      </w:r>
      <w:r w:rsidR="00FA42DB" w:rsidRPr="002E1A3F">
        <w:rPr>
          <w:rFonts w:ascii="Calibri" w:eastAsia="Calibri" w:hAnsi="Calibri" w:cs="Calibri"/>
          <w:bCs/>
          <w:color w:val="auto"/>
          <w:sz w:val="22"/>
          <w:szCs w:val="22"/>
        </w:rPr>
        <w:t xml:space="preserve"> (UN</w:t>
      </w:r>
      <w:r w:rsidR="009A5680">
        <w:rPr>
          <w:rFonts w:ascii="Calibri" w:eastAsia="Calibri" w:hAnsi="Calibri" w:cs="Calibri"/>
          <w:bCs/>
          <w:color w:val="auto"/>
          <w:sz w:val="22"/>
          <w:szCs w:val="22"/>
        </w:rPr>
        <w:t>N</w:t>
      </w:r>
      <w:r w:rsidR="00FA42DB" w:rsidRPr="002E1A3F">
        <w:rPr>
          <w:rFonts w:ascii="Calibri" w:eastAsia="Calibri" w:hAnsi="Calibri" w:cs="Calibri"/>
          <w:bCs/>
          <w:color w:val="auto"/>
          <w:sz w:val="22"/>
          <w:szCs w:val="22"/>
        </w:rPr>
        <w:t xml:space="preserve">), and </w:t>
      </w:r>
      <w:r w:rsidR="00FA42DB" w:rsidRPr="002E1A3F">
        <w:rPr>
          <w:rFonts w:ascii="Calibri" w:eastAsia="Calibri" w:hAnsi="Calibri" w:cs="Calibri"/>
          <w:bCs/>
          <w:i/>
          <w:color w:val="auto"/>
          <w:sz w:val="22"/>
          <w:szCs w:val="22"/>
        </w:rPr>
        <w:t>Federal University of Technology</w:t>
      </w:r>
      <w:r w:rsidR="00864D46">
        <w:rPr>
          <w:rFonts w:ascii="Calibri" w:eastAsia="Calibri" w:hAnsi="Calibri" w:cs="Calibri"/>
          <w:bCs/>
          <w:i/>
          <w:color w:val="auto"/>
          <w:sz w:val="22"/>
          <w:szCs w:val="22"/>
        </w:rPr>
        <w:t>,</w:t>
      </w:r>
      <w:r w:rsidR="00FA42DB" w:rsidRPr="002E1A3F">
        <w:rPr>
          <w:rFonts w:ascii="Calibri" w:eastAsia="Calibri" w:hAnsi="Calibri" w:cs="Calibri"/>
          <w:bCs/>
          <w:i/>
          <w:color w:val="auto"/>
          <w:sz w:val="22"/>
          <w:szCs w:val="22"/>
        </w:rPr>
        <w:t xml:space="preserve"> Owerri</w:t>
      </w:r>
      <w:r w:rsidR="00864D46">
        <w:rPr>
          <w:rFonts w:ascii="Calibri" w:eastAsia="Calibri" w:hAnsi="Calibri" w:cs="Calibri"/>
          <w:bCs/>
          <w:i/>
          <w:color w:val="auto"/>
          <w:sz w:val="22"/>
          <w:szCs w:val="22"/>
        </w:rPr>
        <w:t>, Nigeria</w:t>
      </w:r>
      <w:r w:rsidR="00FA42DB" w:rsidRPr="002E1A3F">
        <w:rPr>
          <w:rFonts w:ascii="Calibri" w:eastAsia="Calibri" w:hAnsi="Calibri" w:cs="Calibri"/>
          <w:bCs/>
          <w:color w:val="auto"/>
          <w:sz w:val="22"/>
          <w:szCs w:val="22"/>
        </w:rPr>
        <w:t xml:space="preserve"> (FUT</w:t>
      </w:r>
      <w:r w:rsidR="00273255">
        <w:rPr>
          <w:rFonts w:ascii="Calibri" w:eastAsia="Calibri" w:hAnsi="Calibri" w:cs="Calibri"/>
          <w:bCs/>
          <w:color w:val="auto"/>
          <w:sz w:val="22"/>
          <w:szCs w:val="22"/>
        </w:rPr>
        <w:t>O</w:t>
      </w:r>
      <w:r w:rsidR="00FA42DB" w:rsidRPr="002E1A3F">
        <w:rPr>
          <w:rFonts w:ascii="Calibri" w:eastAsia="Calibri" w:hAnsi="Calibri" w:cs="Calibri"/>
          <w:bCs/>
          <w:color w:val="auto"/>
          <w:sz w:val="22"/>
          <w:szCs w:val="22"/>
        </w:rPr>
        <w:t>).</w:t>
      </w:r>
    </w:p>
    <w:p w14:paraId="017E0233" w14:textId="77777777" w:rsidR="002E1A3F" w:rsidRPr="008E3C85"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color w:val="auto"/>
          <w:sz w:val="22"/>
          <w:szCs w:val="22"/>
        </w:rPr>
      </w:pPr>
      <w:r w:rsidRPr="008E3C85">
        <w:rPr>
          <w:rFonts w:ascii="Calibri" w:eastAsia="Calibri" w:hAnsi="Calibri" w:cs="Calibri"/>
          <w:b/>
          <w:color w:val="auto"/>
          <w:sz w:val="22"/>
          <w:szCs w:val="22"/>
        </w:rPr>
        <w:t>The objective of the assessments is to determine whether these entities have adequate FM arrangements</w:t>
      </w:r>
      <w:r w:rsidR="003E5D71" w:rsidRPr="008E3C85">
        <w:rPr>
          <w:rFonts w:ascii="Calibri" w:eastAsia="Calibri" w:hAnsi="Calibri" w:cs="Calibri"/>
          <w:b/>
          <w:color w:val="auto"/>
          <w:sz w:val="22"/>
          <w:szCs w:val="22"/>
        </w:rPr>
        <w:t xml:space="preserve"> in place</w:t>
      </w:r>
      <w:r w:rsidRPr="008E3C85">
        <w:rPr>
          <w:rFonts w:ascii="Calibri" w:eastAsia="Calibri" w:hAnsi="Calibri" w:cs="Calibri"/>
          <w:b/>
          <w:color w:val="auto"/>
          <w:sz w:val="22"/>
          <w:szCs w:val="22"/>
        </w:rPr>
        <w:t xml:space="preserve"> (including planning and budgeting, accounting, internal control, funds flow, financial reporting and auditing).</w:t>
      </w:r>
      <w:r w:rsidRPr="008E3C85">
        <w:rPr>
          <w:rFonts w:ascii="Calibri" w:eastAsia="Calibri" w:hAnsi="Calibri" w:cs="Calibri"/>
          <w:color w:val="auto"/>
          <w:sz w:val="22"/>
          <w:szCs w:val="22"/>
        </w:rPr>
        <w:t xml:space="preserve">  The FM arrangements are acceptable if </w:t>
      </w:r>
      <w:r w:rsidR="00E4648F" w:rsidRPr="008E3C85">
        <w:rPr>
          <w:rFonts w:ascii="Calibri" w:eastAsia="Calibri" w:hAnsi="Calibri" w:cs="Calibri"/>
          <w:color w:val="auto"/>
          <w:sz w:val="22"/>
          <w:szCs w:val="22"/>
        </w:rPr>
        <w:t xml:space="preserve">the centers </w:t>
      </w:r>
      <w:r w:rsidRPr="008E3C85">
        <w:rPr>
          <w:rFonts w:ascii="Calibri" w:eastAsia="Calibri" w:hAnsi="Calibri" w:cs="Calibri"/>
          <w:color w:val="auto"/>
          <w:sz w:val="22"/>
          <w:szCs w:val="22"/>
        </w:rPr>
        <w:t>are considered capable of</w:t>
      </w:r>
      <w:r w:rsidR="001B4693" w:rsidRPr="008E3C85">
        <w:rPr>
          <w:rFonts w:ascii="Calibri" w:eastAsia="Calibri" w:hAnsi="Calibri" w:cs="Calibri"/>
          <w:color w:val="auto"/>
          <w:sz w:val="22"/>
          <w:szCs w:val="22"/>
        </w:rPr>
        <w:t>:</w:t>
      </w:r>
      <w:r w:rsidRPr="008E3C85">
        <w:rPr>
          <w:rFonts w:ascii="Calibri" w:eastAsia="Calibri" w:hAnsi="Calibri" w:cs="Calibri"/>
          <w:color w:val="auto"/>
          <w:sz w:val="22"/>
          <w:szCs w:val="22"/>
        </w:rPr>
        <w:t xml:space="preserve"> (a) correctly recording all budgets, transactions and balances; (b) supporting the preparation of regular and reliable financial statements; (c) safeguarding the entity’s assets; and (d) reflecting auditing arrangements acceptable to the World Bank.</w:t>
      </w:r>
      <w:r w:rsidRPr="008E3C85">
        <w:rPr>
          <w:rFonts w:ascii="Calibri" w:eastAsia="Calibri" w:hAnsi="Calibri" w:cs="Times New Roman"/>
          <w:color w:val="auto"/>
          <w:sz w:val="22"/>
          <w:szCs w:val="22"/>
        </w:rPr>
        <w:t xml:space="preserve"> </w:t>
      </w:r>
      <w:r w:rsidRPr="008E3C85">
        <w:rPr>
          <w:rFonts w:ascii="Calibri" w:eastAsia="Calibri" w:hAnsi="Calibri" w:cs="Calibri"/>
          <w:color w:val="auto"/>
          <w:sz w:val="22"/>
          <w:szCs w:val="22"/>
        </w:rPr>
        <w:t xml:space="preserve">In this regard, a review of the FM arrangements </w:t>
      </w:r>
      <w:r w:rsidR="00E62C80" w:rsidRPr="008E3C85">
        <w:rPr>
          <w:rFonts w:ascii="Calibri" w:eastAsia="Calibri" w:hAnsi="Calibri" w:cs="Calibri"/>
          <w:color w:val="auto"/>
          <w:sz w:val="22"/>
          <w:szCs w:val="22"/>
        </w:rPr>
        <w:t>ha</w:t>
      </w:r>
      <w:r w:rsidR="00BB2BE8" w:rsidRPr="008E3C85">
        <w:rPr>
          <w:rFonts w:ascii="Calibri" w:eastAsia="Calibri" w:hAnsi="Calibri" w:cs="Calibri"/>
          <w:color w:val="auto"/>
          <w:sz w:val="22"/>
          <w:szCs w:val="22"/>
        </w:rPr>
        <w:t>s</w:t>
      </w:r>
      <w:r w:rsidR="00E62C80" w:rsidRPr="008E3C85">
        <w:rPr>
          <w:rFonts w:ascii="Calibri" w:eastAsia="Calibri" w:hAnsi="Calibri" w:cs="Calibri"/>
          <w:color w:val="auto"/>
          <w:sz w:val="22"/>
          <w:szCs w:val="22"/>
        </w:rPr>
        <w:t xml:space="preserve"> been </w:t>
      </w:r>
      <w:r w:rsidRPr="008E3C85">
        <w:rPr>
          <w:rFonts w:ascii="Calibri" w:eastAsia="Calibri" w:hAnsi="Calibri" w:cs="Calibri"/>
          <w:color w:val="auto"/>
          <w:sz w:val="22"/>
          <w:szCs w:val="22"/>
        </w:rPr>
        <w:t xml:space="preserve">completed </w:t>
      </w:r>
      <w:r w:rsidR="002F2651" w:rsidRPr="008E3C85">
        <w:rPr>
          <w:rFonts w:ascii="Calibri" w:eastAsia="Calibri" w:hAnsi="Calibri" w:cs="Calibri"/>
          <w:color w:val="auto"/>
          <w:sz w:val="22"/>
          <w:szCs w:val="22"/>
        </w:rPr>
        <w:t>for all the</w:t>
      </w:r>
      <w:r w:rsidR="007B04E6" w:rsidRPr="008E3C85">
        <w:rPr>
          <w:rFonts w:ascii="Calibri" w:eastAsia="Calibri" w:hAnsi="Calibri" w:cs="Calibri"/>
          <w:color w:val="auto"/>
          <w:sz w:val="22"/>
          <w:szCs w:val="22"/>
        </w:rPr>
        <w:t xml:space="preserve"> </w:t>
      </w:r>
      <w:r w:rsidRPr="008E3C85">
        <w:rPr>
          <w:rFonts w:ascii="Calibri" w:eastAsia="Calibri" w:hAnsi="Calibri" w:cs="Calibri"/>
          <w:color w:val="auto"/>
          <w:sz w:val="22"/>
          <w:szCs w:val="22"/>
        </w:rPr>
        <w:t xml:space="preserve">implementing entities and </w:t>
      </w:r>
      <w:r w:rsidR="00BB2BE8" w:rsidRPr="008E3C85">
        <w:rPr>
          <w:rFonts w:ascii="Calibri" w:eastAsia="Calibri" w:hAnsi="Calibri" w:cs="Calibri"/>
          <w:color w:val="auto"/>
          <w:sz w:val="22"/>
          <w:szCs w:val="22"/>
        </w:rPr>
        <w:t xml:space="preserve">is </w:t>
      </w:r>
      <w:r w:rsidRPr="008E3C85">
        <w:rPr>
          <w:rFonts w:ascii="Calibri" w:eastAsia="Calibri" w:hAnsi="Calibri" w:cs="Calibri"/>
          <w:color w:val="auto"/>
          <w:sz w:val="22"/>
          <w:szCs w:val="22"/>
        </w:rPr>
        <w:t xml:space="preserve">briefly summarized below.  </w:t>
      </w:r>
      <w:r w:rsidRPr="008E3C85">
        <w:rPr>
          <w:rFonts w:ascii="Calibri" w:eastAsia="Calibri" w:hAnsi="Calibri" w:cs="Times New Roman"/>
          <w:color w:val="auto"/>
          <w:sz w:val="22"/>
          <w:szCs w:val="22"/>
        </w:rPr>
        <w:t xml:space="preserve">The detailed summary of the completed FM assessments and suggested measures to address identified inadequacies and risks </w:t>
      </w:r>
      <w:r w:rsidR="006046DA" w:rsidRPr="008E3C85">
        <w:rPr>
          <w:rFonts w:ascii="Calibri" w:eastAsia="Calibri" w:hAnsi="Calibri" w:cs="Times New Roman"/>
          <w:color w:val="auto"/>
          <w:sz w:val="22"/>
          <w:szCs w:val="22"/>
        </w:rPr>
        <w:t>are</w:t>
      </w:r>
      <w:r w:rsidRPr="008E3C85">
        <w:rPr>
          <w:rFonts w:ascii="Calibri" w:eastAsia="Calibri" w:hAnsi="Calibri" w:cs="Times New Roman"/>
          <w:color w:val="auto"/>
          <w:sz w:val="22"/>
          <w:szCs w:val="22"/>
        </w:rPr>
        <w:t xml:space="preserve"> described in Annex 2</w:t>
      </w:r>
      <w:r w:rsidR="00CC16F7" w:rsidRPr="008E3C85">
        <w:rPr>
          <w:rFonts w:ascii="Calibri" w:eastAsia="Calibri" w:hAnsi="Calibri" w:cs="Times New Roman"/>
          <w:color w:val="auto"/>
          <w:sz w:val="22"/>
          <w:szCs w:val="22"/>
        </w:rPr>
        <w:t xml:space="preserve">. </w:t>
      </w:r>
      <w:r w:rsidRPr="008E3C85">
        <w:rPr>
          <w:rFonts w:ascii="Calibri" w:eastAsia="Calibri" w:hAnsi="Calibri" w:cs="Times New Roman"/>
          <w:color w:val="auto"/>
          <w:sz w:val="22"/>
          <w:szCs w:val="22"/>
        </w:rPr>
        <w:t xml:space="preserve"> </w:t>
      </w:r>
      <w:r w:rsidR="00612AF5">
        <w:rPr>
          <w:rFonts w:ascii="Calibri" w:eastAsia="Calibri" w:hAnsi="Calibri" w:cs="Times New Roman"/>
          <w:color w:val="auto"/>
          <w:sz w:val="22"/>
          <w:szCs w:val="22"/>
        </w:rPr>
        <w:t xml:space="preserve">The </w:t>
      </w:r>
      <w:r w:rsidR="008E3C85" w:rsidRPr="008E3C85">
        <w:rPr>
          <w:rFonts w:ascii="Calibri" w:eastAsia="Calibri" w:hAnsi="Calibri" w:cs="Calibri"/>
          <w:color w:val="auto"/>
          <w:sz w:val="22"/>
          <w:szCs w:val="22"/>
        </w:rPr>
        <w:t>FM Action Plan</w:t>
      </w:r>
      <w:r w:rsidR="00612AF5">
        <w:rPr>
          <w:rFonts w:ascii="Calibri" w:eastAsia="Calibri" w:hAnsi="Calibri" w:cs="Calibri"/>
          <w:bCs/>
          <w:color w:val="auto"/>
          <w:sz w:val="22"/>
          <w:szCs w:val="22"/>
        </w:rPr>
        <w:t xml:space="preserve"> </w:t>
      </w:r>
      <w:r w:rsidR="008E3C85" w:rsidRPr="008E3C85">
        <w:rPr>
          <w:rFonts w:ascii="Calibri" w:eastAsia="Calibri" w:hAnsi="Calibri" w:cs="Calibri"/>
          <w:color w:val="auto"/>
          <w:sz w:val="22"/>
          <w:szCs w:val="22"/>
        </w:rPr>
        <w:t>on proposed mitigation measures</w:t>
      </w:r>
      <w:r w:rsidR="00612AF5">
        <w:rPr>
          <w:rFonts w:ascii="Calibri" w:eastAsia="Calibri" w:hAnsi="Calibri" w:cs="Calibri"/>
          <w:bCs/>
          <w:color w:val="auto"/>
          <w:sz w:val="22"/>
          <w:szCs w:val="22"/>
        </w:rPr>
        <w:t xml:space="preserve"> is</w:t>
      </w:r>
      <w:r w:rsidR="00612AF5" w:rsidRPr="007A6F32">
        <w:rPr>
          <w:rFonts w:ascii="Calibri" w:eastAsia="Calibri" w:hAnsi="Calibri" w:cs="Calibri"/>
          <w:bCs/>
          <w:color w:val="auto"/>
          <w:sz w:val="22"/>
          <w:szCs w:val="22"/>
        </w:rPr>
        <w:t xml:space="preserve"> in Annex 2, Table A2.3</w:t>
      </w:r>
      <w:r w:rsidR="00612AF5">
        <w:rPr>
          <w:rFonts w:ascii="Calibri" w:eastAsia="Calibri" w:hAnsi="Calibri" w:cs="Calibri"/>
          <w:bCs/>
          <w:color w:val="auto"/>
          <w:sz w:val="22"/>
          <w:szCs w:val="22"/>
        </w:rPr>
        <w:t>.</w:t>
      </w:r>
      <w:r w:rsidRPr="008E3C85">
        <w:rPr>
          <w:rFonts w:ascii="Calibri" w:eastAsia="Calibri" w:hAnsi="Calibri" w:cs="Times New Roman"/>
          <w:color w:val="auto"/>
          <w:sz w:val="22"/>
          <w:szCs w:val="22"/>
        </w:rPr>
        <w:t xml:space="preserve">  </w:t>
      </w:r>
    </w:p>
    <w:p w14:paraId="5A270B8F"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s="Calibri"/>
          <w:color w:val="auto"/>
          <w:sz w:val="22"/>
          <w:szCs w:val="22"/>
        </w:rPr>
      </w:pPr>
      <w:r w:rsidRPr="00B81291">
        <w:rPr>
          <w:rFonts w:ascii="Calibri" w:eastAsia="Calibri" w:hAnsi="Calibri" w:cs="Calibri"/>
          <w:b/>
          <w:bCs/>
          <w:color w:val="auto"/>
          <w:sz w:val="22"/>
          <w:szCs w:val="22"/>
        </w:rPr>
        <w:lastRenderedPageBreak/>
        <w:t xml:space="preserve">Overall the assessed FM risk for the project concludes that most of the ACEs have </w:t>
      </w:r>
      <w:r w:rsidR="00864D46">
        <w:rPr>
          <w:rFonts w:ascii="Calibri" w:eastAsia="Calibri" w:hAnsi="Calibri" w:cs="Calibri"/>
          <w:b/>
          <w:bCs/>
          <w:color w:val="auto"/>
          <w:sz w:val="22"/>
          <w:szCs w:val="22"/>
        </w:rPr>
        <w:t>FM</w:t>
      </w:r>
      <w:r w:rsidRPr="00B81291">
        <w:rPr>
          <w:rFonts w:ascii="Calibri" w:eastAsia="Calibri" w:hAnsi="Calibri" w:cs="Calibri"/>
          <w:b/>
          <w:bCs/>
          <w:color w:val="auto"/>
          <w:sz w:val="22"/>
          <w:szCs w:val="22"/>
        </w:rPr>
        <w:t xml:space="preserve"> systems that can be relied upon to support implementation, albeit with varying degrees of adequacy and effectiveness.</w:t>
      </w:r>
      <w:r w:rsidRPr="00013047">
        <w:rPr>
          <w:rFonts w:ascii="Calibri" w:eastAsia="Calibri" w:hAnsi="Calibri" w:cs="Calibri"/>
          <w:bCs/>
          <w:color w:val="auto"/>
          <w:sz w:val="22"/>
          <w:szCs w:val="22"/>
        </w:rPr>
        <w:t xml:space="preserve">  In addition, based on the design of the project and its inherent factors such as (i) the inclusion of </w:t>
      </w:r>
      <w:r w:rsidR="00DE7188">
        <w:rPr>
          <w:rFonts w:ascii="Calibri" w:eastAsia="Calibri" w:hAnsi="Calibri" w:cs="Calibri"/>
          <w:bCs/>
          <w:color w:val="auto"/>
          <w:sz w:val="22"/>
          <w:szCs w:val="22"/>
        </w:rPr>
        <w:t>N</w:t>
      </w:r>
      <w:r w:rsidRPr="00013047">
        <w:rPr>
          <w:rFonts w:ascii="Calibri" w:eastAsia="Calibri" w:hAnsi="Calibri" w:cs="Calibri"/>
          <w:bCs/>
          <w:color w:val="auto"/>
          <w:sz w:val="22"/>
          <w:szCs w:val="22"/>
        </w:rPr>
        <w:t>ew centers that have no experience in managing IDA funds, the adopting of Results Based Financing (DLI/DLR) as an instrument, systemic weaknesses in some centers regarding fiduciary oversight and possible challenges with multiple in</w:t>
      </w:r>
      <w:r w:rsidR="00612AF5">
        <w:rPr>
          <w:rFonts w:ascii="Calibri" w:eastAsia="Calibri" w:hAnsi="Calibri" w:cs="Calibri"/>
          <w:bCs/>
          <w:color w:val="auto"/>
          <w:sz w:val="22"/>
          <w:szCs w:val="22"/>
        </w:rPr>
        <w:t>-</w:t>
      </w:r>
      <w:r w:rsidRPr="00013047">
        <w:rPr>
          <w:rFonts w:ascii="Calibri" w:eastAsia="Calibri" w:hAnsi="Calibri" w:cs="Calibri"/>
          <w:bCs/>
          <w:color w:val="auto"/>
          <w:sz w:val="22"/>
          <w:szCs w:val="22"/>
        </w:rPr>
        <w:t xml:space="preserve">country coordination of fiduciary matters, the overall project FM risk is rated as Substantial. </w:t>
      </w:r>
    </w:p>
    <w:p w14:paraId="26F34D2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olor w:val="auto"/>
          <w:sz w:val="22"/>
          <w:szCs w:val="22"/>
        </w:rPr>
      </w:pPr>
      <w:r w:rsidRPr="002E1A3F">
        <w:rPr>
          <w:rFonts w:ascii="Calibri" w:eastAsia="Times New Roman" w:hAnsi="Calibri"/>
          <w:b/>
          <w:color w:val="auto"/>
          <w:sz w:val="22"/>
          <w:szCs w:val="22"/>
        </w:rPr>
        <w:t xml:space="preserve">EEPs </w:t>
      </w:r>
      <w:r w:rsidRPr="002E1A3F">
        <w:rPr>
          <w:rFonts w:ascii="Calibri" w:eastAsia="Calibri" w:hAnsi="Calibri" w:cs="Times New Roman"/>
          <w:b/>
          <w:iCs/>
          <w:color w:val="auto"/>
          <w:sz w:val="22"/>
          <w:szCs w:val="22"/>
        </w:rPr>
        <w:t xml:space="preserve">will consist of </w:t>
      </w:r>
      <w:r w:rsidRPr="002E1A3F">
        <w:rPr>
          <w:rFonts w:ascii="Calibri" w:eastAsia="Calibri" w:hAnsi="Calibri" w:cs="Calibri"/>
          <w:b/>
          <w:spacing w:val="-1"/>
          <w:sz w:val="22"/>
          <w:szCs w:val="22"/>
        </w:rPr>
        <w:t>salaries, scholarships and the operating costs of each university hosting center</w:t>
      </w:r>
      <w:r w:rsidRPr="002E1A3F">
        <w:rPr>
          <w:rFonts w:ascii="Calibri" w:eastAsia="Times New Roman" w:hAnsi="Calibri"/>
          <w:b/>
          <w:color w:val="auto"/>
          <w:sz w:val="22"/>
          <w:szCs w:val="22"/>
        </w:rPr>
        <w:t>.</w:t>
      </w:r>
      <w:r w:rsidRPr="002E1A3F">
        <w:rPr>
          <w:rFonts w:ascii="Calibri" w:eastAsia="Times New Roman" w:hAnsi="Calibri"/>
          <w:color w:val="auto"/>
          <w:sz w:val="22"/>
          <w:szCs w:val="22"/>
        </w:rPr>
        <w:t xml:space="preserve"> The World Bank Guidance Notes on IPFs with DLIs dated April 2018, World Bank policy and procedures for IPFs, including procurement, FM, safeguards policies and anti-corruption guidelines apply to this project.  Based on experience implementing the </w:t>
      </w:r>
      <w:r w:rsidR="00BB4A89">
        <w:rPr>
          <w:rFonts w:ascii="Calibri" w:eastAsia="Times New Roman" w:hAnsi="Calibri"/>
          <w:color w:val="auto"/>
          <w:sz w:val="22"/>
          <w:szCs w:val="22"/>
        </w:rPr>
        <w:t>ACE I Project</w:t>
      </w:r>
      <w:r w:rsidRPr="002E1A3F">
        <w:rPr>
          <w:rFonts w:ascii="Calibri" w:eastAsia="Times New Roman" w:hAnsi="Calibri"/>
          <w:color w:val="auto"/>
          <w:sz w:val="22"/>
          <w:szCs w:val="22"/>
        </w:rPr>
        <w:t xml:space="preserve">, the Second ACE Impact centers’ budgeted expenditures will consist of salaries for </w:t>
      </w:r>
      <w:r w:rsidRPr="002E1A3F">
        <w:rPr>
          <w:rFonts w:ascii="Calibri" w:eastAsia="Calibri" w:hAnsi="Calibri" w:cs="Calibri"/>
          <w:spacing w:val="-1"/>
          <w:sz w:val="22"/>
          <w:szCs w:val="22"/>
        </w:rPr>
        <w:t>faculty, technical and administrative staff, scholarships,  travel (accommodation, transportation, per diem), training cost</w:t>
      </w:r>
      <w:r w:rsidR="00BB2BE8">
        <w:rPr>
          <w:rFonts w:ascii="Calibri" w:eastAsia="Calibri" w:hAnsi="Calibri" w:cs="Calibri"/>
          <w:spacing w:val="-1"/>
          <w:sz w:val="22"/>
          <w:szCs w:val="22"/>
        </w:rPr>
        <w:t>s</w:t>
      </w:r>
      <w:r w:rsidRPr="002E1A3F">
        <w:rPr>
          <w:rFonts w:ascii="Calibri" w:eastAsia="Calibri" w:hAnsi="Calibri" w:cs="Calibri"/>
          <w:spacing w:val="-1"/>
          <w:sz w:val="22"/>
          <w:szCs w:val="22"/>
        </w:rPr>
        <w:t xml:space="preserve">, conference fees, </w:t>
      </w:r>
      <w:r w:rsidR="00B51222">
        <w:rPr>
          <w:rFonts w:ascii="Calibri" w:eastAsia="Calibri" w:hAnsi="Calibri" w:cs="Calibri"/>
          <w:spacing w:val="-1"/>
          <w:sz w:val="22"/>
          <w:szCs w:val="22"/>
        </w:rPr>
        <w:t>non-procurable costs</w:t>
      </w:r>
      <w:r w:rsidR="00B51222" w:rsidRPr="002E1A3F">
        <w:rPr>
          <w:rFonts w:ascii="Calibri" w:eastAsia="Calibri" w:hAnsi="Calibri" w:cs="Calibri"/>
          <w:spacing w:val="-1"/>
          <w:sz w:val="22"/>
          <w:szCs w:val="22"/>
        </w:rPr>
        <w:t xml:space="preserve"> </w:t>
      </w:r>
      <w:r w:rsidR="00B51222">
        <w:rPr>
          <w:rFonts w:ascii="Calibri" w:eastAsia="Calibri" w:hAnsi="Calibri" w:cs="Calibri"/>
          <w:spacing w:val="-1"/>
          <w:sz w:val="22"/>
          <w:szCs w:val="22"/>
        </w:rPr>
        <w:t xml:space="preserve">for </w:t>
      </w:r>
      <w:r w:rsidRPr="002E1A3F">
        <w:rPr>
          <w:rFonts w:ascii="Calibri" w:eastAsia="Calibri" w:hAnsi="Calibri" w:cs="Calibri"/>
          <w:spacing w:val="-1"/>
          <w:sz w:val="22"/>
          <w:szCs w:val="22"/>
        </w:rPr>
        <w:t>workshops and seminars, communication, marketing, and operating costs, and funds</w:t>
      </w:r>
      <w:r w:rsidR="004865F7">
        <w:rPr>
          <w:rFonts w:ascii="Calibri" w:eastAsia="Calibri" w:hAnsi="Calibri" w:cs="Calibri"/>
          <w:spacing w:val="-1"/>
          <w:sz w:val="22"/>
          <w:szCs w:val="22"/>
        </w:rPr>
        <w:t xml:space="preserve"> from the government</w:t>
      </w:r>
      <w:r w:rsidR="001372C7">
        <w:rPr>
          <w:rFonts w:ascii="Calibri" w:eastAsia="Calibri" w:hAnsi="Calibri" w:cs="Calibri"/>
          <w:spacing w:val="-1"/>
          <w:sz w:val="22"/>
          <w:szCs w:val="22"/>
        </w:rPr>
        <w:t>/</w:t>
      </w:r>
      <w:r w:rsidR="00BC4060">
        <w:rPr>
          <w:rFonts w:ascii="Calibri" w:eastAsia="Calibri" w:hAnsi="Calibri" w:cs="Calibri"/>
          <w:spacing w:val="-1"/>
          <w:sz w:val="22"/>
          <w:szCs w:val="22"/>
        </w:rPr>
        <w:t xml:space="preserve">host </w:t>
      </w:r>
      <w:r w:rsidR="001372C7">
        <w:rPr>
          <w:rFonts w:ascii="Calibri" w:eastAsia="Calibri" w:hAnsi="Calibri" w:cs="Calibri"/>
          <w:spacing w:val="-1"/>
          <w:sz w:val="22"/>
          <w:szCs w:val="22"/>
        </w:rPr>
        <w:t>institutions</w:t>
      </w:r>
      <w:r w:rsidRPr="002E1A3F">
        <w:rPr>
          <w:rFonts w:ascii="Calibri" w:eastAsia="Calibri" w:hAnsi="Calibri" w:cs="Calibri"/>
          <w:spacing w:val="-1"/>
          <w:sz w:val="22"/>
          <w:szCs w:val="22"/>
        </w:rPr>
        <w:t xml:space="preserve"> to support investment proportion</w:t>
      </w:r>
      <w:r w:rsidR="00255F37">
        <w:rPr>
          <w:rFonts w:ascii="Calibri" w:eastAsia="Calibri" w:hAnsi="Calibri" w:cs="Calibri"/>
          <w:spacing w:val="-1"/>
          <w:sz w:val="22"/>
          <w:szCs w:val="22"/>
        </w:rPr>
        <w:t>s</w:t>
      </w:r>
      <w:r w:rsidRPr="002E1A3F">
        <w:rPr>
          <w:rFonts w:ascii="Calibri" w:eastAsia="Calibri" w:hAnsi="Calibri" w:cs="Calibri"/>
          <w:spacing w:val="-1"/>
          <w:sz w:val="22"/>
          <w:szCs w:val="22"/>
        </w:rPr>
        <w:t xml:space="preserve"> in learning equipment, civil works</w:t>
      </w:r>
      <w:r w:rsidR="00B51222">
        <w:rPr>
          <w:rFonts w:ascii="Calibri" w:eastAsia="Calibri" w:hAnsi="Calibri" w:cs="Calibri"/>
          <w:spacing w:val="-1"/>
          <w:sz w:val="22"/>
          <w:szCs w:val="22"/>
        </w:rPr>
        <w:t>, consultant fees</w:t>
      </w:r>
      <w:r w:rsidRPr="002E1A3F">
        <w:rPr>
          <w:rFonts w:ascii="Calibri,Times New Roman" w:eastAsia="Calibri,Times New Roman" w:hAnsi="Calibri,Times New Roman" w:cs="Calibri,Times New Roman"/>
          <w:spacing w:val="-1"/>
          <w:sz w:val="22"/>
          <w:szCs w:val="22"/>
        </w:rPr>
        <w:t xml:space="preserve"> and </w:t>
      </w:r>
      <w:r w:rsidRPr="002E1A3F">
        <w:rPr>
          <w:rFonts w:ascii="Calibri" w:eastAsia="Calibri" w:hAnsi="Calibri" w:cs="Calibri"/>
          <w:spacing w:val="-1"/>
          <w:sz w:val="22"/>
          <w:szCs w:val="22"/>
        </w:rPr>
        <w:t>other goods (vehicles, reagent, etc.).</w:t>
      </w:r>
      <w:r w:rsidRPr="002E1A3F">
        <w:rPr>
          <w:rFonts w:ascii="Calibri" w:eastAsia="Times New Roman" w:hAnsi="Calibri"/>
          <w:color w:val="auto"/>
          <w:sz w:val="22"/>
          <w:szCs w:val="22"/>
        </w:rPr>
        <w:t xml:space="preserve"> Since </w:t>
      </w:r>
      <w:r w:rsidR="000249DF">
        <w:rPr>
          <w:rFonts w:ascii="Calibri" w:eastAsia="Times New Roman" w:hAnsi="Calibri"/>
          <w:color w:val="auto"/>
          <w:sz w:val="22"/>
          <w:szCs w:val="22"/>
        </w:rPr>
        <w:t>the EEPs under the proposed project</w:t>
      </w:r>
      <w:r w:rsidRPr="002E1A3F">
        <w:rPr>
          <w:rFonts w:ascii="Calibri" w:eastAsia="Times New Roman" w:hAnsi="Calibri"/>
          <w:color w:val="auto"/>
          <w:sz w:val="22"/>
          <w:szCs w:val="22"/>
        </w:rPr>
        <w:t xml:space="preserve"> are considered as non-procurable items, the World Bank’s Procurement Regulations will not apply. Upon achievement and verification of DLRs, the World Bank will disburse funds to each center against its EEPs, as evidenced in its semiannual IFRs. The definition of EEPs is included in the POM. Remaining non-EEP related expenditure, although funded by the respective institutions/governments will still be accounted for and monitored </w:t>
      </w:r>
      <w:r w:rsidRPr="002E1A3F">
        <w:rPr>
          <w:rFonts w:ascii="Calibri" w:eastAsia="Times New Roman" w:hAnsi="Calibri" w:cs="Times New Roman"/>
          <w:color w:val="auto"/>
          <w:sz w:val="22"/>
          <w:szCs w:val="22"/>
        </w:rPr>
        <w:t xml:space="preserve">under the project. </w:t>
      </w:r>
    </w:p>
    <w:p w14:paraId="5EE3E586"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Times New Roman" w:hAnsi="Calibri"/>
          <w:color w:val="auto"/>
          <w:sz w:val="22"/>
          <w:szCs w:val="22"/>
        </w:rPr>
      </w:pPr>
      <w:r w:rsidRPr="002E1A3F">
        <w:rPr>
          <w:rFonts w:ascii="Calibri" w:eastAsia="Calibri" w:hAnsi="Calibri" w:cs="Times New Roman"/>
          <w:b/>
          <w:bCs/>
          <w:color w:val="auto"/>
          <w:sz w:val="22"/>
          <w:szCs w:val="22"/>
        </w:rPr>
        <w:t>The allocated amounts for the DLIs will vary from center to center but in all cases will be less than the amount of the EEPs</w:t>
      </w:r>
      <w:r w:rsidRPr="002E1A3F">
        <w:rPr>
          <w:rFonts w:ascii="Calibri" w:eastAsia="Calibri" w:hAnsi="Calibri" w:cs="Calibri"/>
          <w:color w:val="auto"/>
          <w:sz w:val="22"/>
          <w:szCs w:val="22"/>
        </w:rPr>
        <w:t xml:space="preserve">. The eligible expenditure amount, as ascertained in the EEP Statement, will form part of the IFR submitted for disbursement, and exceed the DLR allocated amount.  </w:t>
      </w:r>
      <w:r w:rsidRPr="002E1A3F">
        <w:rPr>
          <w:rFonts w:ascii="Calibri" w:eastAsia="Times New Roman" w:hAnsi="Calibri" w:cs="Calibri"/>
          <w:color w:val="auto"/>
          <w:sz w:val="22"/>
          <w:szCs w:val="22"/>
        </w:rPr>
        <w:t xml:space="preserve">EEPs will be audited as part of each </w:t>
      </w:r>
      <w:r w:rsidRPr="002E1A3F">
        <w:rPr>
          <w:rFonts w:ascii="Calibri" w:eastAsia="Calibri" w:hAnsi="Calibri" w:cs="Calibri"/>
          <w:color w:val="auto"/>
          <w:sz w:val="22"/>
          <w:szCs w:val="22"/>
        </w:rPr>
        <w:t xml:space="preserve">ACE Impact center’s </w:t>
      </w:r>
      <w:r w:rsidRPr="002E1A3F">
        <w:rPr>
          <w:rFonts w:ascii="Calibri" w:eastAsia="Times New Roman" w:hAnsi="Calibri" w:cs="Calibri"/>
          <w:color w:val="auto"/>
          <w:sz w:val="22"/>
          <w:szCs w:val="22"/>
        </w:rPr>
        <w:t>annual</w:t>
      </w:r>
      <w:r w:rsidRPr="002E1A3F">
        <w:rPr>
          <w:rFonts w:ascii="Calibri" w:eastAsia="Calibri" w:hAnsi="Calibri" w:cs="Calibri"/>
          <w:color w:val="auto"/>
          <w:sz w:val="22"/>
          <w:szCs w:val="22"/>
        </w:rPr>
        <w:t xml:space="preserve"> </w:t>
      </w:r>
      <w:r w:rsidRPr="002E1A3F">
        <w:rPr>
          <w:rFonts w:ascii="Calibri" w:eastAsia="Times New Roman" w:hAnsi="Calibri" w:cs="Calibri"/>
          <w:color w:val="auto"/>
          <w:sz w:val="22"/>
          <w:szCs w:val="22"/>
        </w:rPr>
        <w:t>financial statement audit.</w:t>
      </w:r>
    </w:p>
    <w:p w14:paraId="67E93865" w14:textId="77777777" w:rsidR="002E1A3F" w:rsidRPr="002E1A3F" w:rsidRDefault="00B00100">
      <w:pPr>
        <w:tabs>
          <w:tab w:val="left" w:pos="720"/>
        </w:tabs>
        <w:spacing w:after="240"/>
        <w:jc w:val="both"/>
        <w:rPr>
          <w:rFonts w:ascii="Calibri,Times New Roman" w:eastAsia="Calibri,Times New Roman" w:hAnsi="Calibri,Times New Roman" w:cs="Calibri,Times New Roman"/>
          <w:b/>
          <w:color w:val="auto"/>
          <w:sz w:val="22"/>
          <w:szCs w:val="22"/>
        </w:rPr>
      </w:pPr>
      <w:r w:rsidRPr="002E1A3F">
        <w:rPr>
          <w:rFonts w:ascii="Calibri" w:eastAsia="Calibri" w:hAnsi="Calibri" w:cs="Calibri"/>
          <w:b/>
          <w:color w:val="auto"/>
          <w:sz w:val="22"/>
          <w:szCs w:val="22"/>
        </w:rPr>
        <w:t>(ii)</w:t>
      </w:r>
      <w:r w:rsidRPr="002E1A3F">
        <w:rPr>
          <w:rFonts w:ascii="Calibri" w:eastAsia="Calibri" w:hAnsi="Calibri" w:cs="Calibri"/>
          <w:b/>
          <w:color w:val="auto"/>
          <w:sz w:val="22"/>
          <w:szCs w:val="22"/>
        </w:rPr>
        <w:tab/>
        <w:t xml:space="preserve">Procurement </w:t>
      </w:r>
    </w:p>
    <w:p w14:paraId="7925580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sz w:val="22"/>
          <w:szCs w:val="22"/>
        </w:rPr>
      </w:pPr>
      <w:r w:rsidRPr="002E1A3F">
        <w:rPr>
          <w:rFonts w:ascii="Calibri" w:eastAsia="Calibri" w:hAnsi="Calibri" w:cs="Calibri"/>
          <w:b/>
          <w:sz w:val="22"/>
          <w:szCs w:val="22"/>
        </w:rPr>
        <w:t>For all Implementing Agencies, procurement under the proposed project will be carried out in accordance with the following World Bank procedures:</w:t>
      </w:r>
      <w:r w:rsidRPr="002E1A3F">
        <w:rPr>
          <w:rFonts w:ascii="Calibri" w:eastAsia="Calibri" w:hAnsi="Calibri" w:cs="Calibri"/>
          <w:sz w:val="22"/>
          <w:szCs w:val="22"/>
        </w:rPr>
        <w:t xml:space="preserve"> (a) </w:t>
      </w:r>
      <w:hyperlink r:id="rId36" w:tgtFrame="new" w:history="1">
        <w:r w:rsidRPr="002E1A3F">
          <w:rPr>
            <w:rFonts w:ascii="Calibri" w:eastAsia="Calibri" w:hAnsi="Calibri" w:cs="Calibri"/>
            <w:sz w:val="22"/>
            <w:szCs w:val="22"/>
          </w:rPr>
          <w:t>the World Bank Procurement Regulations (PR) for IPF Borrowers</w:t>
        </w:r>
      </w:hyperlink>
      <w:r w:rsidRPr="002E1A3F">
        <w:rPr>
          <w:rFonts w:ascii="Calibri" w:eastAsia="Calibri" w:hAnsi="Calibri" w:cs="Calibri"/>
          <w:sz w:val="22"/>
          <w:szCs w:val="22"/>
        </w:rPr>
        <w:t xml:space="preserve">, dated July 2016 and revised in November 2017, and August 2018; (b) “Guidelines on Preventing and Combating Fraud and Corruption in Projects Financed by IBRD Loans and IDA Credits and Grants”, dated October 15, 2006 and revised in January, 2011 and as of July 1, 2016  and other provisions stipulated in the </w:t>
      </w:r>
      <w:r w:rsidR="003E7D2B">
        <w:rPr>
          <w:rFonts w:ascii="Calibri" w:eastAsia="Calibri" w:hAnsi="Calibri" w:cs="Calibri"/>
          <w:sz w:val="22"/>
          <w:szCs w:val="22"/>
        </w:rPr>
        <w:t>Financing Agreement</w:t>
      </w:r>
      <w:r w:rsidR="00021896">
        <w:rPr>
          <w:rFonts w:ascii="Calibri" w:eastAsia="Calibri" w:hAnsi="Calibri" w:cs="Calibri"/>
          <w:sz w:val="22"/>
          <w:szCs w:val="22"/>
        </w:rPr>
        <w:t>s (</w:t>
      </w:r>
      <w:r w:rsidRPr="002E1A3F">
        <w:rPr>
          <w:rFonts w:ascii="Calibri" w:eastAsia="Calibri" w:hAnsi="Calibri" w:cs="Calibri"/>
          <w:sz w:val="22"/>
          <w:szCs w:val="22"/>
        </w:rPr>
        <w:t>FAs</w:t>
      </w:r>
      <w:r w:rsidR="00021896">
        <w:rPr>
          <w:rFonts w:ascii="Calibri" w:eastAsia="Calibri" w:hAnsi="Calibri" w:cs="Calibri"/>
          <w:sz w:val="22"/>
          <w:szCs w:val="22"/>
        </w:rPr>
        <w:t>)</w:t>
      </w:r>
      <w:r w:rsidR="007831EC">
        <w:rPr>
          <w:rFonts w:ascii="Calibri" w:eastAsia="Calibri" w:hAnsi="Calibri" w:cs="Calibri"/>
          <w:sz w:val="22"/>
          <w:szCs w:val="22"/>
        </w:rPr>
        <w:t xml:space="preserve">; and </w:t>
      </w:r>
      <w:r w:rsidR="007831EC" w:rsidRPr="00A01C2F">
        <w:rPr>
          <w:rFonts w:asciiTheme="minorHAnsi" w:eastAsia="Calibri" w:hAnsiTheme="minorHAnsi" w:cstheme="minorHAnsi"/>
          <w:sz w:val="22"/>
          <w:szCs w:val="22"/>
        </w:rPr>
        <w:t xml:space="preserve">(c) </w:t>
      </w:r>
      <w:r w:rsidR="00C00B64">
        <w:rPr>
          <w:rFonts w:asciiTheme="minorHAnsi" w:eastAsia="Calibri" w:hAnsiTheme="minorHAnsi" w:cstheme="minorHAnsi"/>
          <w:sz w:val="22"/>
          <w:szCs w:val="22"/>
        </w:rPr>
        <w:t xml:space="preserve">World </w:t>
      </w:r>
      <w:r w:rsidR="007831EC" w:rsidRPr="00A01C2F">
        <w:rPr>
          <w:rFonts w:asciiTheme="minorHAnsi" w:eastAsia="Calibri" w:hAnsiTheme="minorHAnsi" w:cstheme="minorHAnsi"/>
          <w:sz w:val="22"/>
          <w:szCs w:val="22"/>
        </w:rPr>
        <w:t xml:space="preserve">Bank Guidance on </w:t>
      </w:r>
      <w:r w:rsidR="00C00B64">
        <w:rPr>
          <w:rFonts w:asciiTheme="minorHAnsi" w:eastAsia="Calibri" w:hAnsiTheme="minorHAnsi" w:cstheme="minorHAnsi"/>
          <w:sz w:val="22"/>
          <w:szCs w:val="22"/>
        </w:rPr>
        <w:t>IPF</w:t>
      </w:r>
      <w:r w:rsidR="007831EC" w:rsidRPr="00A01C2F">
        <w:rPr>
          <w:rFonts w:asciiTheme="minorHAnsi" w:eastAsia="Calibri" w:hAnsiTheme="minorHAnsi" w:cstheme="minorHAnsi"/>
          <w:sz w:val="22"/>
          <w:szCs w:val="22"/>
        </w:rPr>
        <w:t xml:space="preserve"> with Disbursement-Linked Indicators</w:t>
      </w:r>
      <w:r w:rsidR="002730A1">
        <w:rPr>
          <w:rFonts w:asciiTheme="minorHAnsi" w:eastAsia="Calibri" w:hAnsiTheme="minorHAnsi" w:cstheme="minorHAnsi"/>
          <w:sz w:val="22"/>
          <w:szCs w:val="22"/>
        </w:rPr>
        <w:t xml:space="preserve">, dated April </w:t>
      </w:r>
      <w:r w:rsidR="005954E9">
        <w:rPr>
          <w:rFonts w:asciiTheme="minorHAnsi" w:eastAsia="Calibri" w:hAnsiTheme="minorHAnsi" w:cstheme="minorHAnsi"/>
          <w:sz w:val="22"/>
          <w:szCs w:val="22"/>
        </w:rPr>
        <w:t>25, 2018</w:t>
      </w:r>
      <w:r w:rsidR="008B36AE">
        <w:rPr>
          <w:rFonts w:asciiTheme="minorHAnsi" w:eastAsia="Calibri" w:hAnsiTheme="minorHAnsi" w:cstheme="minorHAnsi"/>
          <w:sz w:val="22"/>
          <w:szCs w:val="22"/>
        </w:rPr>
        <w:t>:</w:t>
      </w:r>
      <w:r w:rsidR="007831EC" w:rsidRPr="00A01C2F">
        <w:rPr>
          <w:rFonts w:asciiTheme="minorHAnsi" w:eastAsia="Calibri" w:hAnsiTheme="minorHAnsi" w:cstheme="minorHAnsi"/>
          <w:sz w:val="22"/>
          <w:szCs w:val="22"/>
        </w:rPr>
        <w:t xml:space="preserve">  “</w:t>
      </w:r>
      <w:r w:rsidR="007831EC" w:rsidRPr="00A01C2F">
        <w:rPr>
          <w:rFonts w:asciiTheme="minorHAnsi" w:eastAsiaTheme="minorHAnsi" w:hAnsiTheme="minorHAnsi" w:cstheme="minorHAnsi"/>
          <w:color w:val="auto"/>
          <w:sz w:val="22"/>
          <w:szCs w:val="22"/>
        </w:rPr>
        <w:t xml:space="preserve">The </w:t>
      </w:r>
      <w:r w:rsidR="00C00B64">
        <w:rPr>
          <w:rFonts w:asciiTheme="minorHAnsi" w:eastAsiaTheme="minorHAnsi" w:hAnsiTheme="minorHAnsi" w:cstheme="minorHAnsi"/>
          <w:color w:val="auto"/>
          <w:sz w:val="22"/>
          <w:szCs w:val="22"/>
        </w:rPr>
        <w:t xml:space="preserve">World </w:t>
      </w:r>
      <w:r w:rsidR="007831EC" w:rsidRPr="00A01C2F">
        <w:rPr>
          <w:rFonts w:asciiTheme="minorHAnsi" w:eastAsiaTheme="minorHAnsi" w:hAnsiTheme="minorHAnsi" w:cstheme="minorHAnsi"/>
          <w:color w:val="auto"/>
          <w:sz w:val="22"/>
          <w:szCs w:val="22"/>
        </w:rPr>
        <w:t>Bank’s procurement rules apply to all contracts</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financed wholly or in part by the </w:t>
      </w:r>
      <w:r w:rsidR="00CD5D0A">
        <w:rPr>
          <w:rFonts w:asciiTheme="minorHAnsi" w:eastAsiaTheme="minorHAnsi" w:hAnsiTheme="minorHAnsi" w:cstheme="minorHAnsi"/>
          <w:color w:val="auto"/>
          <w:sz w:val="22"/>
          <w:szCs w:val="22"/>
        </w:rPr>
        <w:t xml:space="preserve">World </w:t>
      </w:r>
      <w:r w:rsidR="007831EC" w:rsidRPr="00A01C2F">
        <w:rPr>
          <w:rFonts w:asciiTheme="minorHAnsi" w:eastAsiaTheme="minorHAnsi" w:hAnsiTheme="minorHAnsi" w:cstheme="minorHAnsi"/>
          <w:color w:val="auto"/>
          <w:sz w:val="22"/>
          <w:szCs w:val="22"/>
        </w:rPr>
        <w:t>Bank.</w:t>
      </w:r>
      <w:r w:rsidR="007831EC" w:rsidRPr="00A01C2F">
        <w:rPr>
          <w:rFonts w:asciiTheme="minorHAnsi" w:eastAsiaTheme="minorHAnsi" w:hAnsiTheme="minorHAnsi" w:cstheme="minorHAnsi"/>
          <w:color w:val="auto"/>
          <w:sz w:val="14"/>
          <w:szCs w:val="14"/>
        </w:rPr>
        <w:t xml:space="preserve"> </w:t>
      </w:r>
      <w:r w:rsidR="007831EC" w:rsidRPr="00A01C2F">
        <w:rPr>
          <w:rFonts w:asciiTheme="minorHAnsi" w:eastAsiaTheme="minorHAnsi" w:hAnsiTheme="minorHAnsi" w:cstheme="minorHAnsi"/>
          <w:color w:val="auto"/>
          <w:sz w:val="22"/>
          <w:szCs w:val="22"/>
        </w:rPr>
        <w:t>When procurable items are organized as a budget</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line, the </w:t>
      </w:r>
      <w:r w:rsidR="00C00B64">
        <w:rPr>
          <w:rFonts w:asciiTheme="minorHAnsi" w:eastAsiaTheme="minorHAnsi" w:hAnsiTheme="minorHAnsi" w:cstheme="minorHAnsi"/>
          <w:color w:val="auto"/>
          <w:sz w:val="22"/>
          <w:szCs w:val="22"/>
        </w:rPr>
        <w:t xml:space="preserve">World </w:t>
      </w:r>
      <w:r w:rsidR="007831EC" w:rsidRPr="00A01C2F">
        <w:rPr>
          <w:rFonts w:asciiTheme="minorHAnsi" w:eastAsiaTheme="minorHAnsi" w:hAnsiTheme="minorHAnsi" w:cstheme="minorHAnsi"/>
          <w:color w:val="auto"/>
          <w:sz w:val="22"/>
          <w:szCs w:val="22"/>
        </w:rPr>
        <w:t xml:space="preserve">Bank’s rules apply to the entire budget line, not merely that part financed by the </w:t>
      </w:r>
      <w:r w:rsidR="00C00B64">
        <w:rPr>
          <w:rFonts w:asciiTheme="minorHAnsi" w:eastAsiaTheme="minorHAnsi" w:hAnsiTheme="minorHAnsi" w:cstheme="minorHAnsi"/>
          <w:color w:val="auto"/>
          <w:sz w:val="22"/>
          <w:szCs w:val="22"/>
        </w:rPr>
        <w:t xml:space="preserve">World </w:t>
      </w:r>
      <w:r w:rsidR="007831EC" w:rsidRPr="00A01C2F">
        <w:rPr>
          <w:rFonts w:asciiTheme="minorHAnsi" w:eastAsiaTheme="minorHAnsi" w:hAnsiTheme="minorHAnsi" w:cstheme="minorHAnsi"/>
          <w:color w:val="auto"/>
          <w:sz w:val="22"/>
          <w:szCs w:val="22"/>
        </w:rPr>
        <w:t>Bank.</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For contracts below international market thresholds, the </w:t>
      </w:r>
      <w:r w:rsidR="00C00B64">
        <w:rPr>
          <w:rFonts w:asciiTheme="minorHAnsi" w:eastAsiaTheme="minorHAnsi" w:hAnsiTheme="minorHAnsi" w:cstheme="minorHAnsi"/>
          <w:color w:val="auto"/>
          <w:sz w:val="22"/>
          <w:szCs w:val="22"/>
        </w:rPr>
        <w:t xml:space="preserve">World </w:t>
      </w:r>
      <w:r w:rsidR="007831EC" w:rsidRPr="00A01C2F">
        <w:rPr>
          <w:rFonts w:asciiTheme="minorHAnsi" w:eastAsiaTheme="minorHAnsi" w:hAnsiTheme="minorHAnsi" w:cstheme="minorHAnsi"/>
          <w:color w:val="auto"/>
          <w:sz w:val="22"/>
          <w:szCs w:val="22"/>
        </w:rPr>
        <w:t xml:space="preserve">Bank may agree to use </w:t>
      </w:r>
      <w:r w:rsidR="002C321F">
        <w:rPr>
          <w:rFonts w:asciiTheme="minorHAnsi" w:eastAsiaTheme="minorHAnsi" w:hAnsiTheme="minorHAnsi" w:cstheme="minorHAnsi"/>
          <w:color w:val="auto"/>
          <w:sz w:val="22"/>
          <w:szCs w:val="22"/>
        </w:rPr>
        <w:t>Recipient</w:t>
      </w:r>
      <w:r w:rsidR="007831EC" w:rsidRPr="00A01C2F">
        <w:rPr>
          <w:rFonts w:asciiTheme="minorHAnsi" w:eastAsiaTheme="minorHAnsi" w:hAnsiTheme="minorHAnsi" w:cstheme="minorHAnsi"/>
          <w:color w:val="auto"/>
          <w:sz w:val="22"/>
          <w:szCs w:val="22"/>
        </w:rPr>
        <w:t>’s</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procedures; it may also, in exceptional cases, agree to the use of other procurement arrangements, including the Borrower’s, for international bidding, provided they are consistent with </w:t>
      </w:r>
      <w:r w:rsidR="00C00B64">
        <w:rPr>
          <w:rFonts w:asciiTheme="minorHAnsi" w:eastAsiaTheme="minorHAnsi" w:hAnsiTheme="minorHAnsi" w:cstheme="minorHAnsi"/>
          <w:color w:val="auto"/>
          <w:sz w:val="22"/>
          <w:szCs w:val="22"/>
        </w:rPr>
        <w:t>World</w:t>
      </w:r>
      <w:r w:rsidR="00C00B64" w:rsidRPr="00A01C2F">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Bank core </w:t>
      </w:r>
      <w:r w:rsidR="007831EC" w:rsidRPr="00A01C2F">
        <w:rPr>
          <w:rFonts w:asciiTheme="minorHAnsi" w:eastAsiaTheme="minorHAnsi" w:hAnsiTheme="minorHAnsi" w:cstheme="minorHAnsi"/>
          <w:color w:val="auto"/>
          <w:sz w:val="22"/>
          <w:szCs w:val="22"/>
        </w:rPr>
        <w:lastRenderedPageBreak/>
        <w:t xml:space="preserve">procurement principles and meet other policy requirements, including governance standards. For contracts not financed by the </w:t>
      </w:r>
      <w:r w:rsidR="00C00B64">
        <w:rPr>
          <w:rFonts w:asciiTheme="minorHAnsi" w:eastAsiaTheme="minorHAnsi" w:hAnsiTheme="minorHAnsi" w:cstheme="minorHAnsi"/>
          <w:color w:val="auto"/>
          <w:sz w:val="22"/>
          <w:szCs w:val="22"/>
        </w:rPr>
        <w:t>World</w:t>
      </w:r>
      <w:r w:rsidR="00C00B64" w:rsidRPr="00A01C2F">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Bank, but within the scope of a</w:t>
      </w:r>
      <w:r w:rsidR="007831EC">
        <w:rPr>
          <w:rFonts w:asciiTheme="minorHAnsi" w:eastAsiaTheme="minorHAnsi" w:hAnsiTheme="minorHAnsi" w:cstheme="minorHAnsi"/>
          <w:color w:val="auto"/>
          <w:sz w:val="22"/>
          <w:szCs w:val="22"/>
        </w:rPr>
        <w:t xml:space="preserve"> </w:t>
      </w:r>
      <w:r w:rsidR="00C00B64">
        <w:rPr>
          <w:rFonts w:asciiTheme="minorHAnsi" w:eastAsiaTheme="minorHAnsi" w:hAnsiTheme="minorHAnsi" w:cstheme="minorHAnsi"/>
          <w:color w:val="auto"/>
          <w:sz w:val="22"/>
          <w:szCs w:val="22"/>
        </w:rPr>
        <w:t>World</w:t>
      </w:r>
      <w:r w:rsidR="00C00B64" w:rsidRPr="00A01C2F">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 xml:space="preserve">Bank-financed project, the </w:t>
      </w:r>
      <w:r w:rsidR="002C321F">
        <w:rPr>
          <w:rFonts w:asciiTheme="minorHAnsi" w:eastAsiaTheme="minorHAnsi" w:hAnsiTheme="minorHAnsi" w:cstheme="minorHAnsi"/>
          <w:color w:val="auto"/>
          <w:sz w:val="22"/>
          <w:szCs w:val="22"/>
        </w:rPr>
        <w:t>Recipient</w:t>
      </w:r>
      <w:r w:rsidR="007831EC" w:rsidRPr="00A01C2F">
        <w:rPr>
          <w:rFonts w:asciiTheme="minorHAnsi" w:eastAsiaTheme="minorHAnsi" w:hAnsiTheme="minorHAnsi" w:cstheme="minorHAnsi"/>
          <w:color w:val="auto"/>
          <w:sz w:val="22"/>
          <w:szCs w:val="22"/>
        </w:rPr>
        <w:t xml:space="preserve"> may use other procedures if the </w:t>
      </w:r>
      <w:r w:rsidR="00C00B64">
        <w:rPr>
          <w:rFonts w:asciiTheme="minorHAnsi" w:eastAsiaTheme="minorHAnsi" w:hAnsiTheme="minorHAnsi" w:cstheme="minorHAnsi"/>
          <w:color w:val="auto"/>
          <w:sz w:val="22"/>
          <w:szCs w:val="22"/>
        </w:rPr>
        <w:t>World</w:t>
      </w:r>
      <w:r w:rsidR="00C00B64" w:rsidRPr="00A01C2F">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Bank is satisfied that</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they ensure that the goods, works, non-consulting services or consulting services procured</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are of a satisfactory quality, compatible with the other elements of the project, consistent with</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the project objectives, delivered or completed in a timely manner, and are priced so as not to</w:t>
      </w:r>
      <w:r w:rsidR="007831EC">
        <w:rPr>
          <w:rFonts w:asciiTheme="minorHAnsi" w:eastAsiaTheme="minorHAnsi" w:hAnsiTheme="minorHAnsi" w:cstheme="minorHAnsi"/>
          <w:color w:val="auto"/>
          <w:sz w:val="22"/>
          <w:szCs w:val="22"/>
        </w:rPr>
        <w:t xml:space="preserve"> </w:t>
      </w:r>
      <w:r w:rsidR="007831EC" w:rsidRPr="00A01C2F">
        <w:rPr>
          <w:rFonts w:asciiTheme="minorHAnsi" w:eastAsiaTheme="minorHAnsi" w:hAnsiTheme="minorHAnsi" w:cstheme="minorHAnsi"/>
          <w:color w:val="auto"/>
          <w:sz w:val="22"/>
          <w:szCs w:val="22"/>
        </w:rPr>
        <w:t>have an adverse effect on the economic and financial viability of the project</w:t>
      </w:r>
      <w:r w:rsidR="007831EC">
        <w:rPr>
          <w:rFonts w:asciiTheme="minorHAnsi" w:eastAsiaTheme="minorHAnsi" w:hAnsiTheme="minorHAnsi" w:cstheme="minorHAnsi"/>
          <w:color w:val="auto"/>
          <w:sz w:val="22"/>
          <w:szCs w:val="22"/>
        </w:rPr>
        <w:t>.</w:t>
      </w:r>
      <w:r w:rsidR="00681A74">
        <w:rPr>
          <w:rFonts w:ascii="Calibri" w:eastAsia="Calibri" w:hAnsi="Calibri" w:cs="Calibri"/>
          <w:sz w:val="22"/>
          <w:szCs w:val="22"/>
        </w:rPr>
        <w:t>”</w:t>
      </w:r>
      <w:r w:rsidRPr="002E1A3F">
        <w:rPr>
          <w:rFonts w:ascii="Calibri" w:eastAsia="Calibri" w:hAnsi="Calibri" w:cs="Calibri"/>
          <w:sz w:val="22"/>
          <w:szCs w:val="22"/>
        </w:rPr>
        <w:t xml:space="preserve"> </w:t>
      </w:r>
    </w:p>
    <w:p w14:paraId="28AFD100" w14:textId="77777777" w:rsidR="00726DB5" w:rsidRPr="002613C6"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2E1A3F">
        <w:rPr>
          <w:rFonts w:ascii="Calibri" w:eastAsia="Calibri" w:hAnsi="Calibri" w:cs="Times New Roman"/>
          <w:b/>
          <w:bCs/>
          <w:color w:val="auto"/>
          <w:sz w:val="22"/>
          <w:szCs w:val="22"/>
        </w:rPr>
        <w:t xml:space="preserve">Each </w:t>
      </w:r>
      <w:r w:rsidR="005372E5">
        <w:rPr>
          <w:rFonts w:ascii="Calibri" w:eastAsia="Calibri" w:hAnsi="Calibri" w:cs="Times New Roman"/>
          <w:b/>
          <w:bCs/>
          <w:color w:val="auto"/>
          <w:sz w:val="22"/>
          <w:szCs w:val="22"/>
        </w:rPr>
        <w:t>C</w:t>
      </w:r>
      <w:r w:rsidRPr="002E1A3F">
        <w:rPr>
          <w:rFonts w:ascii="Calibri" w:eastAsia="Calibri" w:hAnsi="Calibri" w:cs="Times New Roman"/>
          <w:b/>
          <w:bCs/>
          <w:color w:val="auto"/>
          <w:sz w:val="22"/>
          <w:szCs w:val="22"/>
        </w:rPr>
        <w:t>omponent of the project will have its own procurement arrangements</w:t>
      </w:r>
      <w:r w:rsidRPr="002E1A3F">
        <w:rPr>
          <w:rFonts w:ascii="Calibri" w:eastAsia="Calibri" w:hAnsi="Calibri" w:cs="Times New Roman"/>
          <w:bCs/>
          <w:color w:val="auto"/>
          <w:sz w:val="22"/>
          <w:szCs w:val="22"/>
        </w:rPr>
        <w:t xml:space="preserve">. Procurement activities under Component 1 and Sub-component 2.1 will be implemented by the selected education institutions in the Borrower countries, and the World Bank funds will be </w:t>
      </w:r>
      <w:r w:rsidRPr="002E1A3F">
        <w:rPr>
          <w:rFonts w:ascii="Calibri" w:eastAsia="Calibri" w:hAnsi="Calibri" w:cs="Calibri"/>
          <w:sz w:val="22"/>
          <w:szCs w:val="22"/>
        </w:rPr>
        <w:t>disbursed</w:t>
      </w:r>
      <w:r w:rsidRPr="002E1A3F">
        <w:rPr>
          <w:rFonts w:ascii="Calibri" w:eastAsia="Calibri" w:hAnsi="Calibri" w:cs="Times New Roman"/>
          <w:bCs/>
          <w:color w:val="auto"/>
          <w:sz w:val="22"/>
          <w:szCs w:val="22"/>
        </w:rPr>
        <w:t xml:space="preserve"> against a set of DLIs to finance the non-procurable expenditures as defined under the EEPs. Other expenditures, the non-EEPs, including procurement of goods and civil works under the project will be procured together with the institutions’ other operating requirements and needs, following the institutions’ own procurement procedures. These non-EEPs will be financed by the institutions’/governments’ own funds and therefore, the procurement plans for those activities will not be prepared in STEP nor will they be reviewed and cleared by the World Bank. If any such procurable expenditures are at any point to be included for World Bank</w:t>
      </w:r>
      <w:r w:rsidR="00A4755E">
        <w:rPr>
          <w:rFonts w:ascii="Calibri" w:eastAsia="Calibri" w:hAnsi="Calibri" w:cs="Times New Roman"/>
          <w:bCs/>
          <w:color w:val="auto"/>
          <w:sz w:val="22"/>
          <w:szCs w:val="22"/>
        </w:rPr>
        <w:t xml:space="preserve"> </w:t>
      </w:r>
      <w:r w:rsidRPr="002E1A3F">
        <w:rPr>
          <w:rFonts w:ascii="Calibri" w:eastAsia="Calibri" w:hAnsi="Calibri" w:cs="Times New Roman"/>
          <w:bCs/>
          <w:color w:val="auto"/>
          <w:sz w:val="22"/>
          <w:szCs w:val="22"/>
        </w:rPr>
        <w:t xml:space="preserve">financing, the center and its host institution shall be required to follow the PR as stated in World Bank Guidance on IPF with DLI (dated April 25, 2018) Section III and Annex 2 for the entire budget line of each of such procurable expenditures. </w:t>
      </w:r>
      <w:bookmarkStart w:id="248" w:name="_Hlk535079233"/>
      <w:r w:rsidRPr="002E1A3F">
        <w:rPr>
          <w:rFonts w:ascii="Calibri" w:eastAsia="Calibri" w:hAnsi="Calibri" w:cs="Times New Roman"/>
          <w:bCs/>
          <w:color w:val="auto"/>
          <w:sz w:val="22"/>
          <w:szCs w:val="22"/>
        </w:rPr>
        <w:t xml:space="preserve">The procurement plans for such procurement activities will be prepared, reviewed and cleared in STEP, as well as any prior review procurement. </w:t>
      </w:r>
      <w:bookmarkEnd w:id="248"/>
    </w:p>
    <w:p w14:paraId="7BF1C496" w14:textId="77777777" w:rsidR="002E1A3F" w:rsidRPr="003E7D2B"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E20F01">
        <w:rPr>
          <w:rFonts w:ascii="Calibri" w:eastAsia="Calibri" w:hAnsi="Calibri" w:cs="Times New Roman"/>
          <w:bCs/>
          <w:color w:val="auto"/>
          <w:sz w:val="22"/>
          <w:szCs w:val="22"/>
        </w:rPr>
        <w:t>Contributions towards Sub-component 2.2 will be disbursed</w:t>
      </w:r>
      <w:r w:rsidR="00B203A4" w:rsidRPr="00E20F01">
        <w:rPr>
          <w:rFonts w:ascii="Calibri" w:eastAsia="Calibri" w:hAnsi="Calibri" w:cs="Times New Roman"/>
          <w:bCs/>
          <w:color w:val="auto"/>
          <w:sz w:val="22"/>
          <w:szCs w:val="22"/>
        </w:rPr>
        <w:t xml:space="preserve"> semi-annually</w:t>
      </w:r>
      <w:r w:rsidRPr="00E20F01">
        <w:rPr>
          <w:rFonts w:ascii="Calibri" w:eastAsia="Calibri" w:hAnsi="Calibri" w:cs="Times New Roman"/>
          <w:bCs/>
          <w:color w:val="auto"/>
          <w:sz w:val="22"/>
          <w:szCs w:val="22"/>
        </w:rPr>
        <w:t xml:space="preserve"> directly upon project effectiveness to </w:t>
      </w:r>
      <w:r w:rsidRPr="000B5704">
        <w:rPr>
          <w:rFonts w:ascii="Calibri" w:eastAsia="Calibri" w:hAnsi="Calibri" w:cs="Times New Roman"/>
          <w:bCs/>
          <w:i/>
          <w:color w:val="auto"/>
          <w:sz w:val="22"/>
          <w:szCs w:val="22"/>
        </w:rPr>
        <w:t>icipe,</w:t>
      </w:r>
      <w:r w:rsidRPr="000B5704">
        <w:rPr>
          <w:rFonts w:ascii="Calibri" w:eastAsia="Calibri" w:hAnsi="Calibri" w:cs="Times New Roman"/>
          <w:bCs/>
          <w:color w:val="auto"/>
          <w:sz w:val="22"/>
          <w:szCs w:val="22"/>
        </w:rPr>
        <w:t xml:space="preserve"> the RFU for the World Bank-financed </w:t>
      </w:r>
      <w:r w:rsidRPr="000B5704">
        <w:rPr>
          <w:rFonts w:ascii="Calibri" w:eastAsia="Calibri" w:hAnsi="Calibri" w:cs="Calibri"/>
          <w:color w:val="auto"/>
          <w:spacing w:val="-1"/>
          <w:sz w:val="22"/>
          <w:szCs w:val="22"/>
        </w:rPr>
        <w:t xml:space="preserve">RSIF </w:t>
      </w:r>
      <w:r w:rsidRPr="000B5704">
        <w:rPr>
          <w:rFonts w:ascii="Calibri" w:eastAsia="Calibri" w:hAnsi="Calibri" w:cs="Times New Roman"/>
          <w:bCs/>
          <w:color w:val="auto"/>
          <w:sz w:val="22"/>
          <w:szCs w:val="22"/>
        </w:rPr>
        <w:t xml:space="preserve">project. Component 3 under the Second </w:t>
      </w:r>
      <w:r w:rsidR="00BB4A89" w:rsidRPr="000B5704">
        <w:rPr>
          <w:rFonts w:ascii="Calibri" w:eastAsia="Calibri" w:hAnsi="Calibri" w:cs="Times New Roman"/>
          <w:bCs/>
          <w:color w:val="auto"/>
          <w:sz w:val="22"/>
          <w:szCs w:val="22"/>
        </w:rPr>
        <w:t>ACE Impact Project</w:t>
      </w:r>
      <w:r w:rsidR="003E6329" w:rsidRPr="000B5704">
        <w:rPr>
          <w:rFonts w:ascii="Calibri" w:eastAsia="Calibri" w:hAnsi="Calibri" w:cs="Times New Roman"/>
          <w:bCs/>
          <w:color w:val="auto"/>
          <w:sz w:val="22"/>
          <w:szCs w:val="22"/>
        </w:rPr>
        <w:t xml:space="preserve"> </w:t>
      </w:r>
      <w:r w:rsidRPr="002613C6">
        <w:rPr>
          <w:rFonts w:ascii="Calibri" w:eastAsia="Calibri" w:hAnsi="Calibri" w:cs="Times New Roman"/>
          <w:bCs/>
          <w:color w:val="auto"/>
          <w:sz w:val="22"/>
          <w:szCs w:val="22"/>
        </w:rPr>
        <w:t xml:space="preserve">will finance inputs-based expenditures for facilitation, coordination and study activities by </w:t>
      </w:r>
      <w:r w:rsidR="007E146D" w:rsidRPr="002613C6">
        <w:rPr>
          <w:rFonts w:ascii="Calibri" w:eastAsia="Calibri" w:hAnsi="Calibri" w:cs="Times New Roman"/>
          <w:bCs/>
          <w:color w:val="auto"/>
          <w:sz w:val="22"/>
          <w:szCs w:val="22"/>
        </w:rPr>
        <w:t xml:space="preserve">AAU, </w:t>
      </w:r>
      <w:r w:rsidRPr="002613C6">
        <w:rPr>
          <w:rFonts w:ascii="Calibri" w:eastAsia="Calibri" w:hAnsi="Calibri" w:cs="Times New Roman"/>
          <w:bCs/>
          <w:color w:val="auto"/>
          <w:sz w:val="22"/>
          <w:szCs w:val="22"/>
        </w:rPr>
        <w:t>NUC</w:t>
      </w:r>
      <w:r w:rsidR="00C62900" w:rsidRPr="002613C6">
        <w:rPr>
          <w:rFonts w:ascii="Calibri" w:eastAsia="Calibri" w:hAnsi="Calibri" w:cs="Times New Roman"/>
          <w:bCs/>
          <w:color w:val="auto"/>
          <w:sz w:val="22"/>
          <w:szCs w:val="22"/>
        </w:rPr>
        <w:t xml:space="preserve"> and the </w:t>
      </w:r>
      <w:r w:rsidR="00CD717D" w:rsidRPr="002613C6">
        <w:rPr>
          <w:rFonts w:ascii="Calibri" w:eastAsia="Calibri" w:hAnsi="Calibri" w:cs="Times New Roman"/>
          <w:bCs/>
          <w:color w:val="auto"/>
          <w:sz w:val="22"/>
          <w:szCs w:val="22"/>
        </w:rPr>
        <w:t>PCU-</w:t>
      </w:r>
      <w:r w:rsidR="00F44490" w:rsidRPr="002613C6">
        <w:rPr>
          <w:rFonts w:ascii="Calibri" w:eastAsia="Calibri" w:hAnsi="Calibri" w:cs="Times New Roman"/>
          <w:bCs/>
          <w:color w:val="auto"/>
          <w:sz w:val="22"/>
          <w:szCs w:val="22"/>
        </w:rPr>
        <w:t>Gambia</w:t>
      </w:r>
      <w:r w:rsidR="007E146D" w:rsidRPr="002613C6">
        <w:rPr>
          <w:rFonts w:ascii="Calibri" w:eastAsia="Calibri" w:hAnsi="Calibri" w:cs="Times New Roman"/>
          <w:bCs/>
          <w:color w:val="auto"/>
          <w:sz w:val="22"/>
          <w:szCs w:val="22"/>
        </w:rPr>
        <w:t>, and these institutions</w:t>
      </w:r>
      <w:r w:rsidRPr="00FE70FD">
        <w:rPr>
          <w:rFonts w:ascii="Calibri" w:eastAsia="Calibri" w:hAnsi="Calibri" w:cs="Times New Roman"/>
          <w:bCs/>
          <w:color w:val="auto"/>
          <w:sz w:val="22"/>
          <w:szCs w:val="22"/>
        </w:rPr>
        <w:t xml:space="preserve"> will follow the World Bank’s Procurement Regulations and use the </w:t>
      </w:r>
      <w:r w:rsidRPr="00FE70FD">
        <w:rPr>
          <w:rFonts w:ascii="Calibri" w:eastAsia="Calibri" w:hAnsi="Calibri" w:cs="Calibri"/>
          <w:color w:val="auto"/>
          <w:sz w:val="22"/>
          <w:szCs w:val="22"/>
        </w:rPr>
        <w:t xml:space="preserve">World Bank’s </w:t>
      </w:r>
      <w:r w:rsidR="001C4E5D" w:rsidRPr="004006EE">
        <w:rPr>
          <w:rFonts w:ascii="Calibri" w:eastAsia="Calibri" w:hAnsi="Calibri" w:cs="Calibri"/>
          <w:color w:val="auto"/>
          <w:sz w:val="22"/>
          <w:szCs w:val="22"/>
        </w:rPr>
        <w:t>e-Systematic Tracking of Exchanges in Procurement (</w:t>
      </w:r>
      <w:r w:rsidR="00990694" w:rsidRPr="00B35B53">
        <w:rPr>
          <w:rFonts w:ascii="Calibri" w:eastAsia="Calibri" w:hAnsi="Calibri" w:cs="Calibri"/>
          <w:color w:val="auto"/>
          <w:sz w:val="22"/>
          <w:szCs w:val="22"/>
        </w:rPr>
        <w:t>STEP) when</w:t>
      </w:r>
      <w:r w:rsidRPr="00B35B53">
        <w:rPr>
          <w:rFonts w:ascii="Calibri" w:eastAsia="Calibri" w:hAnsi="Calibri" w:cs="Times New Roman"/>
          <w:bCs/>
          <w:color w:val="auto"/>
          <w:sz w:val="22"/>
          <w:szCs w:val="22"/>
        </w:rPr>
        <w:t xml:space="preserve"> implementing the activities under the project. </w:t>
      </w:r>
    </w:p>
    <w:p w14:paraId="050FBBA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Times New Roman" w:eastAsia="Times New Roman" w:hAnsi="Times New Roman" w:cs="Times New Roman"/>
          <w:color w:val="auto"/>
          <w:sz w:val="22"/>
          <w:szCs w:val="22"/>
        </w:rPr>
      </w:pPr>
      <w:r w:rsidRPr="002E1A3F">
        <w:rPr>
          <w:rFonts w:ascii="Calibri" w:eastAsia="Calibri" w:hAnsi="Calibri" w:cs="Times New Roman"/>
          <w:b/>
          <w:bCs/>
          <w:color w:val="auto"/>
          <w:sz w:val="22"/>
          <w:szCs w:val="22"/>
        </w:rPr>
        <w:t xml:space="preserve">Consistent with the above procurement arrangements, </w:t>
      </w:r>
      <w:r w:rsidR="008D51DE">
        <w:rPr>
          <w:rFonts w:ascii="Calibri" w:eastAsia="Calibri" w:hAnsi="Calibri" w:cs="Times New Roman"/>
          <w:b/>
          <w:bCs/>
          <w:color w:val="auto"/>
          <w:sz w:val="22"/>
          <w:szCs w:val="22"/>
        </w:rPr>
        <w:t>the</w:t>
      </w:r>
      <w:r w:rsidRPr="002E1A3F">
        <w:rPr>
          <w:rFonts w:ascii="Calibri" w:eastAsia="Calibri" w:hAnsi="Calibri" w:cs="Times New Roman"/>
          <w:b/>
          <w:bCs/>
          <w:color w:val="auto"/>
          <w:sz w:val="22"/>
          <w:szCs w:val="22"/>
        </w:rPr>
        <w:t xml:space="preserve"> Project Procurement Strategy Document (PPSD)</w:t>
      </w:r>
      <w:r w:rsidR="008B36AE">
        <w:rPr>
          <w:rFonts w:ascii="Calibri" w:eastAsia="Calibri" w:hAnsi="Calibri" w:cs="Times New Roman"/>
          <w:b/>
          <w:bCs/>
          <w:color w:val="auto"/>
          <w:sz w:val="22"/>
          <w:szCs w:val="22"/>
        </w:rPr>
        <w:t>,</w:t>
      </w:r>
      <w:r w:rsidRPr="002E1A3F">
        <w:rPr>
          <w:rFonts w:ascii="Calibri" w:eastAsia="Calibri" w:hAnsi="Calibri" w:cs="Times New Roman"/>
          <w:b/>
          <w:bCs/>
          <w:color w:val="auto"/>
          <w:sz w:val="22"/>
          <w:szCs w:val="22"/>
        </w:rPr>
        <w:t xml:space="preserve"> based upon procurement assessments</w:t>
      </w:r>
      <w:r w:rsidR="008B36AE">
        <w:rPr>
          <w:rFonts w:ascii="Calibri" w:eastAsia="Calibri" w:hAnsi="Calibri" w:cs="Times New Roman"/>
          <w:b/>
          <w:bCs/>
          <w:color w:val="auto"/>
          <w:sz w:val="22"/>
          <w:szCs w:val="22"/>
        </w:rPr>
        <w:t xml:space="preserve"> and the procurement plans</w:t>
      </w:r>
      <w:r w:rsidRPr="002E1A3F">
        <w:rPr>
          <w:rFonts w:ascii="Calibri" w:eastAsia="Calibri" w:hAnsi="Calibri" w:cs="Times New Roman"/>
          <w:b/>
          <w:bCs/>
          <w:color w:val="auto"/>
          <w:sz w:val="22"/>
          <w:szCs w:val="22"/>
        </w:rPr>
        <w:t xml:space="preserve"> of the </w:t>
      </w:r>
      <w:r w:rsidR="00DD15B7">
        <w:rPr>
          <w:rFonts w:ascii="Calibri" w:eastAsia="Calibri" w:hAnsi="Calibri" w:cs="Times New Roman"/>
          <w:b/>
          <w:bCs/>
          <w:color w:val="auto"/>
          <w:sz w:val="22"/>
          <w:szCs w:val="22"/>
        </w:rPr>
        <w:t>Component 3 agencies</w:t>
      </w:r>
      <w:r w:rsidR="00A4755E">
        <w:rPr>
          <w:rFonts w:ascii="Calibri" w:eastAsia="Calibri" w:hAnsi="Calibri" w:cs="Times New Roman"/>
          <w:b/>
          <w:bCs/>
          <w:color w:val="auto"/>
          <w:sz w:val="22"/>
          <w:szCs w:val="22"/>
        </w:rPr>
        <w:t>,</w:t>
      </w:r>
      <w:r w:rsidR="008D51DE">
        <w:rPr>
          <w:rFonts w:ascii="Calibri" w:eastAsia="Calibri" w:hAnsi="Calibri" w:cs="Times New Roman"/>
          <w:b/>
          <w:bCs/>
          <w:color w:val="auto"/>
          <w:sz w:val="22"/>
          <w:szCs w:val="22"/>
        </w:rPr>
        <w:t xml:space="preserve"> include</w:t>
      </w:r>
      <w:r w:rsidR="00F02750">
        <w:rPr>
          <w:rFonts w:ascii="Calibri" w:eastAsia="Calibri" w:hAnsi="Calibri" w:cs="Times New Roman"/>
          <w:b/>
          <w:bCs/>
          <w:color w:val="auto"/>
          <w:sz w:val="22"/>
          <w:szCs w:val="22"/>
        </w:rPr>
        <w:t>s</w:t>
      </w:r>
      <w:r w:rsidR="00FF3B0D">
        <w:rPr>
          <w:rFonts w:ascii="Calibri" w:eastAsia="Calibri" w:hAnsi="Calibri" w:cs="Times New Roman"/>
          <w:b/>
          <w:bCs/>
          <w:color w:val="auto"/>
          <w:sz w:val="22"/>
          <w:szCs w:val="22"/>
        </w:rPr>
        <w:t xml:space="preserve"> </w:t>
      </w:r>
      <w:r w:rsidR="008B36AE">
        <w:rPr>
          <w:rFonts w:ascii="Calibri" w:eastAsia="Calibri" w:hAnsi="Calibri" w:cs="Times New Roman"/>
          <w:b/>
          <w:bCs/>
          <w:color w:val="auto"/>
          <w:sz w:val="22"/>
          <w:szCs w:val="22"/>
        </w:rPr>
        <w:t xml:space="preserve">the AAU, </w:t>
      </w:r>
      <w:r w:rsidR="008D51DE">
        <w:rPr>
          <w:rFonts w:ascii="Calibri" w:eastAsia="Calibri" w:hAnsi="Calibri" w:cs="Times New Roman"/>
          <w:b/>
          <w:bCs/>
          <w:color w:val="auto"/>
          <w:sz w:val="22"/>
          <w:szCs w:val="22"/>
        </w:rPr>
        <w:t xml:space="preserve">Nigeria and </w:t>
      </w:r>
      <w:r w:rsidR="004169B9">
        <w:rPr>
          <w:rFonts w:ascii="Calibri" w:eastAsia="Calibri" w:hAnsi="Calibri" w:cs="Times New Roman"/>
          <w:b/>
          <w:bCs/>
          <w:color w:val="auto"/>
          <w:sz w:val="22"/>
          <w:szCs w:val="22"/>
        </w:rPr>
        <w:t>T</w:t>
      </w:r>
      <w:r w:rsidR="00FF3B0D">
        <w:rPr>
          <w:rFonts w:ascii="Calibri" w:eastAsia="Calibri" w:hAnsi="Calibri" w:cs="Times New Roman"/>
          <w:b/>
          <w:bCs/>
          <w:color w:val="auto"/>
          <w:sz w:val="22"/>
          <w:szCs w:val="22"/>
        </w:rPr>
        <w:t>he Gambia</w:t>
      </w:r>
      <w:r w:rsidRPr="001A35E5">
        <w:rPr>
          <w:rFonts w:ascii="Calibri" w:eastAsia="Calibri" w:hAnsi="Calibri" w:cs="Times New Roman"/>
          <w:bCs/>
          <w:color w:val="auto"/>
          <w:sz w:val="22"/>
          <w:szCs w:val="22"/>
        </w:rPr>
        <w:t>.</w:t>
      </w:r>
      <w:r w:rsidRPr="002E1A3F">
        <w:rPr>
          <w:rFonts w:ascii="Calibri" w:eastAsia="Calibri" w:hAnsi="Calibri" w:cs="Times New Roman"/>
          <w:bCs/>
          <w:color w:val="auto"/>
          <w:sz w:val="22"/>
          <w:szCs w:val="22"/>
        </w:rPr>
        <w:t xml:space="preserve"> </w:t>
      </w:r>
      <w:r w:rsidRPr="002E1A3F">
        <w:rPr>
          <w:rFonts w:ascii="Calibri" w:eastAsia="Calibri" w:hAnsi="Calibri" w:cs="Calibri"/>
          <w:color w:val="auto"/>
          <w:sz w:val="22"/>
          <w:szCs w:val="22"/>
        </w:rPr>
        <w:t xml:space="preserve">The countries’ context in terms of bureaucracy, economic condition, currency stability, financial constraints, technology, and inadequate national market for high value and complex procurements, identified minor safeguards issues, coupled with the countries’ economic, procurement, and safeguards policies will impact the approach and response to the market and the execution of contracts.  </w:t>
      </w:r>
      <w:r w:rsidR="00CF0659">
        <w:rPr>
          <w:rFonts w:ascii="Calibri" w:eastAsia="Calibri" w:hAnsi="Calibri" w:cs="Calibri"/>
          <w:color w:val="auto"/>
          <w:sz w:val="22"/>
          <w:szCs w:val="22"/>
        </w:rPr>
        <w:t xml:space="preserve">Under the Second </w:t>
      </w:r>
      <w:r w:rsidR="00BB4A89">
        <w:rPr>
          <w:rFonts w:ascii="Calibri" w:eastAsia="Calibri" w:hAnsi="Calibri" w:cs="Calibri"/>
          <w:color w:val="auto"/>
          <w:sz w:val="22"/>
          <w:szCs w:val="22"/>
        </w:rPr>
        <w:t>ACE Impact Project</w:t>
      </w:r>
      <w:r w:rsidR="00CF0659">
        <w:rPr>
          <w:rFonts w:ascii="Calibri" w:eastAsia="Calibri" w:hAnsi="Calibri" w:cs="Calibri"/>
          <w:color w:val="auto"/>
          <w:sz w:val="22"/>
          <w:szCs w:val="22"/>
        </w:rPr>
        <w:t>, t</w:t>
      </w:r>
      <w:r w:rsidRPr="002E1A3F">
        <w:rPr>
          <w:rFonts w:ascii="Calibri" w:eastAsia="Calibri" w:hAnsi="Calibri" w:cs="Calibri"/>
          <w:color w:val="auto"/>
          <w:sz w:val="22"/>
          <w:szCs w:val="22"/>
        </w:rPr>
        <w:t>he capacit</w:t>
      </w:r>
      <w:r w:rsidR="003572F3">
        <w:rPr>
          <w:rFonts w:ascii="Calibri" w:eastAsia="Calibri" w:hAnsi="Calibri" w:cs="Calibri"/>
          <w:color w:val="auto"/>
          <w:sz w:val="22"/>
          <w:szCs w:val="22"/>
        </w:rPr>
        <w:t>ies</w:t>
      </w:r>
      <w:r w:rsidRPr="002E1A3F">
        <w:rPr>
          <w:rFonts w:ascii="Calibri" w:eastAsia="Calibri" w:hAnsi="Calibri" w:cs="Calibri"/>
          <w:color w:val="auto"/>
          <w:sz w:val="22"/>
          <w:szCs w:val="22"/>
        </w:rPr>
        <w:t xml:space="preserve"> of the </w:t>
      </w:r>
      <w:r w:rsidR="003572F3">
        <w:rPr>
          <w:rFonts w:ascii="Calibri" w:eastAsia="Calibri" w:hAnsi="Calibri" w:cs="Calibri"/>
          <w:color w:val="auto"/>
          <w:sz w:val="22"/>
          <w:szCs w:val="22"/>
        </w:rPr>
        <w:t>AAU,</w:t>
      </w:r>
      <w:r w:rsidRPr="002E1A3F">
        <w:rPr>
          <w:rFonts w:ascii="Calibri" w:eastAsia="Calibri" w:hAnsi="Calibri" w:cs="Calibri"/>
          <w:color w:val="auto"/>
          <w:sz w:val="22"/>
          <w:szCs w:val="22"/>
        </w:rPr>
        <w:t xml:space="preserve"> NUC</w:t>
      </w:r>
      <w:r w:rsidR="00B524C4">
        <w:rPr>
          <w:rFonts w:ascii="Calibri" w:eastAsia="Calibri" w:hAnsi="Calibri" w:cs="Calibri"/>
          <w:color w:val="auto"/>
          <w:sz w:val="22"/>
          <w:szCs w:val="22"/>
        </w:rPr>
        <w:t xml:space="preserve"> and the</w:t>
      </w:r>
      <w:r w:rsidRPr="002E1A3F">
        <w:rPr>
          <w:rFonts w:ascii="Calibri" w:eastAsia="Calibri" w:hAnsi="Calibri" w:cs="Calibri"/>
          <w:color w:val="auto"/>
          <w:sz w:val="22"/>
          <w:szCs w:val="22"/>
        </w:rPr>
        <w:t xml:space="preserve"> </w:t>
      </w:r>
      <w:r w:rsidR="00AF526E">
        <w:rPr>
          <w:rFonts w:ascii="Calibri" w:eastAsia="Calibri" w:hAnsi="Calibri" w:cs="Times New Roman"/>
          <w:bCs/>
          <w:color w:val="auto"/>
          <w:sz w:val="22"/>
          <w:szCs w:val="22"/>
        </w:rPr>
        <w:t>PCU-Gambia</w:t>
      </w:r>
      <w:r>
        <w:rPr>
          <w:rFonts w:ascii="Calibri" w:eastAsia="Calibri" w:hAnsi="Calibri" w:cs="Times New Roman"/>
          <w:color w:val="auto"/>
          <w:sz w:val="22"/>
          <w:szCs w:val="22"/>
        </w:rPr>
        <w:t xml:space="preserve"> </w:t>
      </w:r>
      <w:r w:rsidRPr="002E1A3F">
        <w:rPr>
          <w:rFonts w:ascii="Calibri" w:eastAsia="Calibri" w:hAnsi="Calibri" w:cs="Calibri"/>
          <w:color w:val="auto"/>
          <w:sz w:val="22"/>
          <w:szCs w:val="22"/>
        </w:rPr>
        <w:t xml:space="preserve">and </w:t>
      </w:r>
      <w:r w:rsidR="00B249A0">
        <w:rPr>
          <w:rFonts w:ascii="Calibri" w:eastAsia="Calibri" w:hAnsi="Calibri" w:cs="Calibri"/>
          <w:color w:val="auto"/>
          <w:sz w:val="22"/>
          <w:szCs w:val="22"/>
        </w:rPr>
        <w:t xml:space="preserve">other </w:t>
      </w:r>
      <w:r w:rsidRPr="002E1A3F">
        <w:rPr>
          <w:rFonts w:ascii="Calibri" w:eastAsia="Calibri" w:hAnsi="Calibri" w:cs="Calibri"/>
          <w:color w:val="auto"/>
          <w:sz w:val="22"/>
          <w:szCs w:val="22"/>
        </w:rPr>
        <w:t xml:space="preserve">identified procurement risks will impact the procurement implementation.  Thus, timely and adequate execution of the mitigations will help improve procurement implementation under the project. The studies and analysis show that there are opportunities for both national and international firms under the project in each of the countries. </w:t>
      </w:r>
      <w:r w:rsidRPr="002E1A3F">
        <w:rPr>
          <w:rFonts w:ascii="Calibri" w:eastAsia="Calibri" w:hAnsi="Calibri" w:cs="Times New Roman"/>
          <w:bCs/>
          <w:color w:val="auto"/>
          <w:sz w:val="22"/>
          <w:szCs w:val="22"/>
        </w:rPr>
        <w:t xml:space="preserve">In addition, the World Bank is carrying out a limited procurement assessment of a select number of the Second ACE Impact centers (in </w:t>
      </w:r>
      <w:r w:rsidRPr="002E1A3F">
        <w:rPr>
          <w:rFonts w:ascii="Calibri" w:eastAsia="Calibri" w:hAnsi="Calibri" w:cs="Times New Roman"/>
          <w:bCs/>
          <w:color w:val="auto"/>
          <w:sz w:val="22"/>
          <w:szCs w:val="22"/>
        </w:rPr>
        <w:lastRenderedPageBreak/>
        <w:t>Niger, Nigeria</w:t>
      </w:r>
      <w:r w:rsidR="00CB4ECF">
        <w:rPr>
          <w:rFonts w:ascii="Calibri" w:eastAsia="Calibri" w:hAnsi="Calibri" w:cs="Times New Roman"/>
          <w:bCs/>
          <w:color w:val="auto"/>
          <w:sz w:val="22"/>
          <w:szCs w:val="22"/>
        </w:rPr>
        <w:t xml:space="preserve">, </w:t>
      </w:r>
      <w:r w:rsidR="009F3B84">
        <w:rPr>
          <w:rFonts w:ascii="Calibri" w:eastAsia="Calibri" w:hAnsi="Calibri" w:cs="Times New Roman"/>
          <w:bCs/>
          <w:color w:val="auto"/>
          <w:sz w:val="22"/>
          <w:szCs w:val="22"/>
        </w:rPr>
        <w:t>Togo, Benin</w:t>
      </w:r>
      <w:r w:rsidRPr="002E1A3F">
        <w:rPr>
          <w:rFonts w:ascii="Calibri" w:eastAsia="Calibri" w:hAnsi="Calibri" w:cs="Times New Roman"/>
          <w:bCs/>
          <w:color w:val="auto"/>
          <w:sz w:val="22"/>
          <w:szCs w:val="22"/>
        </w:rPr>
        <w:t xml:space="preserve"> and The Gambia). </w:t>
      </w:r>
      <w:r w:rsidRPr="002E1A3F">
        <w:rPr>
          <w:rFonts w:ascii="Calibri" w:eastAsia="Calibri" w:hAnsi="Calibri" w:cs="Times New Roman"/>
          <w:color w:val="auto"/>
          <w:sz w:val="22"/>
          <w:szCs w:val="22"/>
        </w:rPr>
        <w:t xml:space="preserve">The limited assessment is focusing on select centers hosted in universities that did not participate in the </w:t>
      </w:r>
      <w:r w:rsidR="00BB4A89">
        <w:rPr>
          <w:rFonts w:ascii="Calibri" w:eastAsia="Calibri" w:hAnsi="Calibri" w:cs="Times New Roman"/>
          <w:color w:val="auto"/>
          <w:sz w:val="22"/>
          <w:szCs w:val="22"/>
        </w:rPr>
        <w:t>ACE I Project</w:t>
      </w:r>
      <w:r w:rsidRPr="002E1A3F">
        <w:rPr>
          <w:rFonts w:ascii="Calibri" w:eastAsia="Calibri" w:hAnsi="Calibri" w:cs="Times New Roman"/>
          <w:color w:val="auto"/>
          <w:sz w:val="22"/>
          <w:szCs w:val="22"/>
        </w:rPr>
        <w:t xml:space="preserve"> and so are not familiar with the program. </w:t>
      </w:r>
      <w:r w:rsidRPr="002E1A3F">
        <w:rPr>
          <w:rFonts w:ascii="Calibri" w:eastAsia="Calibri" w:hAnsi="Calibri" w:cs="Times New Roman"/>
          <w:bCs/>
          <w:color w:val="auto"/>
          <w:sz w:val="22"/>
          <w:szCs w:val="22"/>
        </w:rPr>
        <w:t xml:space="preserve">The full summary of the completed procurement assessments and suggested measures to address identified inadequacies and risks </w:t>
      </w:r>
      <w:r w:rsidR="00F269A9">
        <w:rPr>
          <w:rFonts w:ascii="Calibri" w:eastAsia="Calibri" w:hAnsi="Calibri" w:cs="Times New Roman"/>
          <w:bCs/>
          <w:color w:val="auto"/>
          <w:sz w:val="22"/>
          <w:szCs w:val="22"/>
        </w:rPr>
        <w:t>are</w:t>
      </w:r>
      <w:r w:rsidR="000F2118">
        <w:rPr>
          <w:rFonts w:ascii="Calibri" w:eastAsia="Calibri" w:hAnsi="Calibri" w:cs="Times New Roman"/>
          <w:bCs/>
          <w:color w:val="auto"/>
          <w:sz w:val="22"/>
          <w:szCs w:val="22"/>
        </w:rPr>
        <w:t xml:space="preserve"> </w:t>
      </w:r>
      <w:r w:rsidRPr="002E1A3F">
        <w:rPr>
          <w:rFonts w:ascii="Calibri" w:eastAsia="Calibri" w:hAnsi="Calibri" w:cs="Times New Roman"/>
          <w:bCs/>
          <w:color w:val="auto"/>
          <w:sz w:val="22"/>
          <w:szCs w:val="22"/>
        </w:rPr>
        <w:t>provided in Annex 2</w:t>
      </w:r>
      <w:r w:rsidR="00180EDD">
        <w:rPr>
          <w:rFonts w:ascii="Calibri" w:eastAsia="Calibri" w:hAnsi="Calibri" w:cs="Times New Roman"/>
          <w:bCs/>
          <w:color w:val="auto"/>
          <w:sz w:val="22"/>
          <w:szCs w:val="22"/>
        </w:rPr>
        <w:t>.</w:t>
      </w:r>
      <w:r w:rsidR="005E22EC">
        <w:rPr>
          <w:rFonts w:ascii="Calibri" w:eastAsia="Calibri" w:hAnsi="Calibri" w:cs="Times New Roman"/>
          <w:bCs/>
          <w:color w:val="auto"/>
          <w:sz w:val="22"/>
          <w:szCs w:val="22"/>
        </w:rPr>
        <w:t xml:space="preserve"> </w:t>
      </w:r>
      <w:r w:rsidRPr="002E1A3F">
        <w:rPr>
          <w:rFonts w:ascii="Calibri" w:eastAsia="Calibri" w:hAnsi="Calibri" w:cs="Times New Roman"/>
          <w:color w:val="auto"/>
          <w:sz w:val="22"/>
          <w:szCs w:val="22"/>
        </w:rPr>
        <w:t>A brief summary is given below</w:t>
      </w:r>
      <w:r w:rsidR="009D15FE">
        <w:rPr>
          <w:rFonts w:ascii="Calibri" w:eastAsia="Calibri" w:hAnsi="Calibri" w:cs="Times New Roman"/>
          <w:color w:val="auto"/>
          <w:sz w:val="22"/>
          <w:szCs w:val="22"/>
        </w:rPr>
        <w:t>:</w:t>
      </w:r>
    </w:p>
    <w:p w14:paraId="479EFDF6"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bCs/>
          <w:color w:val="auto"/>
          <w:sz w:val="22"/>
          <w:szCs w:val="22"/>
        </w:rPr>
      </w:pPr>
      <w:r w:rsidRPr="002E1A3F">
        <w:rPr>
          <w:rFonts w:ascii="Calibri" w:eastAsia="Calibri" w:hAnsi="Calibri" w:cs="Times New Roman"/>
          <w:b/>
          <w:color w:val="auto"/>
          <w:sz w:val="22"/>
          <w:szCs w:val="22"/>
        </w:rPr>
        <w:t>Each center</w:t>
      </w:r>
      <w:r w:rsidR="004138DB">
        <w:rPr>
          <w:rFonts w:ascii="Calibri" w:eastAsia="Calibri" w:hAnsi="Calibri" w:cs="Times New Roman"/>
          <w:b/>
          <w:color w:val="auto"/>
          <w:sz w:val="22"/>
          <w:szCs w:val="22"/>
        </w:rPr>
        <w:t xml:space="preserve">, </w:t>
      </w:r>
      <w:r w:rsidR="00393182">
        <w:rPr>
          <w:rFonts w:ascii="Calibri" w:eastAsia="Calibri" w:hAnsi="Calibri" w:cs="Times New Roman"/>
          <w:b/>
          <w:color w:val="auto"/>
          <w:sz w:val="22"/>
          <w:szCs w:val="22"/>
        </w:rPr>
        <w:t xml:space="preserve">AAU, </w:t>
      </w:r>
      <w:r w:rsidR="00393182" w:rsidRPr="00FC2C08">
        <w:rPr>
          <w:rFonts w:ascii="Calibri" w:eastAsia="Calibri" w:hAnsi="Calibri" w:cs="Times New Roman"/>
          <w:b/>
          <w:color w:val="auto"/>
          <w:sz w:val="22"/>
          <w:szCs w:val="22"/>
        </w:rPr>
        <w:t xml:space="preserve">the </w:t>
      </w:r>
      <w:r w:rsidR="00F669E1" w:rsidRPr="00FC2C08">
        <w:rPr>
          <w:rFonts w:ascii="Calibri" w:eastAsia="Calibri" w:hAnsi="Calibri" w:cs="Times New Roman"/>
          <w:b/>
          <w:bCs/>
          <w:color w:val="auto"/>
          <w:sz w:val="22"/>
          <w:szCs w:val="22"/>
        </w:rPr>
        <w:t>PCU-Gambia</w:t>
      </w:r>
      <w:r w:rsidR="00F669E1" w:rsidRPr="00EF7AE8">
        <w:rPr>
          <w:rFonts w:ascii="Calibri" w:eastAsia="Calibri" w:hAnsi="Calibri" w:cs="Times New Roman"/>
          <w:bCs/>
          <w:color w:val="auto"/>
          <w:sz w:val="22"/>
          <w:szCs w:val="22"/>
        </w:rPr>
        <w:t xml:space="preserve">, </w:t>
      </w:r>
      <w:r w:rsidRPr="002E1A3F">
        <w:rPr>
          <w:rFonts w:ascii="Calibri" w:eastAsia="Calibri" w:hAnsi="Calibri" w:cs="Times New Roman"/>
          <w:b/>
          <w:color w:val="auto"/>
          <w:sz w:val="22"/>
          <w:szCs w:val="22"/>
        </w:rPr>
        <w:t>and the NUC will have in place adequate capacity to ensure the timely implementation of procurement activities</w:t>
      </w:r>
      <w:r w:rsidRPr="002E1A3F">
        <w:rPr>
          <w:rFonts w:ascii="Calibri" w:eastAsia="Calibri" w:hAnsi="Calibri" w:cs="Times New Roman"/>
          <w:color w:val="auto"/>
          <w:sz w:val="22"/>
          <w:szCs w:val="22"/>
        </w:rPr>
        <w:t xml:space="preserve">. AAU will have the responsibility </w:t>
      </w:r>
      <w:r w:rsidR="00255B14">
        <w:rPr>
          <w:rFonts w:ascii="Calibri" w:eastAsia="Calibri" w:hAnsi="Calibri" w:cs="Times New Roman"/>
          <w:color w:val="auto"/>
          <w:sz w:val="22"/>
          <w:szCs w:val="22"/>
        </w:rPr>
        <w:t>for</w:t>
      </w:r>
      <w:r w:rsidRPr="002E1A3F">
        <w:rPr>
          <w:rFonts w:ascii="Calibri" w:eastAsia="Calibri" w:hAnsi="Calibri" w:cs="Times New Roman"/>
          <w:color w:val="auto"/>
          <w:sz w:val="22"/>
          <w:szCs w:val="22"/>
        </w:rPr>
        <w:t xml:space="preserve"> procurement activities under the regional level activities (</w:t>
      </w:r>
      <w:r w:rsidRPr="002E1A3F">
        <w:rPr>
          <w:rFonts w:ascii="Calibri" w:eastAsia="Calibri" w:hAnsi="Calibri" w:cs="Times New Roman"/>
          <w:bCs/>
          <w:color w:val="auto"/>
          <w:sz w:val="22"/>
          <w:szCs w:val="22"/>
        </w:rPr>
        <w:t>under</w:t>
      </w:r>
      <w:r w:rsidRPr="002E1A3F">
        <w:rPr>
          <w:rFonts w:ascii="Calibri" w:eastAsia="Calibri" w:hAnsi="Calibri" w:cs="Times New Roman"/>
          <w:color w:val="auto"/>
          <w:sz w:val="22"/>
          <w:szCs w:val="22"/>
        </w:rPr>
        <w:t xml:space="preserve"> Component 3) they will support and in accordance with the PR and using STEP for procurement planning and prior reviews. AAU will also engage a well-qualified and experienced procurement consultant proficient in World Bank procurement requirements and procedures, to undertake procurement at AAU. The procurement consultant will more importantly act as an advisor to the First and Second ACE Impact centers, supporting them in procurement</w:t>
      </w:r>
      <w:r w:rsidR="002515A3">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related activities. The limited assessment indicated </w:t>
      </w:r>
      <w:r w:rsidRPr="002E1A3F">
        <w:rPr>
          <w:rFonts w:ascii="Calibri" w:eastAsia="Calibri" w:hAnsi="Calibri" w:cs="Calibri"/>
          <w:color w:val="auto"/>
          <w:sz w:val="22"/>
          <w:szCs w:val="22"/>
        </w:rPr>
        <w:t>a lack of staff that are solely dedicated to the centers’ project procurement activities. The universities will delegate a dedicated procurement staff from its existing staff or hire one to handle procurement activities for the centers.</w:t>
      </w:r>
    </w:p>
    <w:p w14:paraId="3981AFB8" w14:textId="77777777" w:rsidR="002E1A3F" w:rsidRPr="00FF5851"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Since the centers will utilize their own institutions’/national procurement guidelines, the government will be the primary </w:t>
      </w:r>
      <w:r w:rsidR="00255B14">
        <w:rPr>
          <w:rFonts w:ascii="Calibri" w:eastAsia="Calibri" w:hAnsi="Calibri" w:cs="Times New Roman"/>
          <w:b/>
          <w:color w:val="auto"/>
          <w:sz w:val="22"/>
          <w:szCs w:val="22"/>
        </w:rPr>
        <w:t xml:space="preserve">entity </w:t>
      </w:r>
      <w:r w:rsidRPr="002E1A3F">
        <w:rPr>
          <w:rFonts w:ascii="Calibri" w:eastAsia="Calibri" w:hAnsi="Calibri" w:cs="Times New Roman"/>
          <w:b/>
          <w:color w:val="auto"/>
          <w:sz w:val="22"/>
          <w:szCs w:val="22"/>
        </w:rPr>
        <w:t>responsible for oversight with limited strategic oversight by the World Bank’s procurement team</w:t>
      </w:r>
      <w:r w:rsidRPr="002E1A3F">
        <w:rPr>
          <w:rFonts w:ascii="Calibri" w:eastAsia="Calibri" w:hAnsi="Calibri" w:cs="Times New Roman"/>
          <w:color w:val="auto"/>
          <w:sz w:val="22"/>
          <w:szCs w:val="22"/>
        </w:rPr>
        <w:t xml:space="preserve">. Given the peculiarities associated with procurement of science equipment and research supplies, centers may propose separate guidelines that are specific for procurement of science goods and allow the centers to be efficient in implementing their projects on schedule.  Such additional guidelines will be consistent with the general principles of procurement, included in the Procurement Manuals of the centers and subject to approval by the World Bank procurement specialist in the country. To ensure compliance by the centers and to monitor their procurement activities, the </w:t>
      </w:r>
      <w:r w:rsidR="00E854BC">
        <w:rPr>
          <w:rFonts w:ascii="Calibri" w:eastAsia="Calibri" w:hAnsi="Calibri" w:cs="Times New Roman"/>
          <w:color w:val="auto"/>
          <w:sz w:val="22"/>
          <w:szCs w:val="22"/>
        </w:rPr>
        <w:t>NSC</w:t>
      </w:r>
      <w:r w:rsidRPr="002E1A3F">
        <w:rPr>
          <w:rFonts w:ascii="Calibri" w:eastAsia="Calibri" w:hAnsi="Calibri" w:cs="Times New Roman"/>
          <w:color w:val="auto"/>
          <w:sz w:val="22"/>
          <w:szCs w:val="22"/>
        </w:rPr>
        <w:t>s will review the procurement audits of the centers within their respective countries at least once a year.</w:t>
      </w:r>
      <w:r w:rsidRPr="002E1A3F">
        <w:rPr>
          <w:rFonts w:ascii="Calibri" w:eastAsia="Calibri" w:hAnsi="Calibri" w:cs="Calibri"/>
          <w:color w:val="auto"/>
          <w:sz w:val="22"/>
          <w:szCs w:val="22"/>
        </w:rPr>
        <w:t xml:space="preserve"> Overall, the procurement risk rating for the project is </w:t>
      </w:r>
      <w:r w:rsidR="007059B7">
        <w:rPr>
          <w:rFonts w:ascii="Calibri" w:eastAsia="Calibri" w:hAnsi="Calibri" w:cs="Calibri"/>
          <w:color w:val="auto"/>
          <w:sz w:val="22"/>
          <w:szCs w:val="22"/>
        </w:rPr>
        <w:t>Substantial</w:t>
      </w:r>
      <w:r w:rsidR="00836E6B">
        <w:rPr>
          <w:rFonts w:ascii="Calibri" w:eastAsia="Calibri" w:hAnsi="Calibri" w:cs="Calibri"/>
          <w:color w:val="auto"/>
          <w:sz w:val="22"/>
          <w:szCs w:val="22"/>
        </w:rPr>
        <w:t xml:space="preserve"> </w:t>
      </w:r>
      <w:r w:rsidR="00DC3E94">
        <w:rPr>
          <w:rFonts w:ascii="Calibri" w:eastAsia="Calibri" w:hAnsi="Calibri" w:cs="Calibri"/>
          <w:color w:val="auto"/>
          <w:sz w:val="22"/>
          <w:szCs w:val="22"/>
        </w:rPr>
        <w:t xml:space="preserve">due to the low </w:t>
      </w:r>
      <w:r w:rsidR="00ED3564">
        <w:rPr>
          <w:rFonts w:ascii="Calibri" w:eastAsia="Calibri" w:hAnsi="Calibri" w:cs="Calibri"/>
          <w:color w:val="auto"/>
          <w:sz w:val="22"/>
          <w:szCs w:val="22"/>
        </w:rPr>
        <w:t>procurement capacity of the staff at the centers.</w:t>
      </w:r>
      <w:r w:rsidR="0068147E">
        <w:rPr>
          <w:rFonts w:ascii="Calibri" w:eastAsia="Calibri" w:hAnsi="Calibri" w:cs="Calibri"/>
          <w:color w:val="auto"/>
          <w:sz w:val="22"/>
          <w:szCs w:val="22"/>
        </w:rPr>
        <w:t xml:space="preserve"> </w:t>
      </w:r>
      <w:r w:rsidR="00863544">
        <w:rPr>
          <w:rFonts w:ascii="Calibri" w:eastAsia="Calibri" w:hAnsi="Calibri" w:cs="Calibri"/>
          <w:color w:val="auto"/>
          <w:sz w:val="22"/>
          <w:szCs w:val="22"/>
        </w:rPr>
        <w:t>It is</w:t>
      </w:r>
      <w:r w:rsidR="000415E8">
        <w:rPr>
          <w:rFonts w:ascii="Calibri" w:eastAsia="Calibri" w:hAnsi="Calibri" w:cs="Calibri"/>
          <w:color w:val="auto"/>
          <w:sz w:val="22"/>
          <w:szCs w:val="22"/>
        </w:rPr>
        <w:t>,</w:t>
      </w:r>
      <w:r w:rsidR="00863544">
        <w:rPr>
          <w:rFonts w:ascii="Calibri" w:eastAsia="Calibri" w:hAnsi="Calibri" w:cs="Calibri"/>
          <w:color w:val="auto"/>
          <w:sz w:val="22"/>
          <w:szCs w:val="22"/>
        </w:rPr>
        <w:t xml:space="preserve"> however</w:t>
      </w:r>
      <w:r w:rsidR="000415E8">
        <w:rPr>
          <w:rFonts w:ascii="Calibri" w:eastAsia="Calibri" w:hAnsi="Calibri" w:cs="Calibri"/>
          <w:color w:val="auto"/>
          <w:sz w:val="22"/>
          <w:szCs w:val="22"/>
        </w:rPr>
        <w:t>,</w:t>
      </w:r>
      <w:r w:rsidR="00863544">
        <w:rPr>
          <w:rFonts w:ascii="Calibri" w:eastAsia="Calibri" w:hAnsi="Calibri" w:cs="Calibri"/>
          <w:color w:val="auto"/>
          <w:sz w:val="22"/>
          <w:szCs w:val="22"/>
        </w:rPr>
        <w:t xml:space="preserve"> important to note that the</w:t>
      </w:r>
      <w:r w:rsidR="0066702E">
        <w:rPr>
          <w:rFonts w:ascii="Calibri" w:eastAsia="Calibri" w:hAnsi="Calibri" w:cs="Calibri"/>
          <w:color w:val="auto"/>
          <w:sz w:val="22"/>
          <w:szCs w:val="22"/>
        </w:rPr>
        <w:t xml:space="preserve"> </w:t>
      </w:r>
      <w:r w:rsidR="007059B7">
        <w:rPr>
          <w:rFonts w:ascii="Calibri" w:eastAsia="Calibri" w:hAnsi="Calibri" w:cs="Calibri"/>
          <w:color w:val="auto"/>
          <w:sz w:val="22"/>
          <w:szCs w:val="22"/>
        </w:rPr>
        <w:t xml:space="preserve">procurement </w:t>
      </w:r>
      <w:r w:rsidR="00C60463">
        <w:rPr>
          <w:rFonts w:ascii="Calibri" w:eastAsia="Calibri" w:hAnsi="Calibri" w:cs="Calibri"/>
          <w:color w:val="auto"/>
          <w:sz w:val="22"/>
          <w:szCs w:val="22"/>
        </w:rPr>
        <w:t>within</w:t>
      </w:r>
      <w:r w:rsidR="007059B7">
        <w:rPr>
          <w:rFonts w:ascii="Calibri" w:eastAsia="Calibri" w:hAnsi="Calibri" w:cs="Calibri"/>
          <w:color w:val="auto"/>
          <w:sz w:val="22"/>
          <w:szCs w:val="22"/>
        </w:rPr>
        <w:t xml:space="preserve"> the project </w:t>
      </w:r>
      <w:r w:rsidR="0066702E">
        <w:rPr>
          <w:rFonts w:ascii="Calibri" w:eastAsia="Calibri" w:hAnsi="Calibri" w:cs="Calibri"/>
          <w:color w:val="auto"/>
          <w:sz w:val="22"/>
          <w:szCs w:val="22"/>
        </w:rPr>
        <w:t xml:space="preserve">that </w:t>
      </w:r>
      <w:r w:rsidR="000415E8">
        <w:rPr>
          <w:rFonts w:ascii="Calibri" w:eastAsia="Calibri" w:hAnsi="Calibri" w:cs="Calibri"/>
          <w:color w:val="auto"/>
          <w:sz w:val="22"/>
          <w:szCs w:val="22"/>
        </w:rPr>
        <w:t xml:space="preserve">will </w:t>
      </w:r>
      <w:r w:rsidR="0066702E">
        <w:rPr>
          <w:rFonts w:ascii="Calibri" w:eastAsia="Calibri" w:hAnsi="Calibri" w:cs="Calibri"/>
          <w:color w:val="auto"/>
          <w:sz w:val="22"/>
          <w:szCs w:val="22"/>
        </w:rPr>
        <w:t xml:space="preserve">use </w:t>
      </w:r>
      <w:r w:rsidR="00C00B64">
        <w:rPr>
          <w:rFonts w:asciiTheme="minorHAnsi" w:eastAsiaTheme="minorHAnsi" w:hAnsiTheme="minorHAnsi" w:cstheme="minorHAnsi"/>
          <w:color w:val="auto"/>
          <w:sz w:val="22"/>
          <w:szCs w:val="22"/>
        </w:rPr>
        <w:t>World</w:t>
      </w:r>
      <w:r w:rsidR="00C00B64">
        <w:rPr>
          <w:rFonts w:ascii="Calibri" w:eastAsia="Calibri" w:hAnsi="Calibri" w:cs="Calibri"/>
          <w:color w:val="auto"/>
          <w:sz w:val="22"/>
          <w:szCs w:val="22"/>
        </w:rPr>
        <w:t xml:space="preserve"> </w:t>
      </w:r>
      <w:r w:rsidR="0066702E">
        <w:rPr>
          <w:rFonts w:ascii="Calibri" w:eastAsia="Calibri" w:hAnsi="Calibri" w:cs="Calibri"/>
          <w:color w:val="auto"/>
          <w:sz w:val="22"/>
          <w:szCs w:val="22"/>
        </w:rPr>
        <w:t>Bank procur</w:t>
      </w:r>
      <w:r w:rsidR="00D2736D">
        <w:rPr>
          <w:rFonts w:ascii="Calibri" w:eastAsia="Calibri" w:hAnsi="Calibri" w:cs="Calibri"/>
          <w:color w:val="auto"/>
          <w:sz w:val="22"/>
          <w:szCs w:val="22"/>
        </w:rPr>
        <w:t xml:space="preserve">ement system </w:t>
      </w:r>
      <w:r w:rsidR="0068463F">
        <w:rPr>
          <w:rFonts w:ascii="Calibri" w:eastAsia="Calibri" w:hAnsi="Calibri" w:cs="Calibri"/>
          <w:color w:val="auto"/>
          <w:sz w:val="22"/>
          <w:szCs w:val="22"/>
        </w:rPr>
        <w:t xml:space="preserve">(that is, procurement by </w:t>
      </w:r>
      <w:r w:rsidR="0068463F" w:rsidRPr="00047626">
        <w:rPr>
          <w:rFonts w:ascii="Calibri" w:eastAsia="Calibri" w:hAnsi="Calibri" w:cs="Calibri"/>
          <w:color w:val="auto"/>
          <w:sz w:val="22"/>
          <w:szCs w:val="22"/>
        </w:rPr>
        <w:t>AAU, the PCU-Gambia, and the NUC</w:t>
      </w:r>
      <w:r w:rsidR="00460C22">
        <w:rPr>
          <w:rFonts w:ascii="Calibri" w:eastAsia="Calibri" w:hAnsi="Calibri" w:cs="Calibri"/>
          <w:color w:val="auto"/>
          <w:sz w:val="22"/>
          <w:szCs w:val="22"/>
        </w:rPr>
        <w:t>)</w:t>
      </w:r>
      <w:r w:rsidR="0068463F">
        <w:rPr>
          <w:rFonts w:ascii="Calibri" w:eastAsia="Calibri" w:hAnsi="Calibri" w:cs="Calibri"/>
          <w:color w:val="auto"/>
          <w:sz w:val="22"/>
          <w:szCs w:val="22"/>
        </w:rPr>
        <w:t xml:space="preserve"> </w:t>
      </w:r>
      <w:r w:rsidR="007059B7">
        <w:rPr>
          <w:rFonts w:ascii="Calibri" w:eastAsia="Calibri" w:hAnsi="Calibri" w:cs="Calibri"/>
          <w:color w:val="auto"/>
          <w:sz w:val="22"/>
          <w:szCs w:val="22"/>
        </w:rPr>
        <w:t>is light and all the</w:t>
      </w:r>
      <w:r w:rsidR="00C870E9">
        <w:rPr>
          <w:rFonts w:ascii="Calibri" w:eastAsia="Calibri" w:hAnsi="Calibri" w:cs="Calibri"/>
          <w:color w:val="auto"/>
          <w:sz w:val="22"/>
          <w:szCs w:val="22"/>
        </w:rPr>
        <w:t>ir</w:t>
      </w:r>
      <w:r w:rsidR="007059B7">
        <w:rPr>
          <w:rFonts w:ascii="Calibri" w:eastAsia="Calibri" w:hAnsi="Calibri" w:cs="Calibri"/>
          <w:color w:val="auto"/>
          <w:sz w:val="22"/>
          <w:szCs w:val="22"/>
        </w:rPr>
        <w:t xml:space="preserve"> procurement packages are expected to be simple and of low cost</w:t>
      </w:r>
      <w:r w:rsidRPr="002E1A3F">
        <w:rPr>
          <w:rFonts w:ascii="Calibri" w:eastAsia="Calibri" w:hAnsi="Calibri" w:cs="Calibri"/>
          <w:color w:val="auto"/>
          <w:sz w:val="22"/>
          <w:szCs w:val="22"/>
        </w:rPr>
        <w:t xml:space="preserve">. </w:t>
      </w:r>
    </w:p>
    <w:tbl>
      <w:tblPr>
        <w:tblStyle w:val="TableGrid18"/>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0C3959" w14:paraId="6B5D16DA" w14:textId="77777777" w:rsidTr="009277AD">
        <w:trPr>
          <w:trHeight w:val="80"/>
        </w:trPr>
        <w:tc>
          <w:tcPr>
            <w:tcW w:w="10710" w:type="dxa"/>
          </w:tcPr>
          <w:p w14:paraId="3F3EE828" w14:textId="77777777" w:rsidR="002E1A3F" w:rsidRPr="002E1A3F" w:rsidRDefault="00B00100">
            <w:pPr>
              <w:keepNext/>
              <w:widowControl/>
              <w:autoSpaceDE/>
              <w:autoSpaceDN/>
              <w:adjustRightInd/>
              <w:spacing w:before="40"/>
              <w:outlineLvl w:val="1"/>
              <w:rPr>
                <w:rFonts w:ascii="Calibri" w:eastAsia="Times New Roman" w:hAnsi="Calibri" w:cs="Times New Roman"/>
                <w:b/>
                <w:color w:val="172D5F"/>
                <w:sz w:val="22"/>
                <w:szCs w:val="22"/>
              </w:rPr>
            </w:pPr>
            <w:bookmarkStart w:id="249" w:name="_Toc256000151"/>
            <w:bookmarkStart w:id="250" w:name="_Toc256000122"/>
            <w:bookmarkStart w:id="251" w:name="_Toc256000089"/>
            <w:bookmarkStart w:id="252" w:name="_Toc256000057"/>
            <w:bookmarkStart w:id="253" w:name="_Toc256000025"/>
            <w:bookmarkStart w:id="254" w:name="_Toc8301936"/>
            <w:bookmarkStart w:id="255" w:name="_Toc14789353"/>
            <w:bookmarkStart w:id="256" w:name="_Toc22655922"/>
            <w:bookmarkStart w:id="257" w:name="_Toc23779851"/>
            <w:bookmarkStart w:id="258" w:name="_Toc23866067"/>
            <w:bookmarkStart w:id="259" w:name="_Toc23930678"/>
            <w:r w:rsidRPr="002E1A3F">
              <w:rPr>
                <w:rFonts w:ascii="Calibri" w:eastAsia="Times New Roman" w:hAnsi="Calibri" w:cs="Times New Roman"/>
                <w:b/>
                <w:color w:val="172D5F"/>
                <w:sz w:val="22"/>
                <w:szCs w:val="22"/>
              </w:rPr>
              <w:t>C. Safeguards</w:t>
            </w:r>
            <w:bookmarkEnd w:id="249"/>
            <w:bookmarkEnd w:id="250"/>
            <w:bookmarkEnd w:id="251"/>
            <w:bookmarkEnd w:id="252"/>
            <w:bookmarkEnd w:id="253"/>
            <w:bookmarkEnd w:id="254"/>
            <w:bookmarkEnd w:id="255"/>
            <w:bookmarkEnd w:id="256"/>
            <w:bookmarkEnd w:id="257"/>
            <w:bookmarkEnd w:id="258"/>
            <w:bookmarkEnd w:id="259"/>
          </w:p>
        </w:tc>
      </w:tr>
    </w:tbl>
    <w:p w14:paraId="6D429E9B" w14:textId="77777777" w:rsidR="002E1A3F" w:rsidRPr="002E1A3F" w:rsidRDefault="002E1A3F">
      <w:pPr>
        <w:ind w:left="-634"/>
        <w:rPr>
          <w:rFonts w:ascii="Calibri" w:eastAsia="Times New Roman" w:hAnsi="Calibri"/>
          <w:bCs/>
        </w:rPr>
      </w:pPr>
    </w:p>
    <w:p w14:paraId="2FCB926D" w14:textId="77777777" w:rsidR="002E1A3F" w:rsidRPr="002E1A3F" w:rsidRDefault="00B00100" w:rsidP="008E2709">
      <w:pPr>
        <w:widowControl/>
        <w:numPr>
          <w:ilvl w:val="0"/>
          <w:numId w:val="2"/>
        </w:numPr>
        <w:autoSpaceDE/>
        <w:autoSpaceDN/>
        <w:adjustRightInd/>
        <w:spacing w:after="160"/>
        <w:ind w:left="0" w:firstLine="0"/>
        <w:rPr>
          <w:rFonts w:ascii="Calibri" w:eastAsia="Calibri,Times New Roman" w:hAnsi="Calibri" w:cs="Calibri"/>
          <w:b/>
          <w:color w:val="auto"/>
          <w:sz w:val="22"/>
          <w:szCs w:val="22"/>
        </w:rPr>
      </w:pPr>
      <w:r w:rsidRPr="002E1A3F">
        <w:rPr>
          <w:rFonts w:ascii="Calibri" w:eastAsia="Calibri" w:hAnsi="Calibri" w:cs="Calibri"/>
          <w:b/>
          <w:color w:val="auto"/>
          <w:sz w:val="22"/>
          <w:szCs w:val="22"/>
        </w:rPr>
        <w:t>Environmental Safeguards</w:t>
      </w:r>
    </w:p>
    <w:p w14:paraId="2FBD2BA7"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B6AFB">
        <w:rPr>
          <w:rFonts w:ascii="Calibri" w:eastAsia="Calibri" w:hAnsi="Calibri" w:cs="Calibri"/>
          <w:b/>
          <w:bCs/>
          <w:color w:val="auto"/>
          <w:sz w:val="22"/>
          <w:szCs w:val="22"/>
        </w:rPr>
        <w:t>Environmental Assessment category:  The project is classified as Category B in accordance with the World Bank’s Operational Safeguards Policies</w:t>
      </w:r>
      <w:r>
        <w:rPr>
          <w:rFonts w:ascii="Calibri" w:eastAsia="Calibri" w:hAnsi="Calibri" w:cs="Calibri"/>
          <w:b/>
          <w:bCs/>
          <w:color w:val="auto"/>
          <w:sz w:val="22"/>
          <w:szCs w:val="22"/>
        </w:rPr>
        <w:t>.</w:t>
      </w:r>
      <w:r w:rsidRPr="00BB6AFB">
        <w:rPr>
          <w:rFonts w:ascii="Calibri" w:eastAsia="Calibri" w:hAnsi="Calibri" w:cs="Calibri"/>
          <w:b/>
          <w:bCs/>
          <w:color w:val="auto"/>
          <w:sz w:val="22"/>
          <w:szCs w:val="22"/>
        </w:rPr>
        <w:t xml:space="preserve"> </w:t>
      </w:r>
      <w:r w:rsidRPr="009F4A64">
        <w:rPr>
          <w:rFonts w:ascii="Calibri" w:eastAsia="Calibri" w:hAnsi="Calibri" w:cs="Calibri"/>
          <w:bCs/>
          <w:color w:val="auto"/>
          <w:sz w:val="22"/>
          <w:szCs w:val="22"/>
        </w:rPr>
        <w:t xml:space="preserve">This rating is based on the scope of the </w:t>
      </w:r>
      <w:r>
        <w:rPr>
          <w:rFonts w:ascii="Calibri" w:eastAsia="Calibri" w:hAnsi="Calibri" w:cs="Calibri"/>
          <w:bCs/>
          <w:color w:val="auto"/>
          <w:sz w:val="22"/>
          <w:szCs w:val="22"/>
        </w:rPr>
        <w:t>p</w:t>
      </w:r>
      <w:r w:rsidRPr="009F4A64">
        <w:rPr>
          <w:rFonts w:ascii="Calibri" w:eastAsia="Calibri" w:hAnsi="Calibri" w:cs="Calibri"/>
          <w:bCs/>
          <w:color w:val="auto"/>
          <w:sz w:val="22"/>
          <w:szCs w:val="22"/>
        </w:rPr>
        <w:t xml:space="preserve">roject, which indicates adverse environmental and social impacts </w:t>
      </w:r>
      <w:r w:rsidR="00540AE7" w:rsidRPr="00540AE7">
        <w:rPr>
          <w:rFonts w:ascii="Calibri" w:eastAsia="Calibri" w:hAnsi="Calibri" w:cs="Calibri"/>
          <w:bCs/>
          <w:color w:val="auto"/>
          <w:sz w:val="22"/>
          <w:szCs w:val="22"/>
        </w:rPr>
        <w:t>are expected to be limited</w:t>
      </w:r>
      <w:r w:rsidR="008B36AE">
        <w:rPr>
          <w:rFonts w:ascii="Calibri" w:eastAsia="Calibri" w:hAnsi="Calibri" w:cs="Calibri"/>
          <w:bCs/>
          <w:color w:val="auto"/>
          <w:sz w:val="22"/>
          <w:szCs w:val="22"/>
        </w:rPr>
        <w:t xml:space="preserve"> and</w:t>
      </w:r>
      <w:r w:rsidR="00540AE7" w:rsidRPr="00540AE7">
        <w:rPr>
          <w:rFonts w:ascii="Calibri" w:eastAsia="Calibri" w:hAnsi="Calibri" w:cs="Calibri"/>
          <w:bCs/>
          <w:color w:val="auto"/>
          <w:sz w:val="22"/>
          <w:szCs w:val="22"/>
        </w:rPr>
        <w:t xml:space="preserve"> mostly site</w:t>
      </w:r>
      <w:r w:rsidR="00A871EA">
        <w:rPr>
          <w:rFonts w:ascii="Calibri" w:eastAsia="Calibri" w:hAnsi="Calibri" w:cs="Calibri"/>
          <w:bCs/>
          <w:color w:val="auto"/>
          <w:sz w:val="22"/>
          <w:szCs w:val="22"/>
        </w:rPr>
        <w:t>-</w:t>
      </w:r>
      <w:r w:rsidR="00540AE7" w:rsidRPr="00540AE7">
        <w:rPr>
          <w:rFonts w:ascii="Calibri" w:eastAsia="Calibri" w:hAnsi="Calibri" w:cs="Calibri"/>
          <w:bCs/>
          <w:color w:val="auto"/>
          <w:sz w:val="22"/>
          <w:szCs w:val="22"/>
        </w:rPr>
        <w:t xml:space="preserve">specific due to </w:t>
      </w:r>
      <w:r w:rsidR="0002750C">
        <w:rPr>
          <w:rFonts w:ascii="Calibri" w:eastAsia="Calibri" w:hAnsi="Calibri" w:cs="Calibri"/>
          <w:bCs/>
          <w:color w:val="auto"/>
          <w:sz w:val="22"/>
          <w:szCs w:val="22"/>
        </w:rPr>
        <w:t xml:space="preserve">the nature </w:t>
      </w:r>
      <w:r w:rsidRPr="009F4A64">
        <w:rPr>
          <w:rFonts w:ascii="Calibri" w:eastAsia="Calibri" w:hAnsi="Calibri" w:cs="Calibri"/>
          <w:bCs/>
          <w:color w:val="auto"/>
          <w:sz w:val="22"/>
          <w:szCs w:val="22"/>
        </w:rPr>
        <w:t>of the civil works activities</w:t>
      </w:r>
      <w:r w:rsidR="00680287">
        <w:rPr>
          <w:rFonts w:ascii="Calibri" w:eastAsia="Calibri" w:hAnsi="Calibri" w:cs="Calibri"/>
          <w:bCs/>
          <w:color w:val="auto"/>
          <w:sz w:val="22"/>
          <w:szCs w:val="22"/>
        </w:rPr>
        <w:t xml:space="preserve">. </w:t>
      </w:r>
      <w:r w:rsidR="00960F3E" w:rsidRPr="009F4A64">
        <w:rPr>
          <w:rFonts w:ascii="Calibri" w:eastAsia="Calibri" w:hAnsi="Calibri" w:cs="Calibri"/>
          <w:bCs/>
          <w:color w:val="auto"/>
          <w:sz w:val="22"/>
          <w:szCs w:val="22"/>
        </w:rPr>
        <w:t xml:space="preserve">The civil works within the project will mainly consist of construction of new buildings or other facilities within the current boundaries of university campuses of the selected centers; or extensions of current buildings and facilities; or rehabilitation of old buildings and facilities, including repair of buildings that do not meet current building </w:t>
      </w:r>
      <w:r w:rsidR="00960F3E" w:rsidRPr="009F4A64">
        <w:rPr>
          <w:rFonts w:ascii="Calibri" w:eastAsia="Calibri" w:hAnsi="Calibri" w:cs="Times New Roman"/>
          <w:bCs/>
          <w:color w:val="auto"/>
          <w:sz w:val="22"/>
          <w:szCs w:val="22"/>
        </w:rPr>
        <w:t>standards</w:t>
      </w:r>
      <w:r w:rsidR="00960F3E" w:rsidRPr="00433080">
        <w:rPr>
          <w:rFonts w:ascii="Calibri" w:eastAsia="Calibri" w:hAnsi="Calibri" w:cs="Calibri"/>
          <w:bCs/>
          <w:color w:val="auto"/>
          <w:sz w:val="22"/>
          <w:szCs w:val="22"/>
        </w:rPr>
        <w:t xml:space="preserve">. In addition to </w:t>
      </w:r>
      <w:r w:rsidR="00960F3E" w:rsidRPr="00433080">
        <w:rPr>
          <w:rFonts w:ascii="Calibri" w:eastAsia="Calibri" w:hAnsi="Calibri" w:cs="Calibri"/>
          <w:bCs/>
          <w:color w:val="auto"/>
          <w:sz w:val="22"/>
          <w:szCs w:val="22"/>
        </w:rPr>
        <w:lastRenderedPageBreak/>
        <w:t>encouraging</w:t>
      </w:r>
      <w:r w:rsidR="00960F3E" w:rsidRPr="002E1A3F">
        <w:rPr>
          <w:rFonts w:ascii="Calibri" w:eastAsia="Calibri" w:hAnsi="Calibri" w:cs="Calibri"/>
          <w:bCs/>
          <w:color w:val="auto"/>
          <w:sz w:val="22"/>
          <w:szCs w:val="22"/>
        </w:rPr>
        <w:t xml:space="preserve"> investment in knowledge and skills in priority areas pertinent to the region’s development, the project activities will have positive impacts in terms of promoting awareness among all national stakeholders about the environmental and social issues of project activities, respect for the environment and the key principles of sustainable development. The potential negative environmental impacts associated with soil and water pollution, liquid and solid waste, occupational health and safety and community safety are expected to be moderate and limited in time and space. </w:t>
      </w:r>
      <w:r w:rsidR="00826E9E" w:rsidRPr="0094423C">
        <w:rPr>
          <w:rFonts w:asciiTheme="minorHAnsi" w:eastAsia="Times New Roman" w:hAnsiTheme="minorHAnsi" w:cstheme="minorHAnsi"/>
          <w:noProof/>
          <w:sz w:val="22"/>
          <w:szCs w:val="22"/>
        </w:rPr>
        <w:t>A</w:t>
      </w:r>
      <w:r w:rsidR="00826E9E">
        <w:rPr>
          <w:rFonts w:asciiTheme="minorHAnsi" w:eastAsia="Times New Roman" w:hAnsiTheme="minorHAnsi" w:cstheme="minorHAnsi"/>
          <w:noProof/>
          <w:sz w:val="22"/>
          <w:szCs w:val="22"/>
        </w:rPr>
        <w:t>ll</w:t>
      </w:r>
      <w:r w:rsidR="00826E9E" w:rsidRPr="0094423C">
        <w:rPr>
          <w:rFonts w:asciiTheme="minorHAnsi" w:eastAsia="Times New Roman" w:hAnsiTheme="minorHAnsi" w:cstheme="minorHAnsi"/>
          <w:noProof/>
          <w:sz w:val="22"/>
          <w:szCs w:val="22"/>
        </w:rPr>
        <w:t xml:space="preserve"> non-hazardous and hazardous wastes from the laboratories associated with the project will be dealt with appropriately according to the</w:t>
      </w:r>
      <w:r w:rsidR="00826E9E">
        <w:rPr>
          <w:rFonts w:asciiTheme="minorHAnsi" w:eastAsia="Times New Roman" w:hAnsiTheme="minorHAnsi" w:cstheme="minorHAnsi"/>
          <w:noProof/>
          <w:sz w:val="22"/>
          <w:szCs w:val="22"/>
        </w:rPr>
        <w:t xml:space="preserve"> candidate institution’s</w:t>
      </w:r>
      <w:r w:rsidR="00826E9E" w:rsidRPr="0094423C">
        <w:rPr>
          <w:rFonts w:asciiTheme="minorHAnsi" w:eastAsia="Times New Roman" w:hAnsiTheme="minorHAnsi" w:cstheme="minorHAnsi"/>
          <w:noProof/>
          <w:sz w:val="22"/>
          <w:szCs w:val="22"/>
        </w:rPr>
        <w:t xml:space="preserve"> </w:t>
      </w:r>
      <w:r w:rsidR="00826E9E" w:rsidRPr="002E1A3F">
        <w:rPr>
          <w:rFonts w:ascii="Calibri" w:eastAsia="Calibri" w:hAnsi="Calibri" w:cs="Calibri"/>
          <w:bCs/>
          <w:color w:val="auto"/>
          <w:sz w:val="22"/>
          <w:szCs w:val="22"/>
        </w:rPr>
        <w:t>Environmental and Social Impact Assessment (ESIA) or Environmental and Social Management Plan (ESMP</w:t>
      </w:r>
      <w:r w:rsidR="009540B9">
        <w:rPr>
          <w:rFonts w:ascii="Calibri" w:eastAsia="Calibri" w:hAnsi="Calibri" w:cs="Calibri"/>
          <w:bCs/>
          <w:color w:val="auto"/>
          <w:sz w:val="22"/>
          <w:szCs w:val="22"/>
        </w:rPr>
        <w:t>)</w:t>
      </w:r>
      <w:r w:rsidR="00826E9E">
        <w:rPr>
          <w:rFonts w:asciiTheme="minorHAnsi" w:eastAsia="Times New Roman" w:hAnsiTheme="minorHAnsi" w:cstheme="minorHAnsi"/>
          <w:noProof/>
          <w:sz w:val="22"/>
          <w:szCs w:val="22"/>
        </w:rPr>
        <w:t>.</w:t>
      </w:r>
      <w:r w:rsidR="00826E9E" w:rsidRPr="002E1A3F">
        <w:rPr>
          <w:rFonts w:ascii="Calibri" w:eastAsia="Calibri" w:hAnsi="Calibri" w:cs="Calibri"/>
          <w:bCs/>
          <w:color w:val="auto"/>
          <w:sz w:val="22"/>
          <w:szCs w:val="22"/>
        </w:rPr>
        <w:t xml:space="preserve"> </w:t>
      </w:r>
      <w:r w:rsidR="00826E9E">
        <w:rPr>
          <w:rFonts w:ascii="Calibri" w:eastAsia="Calibri" w:hAnsi="Calibri" w:cs="Calibri"/>
          <w:bCs/>
          <w:color w:val="auto"/>
          <w:sz w:val="22"/>
          <w:szCs w:val="22"/>
        </w:rPr>
        <w:t>A</w:t>
      </w:r>
      <w:r w:rsidR="00960F3E" w:rsidRPr="002E1A3F">
        <w:rPr>
          <w:rFonts w:ascii="Calibri" w:eastAsia="Calibri" w:hAnsi="Calibri" w:cs="Calibri"/>
          <w:bCs/>
          <w:color w:val="auto"/>
          <w:sz w:val="22"/>
          <w:szCs w:val="22"/>
        </w:rPr>
        <w:t xml:space="preserve">ppropriate mitigation measures </w:t>
      </w:r>
      <w:r w:rsidR="00826E9E">
        <w:rPr>
          <w:rFonts w:ascii="Calibri" w:eastAsia="Calibri" w:hAnsi="Calibri" w:cs="Calibri"/>
          <w:bCs/>
          <w:color w:val="auto"/>
          <w:sz w:val="22"/>
          <w:szCs w:val="22"/>
        </w:rPr>
        <w:t>will be</w:t>
      </w:r>
      <w:r w:rsidR="00960F3E" w:rsidRPr="002E1A3F">
        <w:rPr>
          <w:rFonts w:ascii="Calibri" w:eastAsia="Calibri" w:hAnsi="Calibri" w:cs="Calibri"/>
          <w:bCs/>
          <w:color w:val="auto"/>
          <w:sz w:val="22"/>
          <w:szCs w:val="22"/>
        </w:rPr>
        <w:t xml:space="preserve"> defined for managing these negative impacts that </w:t>
      </w:r>
      <w:r w:rsidR="00B866A4">
        <w:rPr>
          <w:rFonts w:ascii="Calibri" w:eastAsia="Calibri" w:hAnsi="Calibri" w:cs="Calibri"/>
          <w:bCs/>
          <w:color w:val="auto"/>
          <w:sz w:val="22"/>
          <w:szCs w:val="22"/>
        </w:rPr>
        <w:t>may occur during project implementation</w:t>
      </w:r>
      <w:r w:rsidR="00960F3E" w:rsidRPr="002E1A3F">
        <w:rPr>
          <w:rFonts w:ascii="Calibri" w:eastAsia="Calibri" w:hAnsi="Calibri" w:cs="Calibri"/>
          <w:bCs/>
          <w:color w:val="auto"/>
          <w:sz w:val="22"/>
          <w:szCs w:val="22"/>
        </w:rPr>
        <w:t>.</w:t>
      </w:r>
      <w:r w:rsidR="00B866A4">
        <w:rPr>
          <w:rFonts w:ascii="Calibri" w:eastAsia="Calibri" w:hAnsi="Calibri" w:cs="Calibri"/>
          <w:bCs/>
          <w:color w:val="auto"/>
          <w:sz w:val="22"/>
          <w:szCs w:val="22"/>
        </w:rPr>
        <w:t xml:space="preserve"> </w:t>
      </w:r>
      <w:r w:rsidR="00B866A4" w:rsidRPr="00B866A4">
        <w:rPr>
          <w:rFonts w:ascii="Calibri" w:eastAsia="Calibri" w:hAnsi="Calibri" w:cs="Calibri"/>
          <w:bCs/>
          <w:color w:val="auto"/>
          <w:sz w:val="22"/>
          <w:szCs w:val="22"/>
        </w:rPr>
        <w:t xml:space="preserve">These </w:t>
      </w:r>
      <w:r w:rsidR="00B866A4">
        <w:rPr>
          <w:rFonts w:ascii="Calibri" w:eastAsia="Calibri" w:hAnsi="Calibri" w:cs="Calibri"/>
          <w:bCs/>
          <w:color w:val="auto"/>
          <w:sz w:val="22"/>
          <w:szCs w:val="22"/>
        </w:rPr>
        <w:t xml:space="preserve">measures </w:t>
      </w:r>
      <w:r w:rsidR="00B866A4" w:rsidRPr="00B866A4">
        <w:rPr>
          <w:rFonts w:ascii="Calibri" w:eastAsia="Calibri" w:hAnsi="Calibri" w:cs="Calibri"/>
          <w:bCs/>
          <w:color w:val="auto"/>
          <w:sz w:val="22"/>
          <w:szCs w:val="22"/>
        </w:rPr>
        <w:t>will be clearly defined when assessments are conducted while developing the ESIAs/ESMPs</w:t>
      </w:r>
      <w:r w:rsidR="00B866A4">
        <w:rPr>
          <w:rFonts w:ascii="Calibri" w:eastAsia="Calibri" w:hAnsi="Calibri" w:cs="Calibri"/>
          <w:bCs/>
          <w:color w:val="auto"/>
          <w:sz w:val="22"/>
          <w:szCs w:val="22"/>
        </w:rPr>
        <w:t>.</w:t>
      </w:r>
      <w:r w:rsidR="00960F3E" w:rsidRPr="002E1A3F">
        <w:rPr>
          <w:rFonts w:ascii="Calibri" w:eastAsia="Calibri" w:hAnsi="Calibri" w:cs="Calibri"/>
          <w:bCs/>
          <w:color w:val="auto"/>
          <w:sz w:val="22"/>
          <w:szCs w:val="22"/>
        </w:rPr>
        <w:t xml:space="preserve"> </w:t>
      </w:r>
    </w:p>
    <w:p w14:paraId="07406729"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BB6AFB">
        <w:rPr>
          <w:rFonts w:ascii="Calibri" w:eastAsia="Times New Roman" w:hAnsi="Calibri" w:cs="Calibri"/>
          <w:b/>
          <w:sz w:val="22"/>
          <w:szCs w:val="22"/>
        </w:rPr>
        <w:t>Safeguards policies triggered:</w:t>
      </w:r>
      <w:r w:rsidR="00960F3E" w:rsidRPr="00D5641B">
        <w:rPr>
          <w:rFonts w:ascii="Calibri" w:eastAsia="Calibri" w:hAnsi="Calibri" w:cs="Calibri"/>
          <w:b/>
          <w:bCs/>
          <w:color w:val="auto"/>
          <w:sz w:val="22"/>
          <w:szCs w:val="22"/>
        </w:rPr>
        <w:t xml:space="preserve"> </w:t>
      </w:r>
      <w:r w:rsidR="001561C7" w:rsidRPr="009F4A64">
        <w:rPr>
          <w:rFonts w:ascii="Calibri" w:eastAsia="Calibri" w:hAnsi="Calibri" w:cs="Calibri"/>
          <w:b/>
          <w:bCs/>
          <w:color w:val="auto"/>
          <w:sz w:val="22"/>
          <w:szCs w:val="22"/>
        </w:rPr>
        <w:t>The project has triggered two safeguards policies:</w:t>
      </w:r>
      <w:r w:rsidR="001561C7">
        <w:rPr>
          <w:rFonts w:ascii="Calibri" w:eastAsia="Calibri" w:hAnsi="Calibri" w:cs="Calibri"/>
          <w:bCs/>
          <w:color w:val="auto"/>
          <w:sz w:val="22"/>
          <w:szCs w:val="22"/>
        </w:rPr>
        <w:t xml:space="preserve"> </w:t>
      </w:r>
      <w:r w:rsidR="001561C7" w:rsidRPr="002E1A3F">
        <w:rPr>
          <w:rFonts w:ascii="Calibri" w:eastAsia="Calibri" w:hAnsi="Calibri" w:cs="Calibri"/>
          <w:b/>
          <w:bCs/>
          <w:color w:val="auto"/>
          <w:sz w:val="22"/>
          <w:szCs w:val="22"/>
        </w:rPr>
        <w:t>Environmental Assessment OP/BP 4.01 and Physical Cultural Resources (OP/BP4.11</w:t>
      </w:r>
      <w:r w:rsidR="001561C7" w:rsidRPr="00BB6AFB">
        <w:rPr>
          <w:rFonts w:ascii="Calibri" w:eastAsia="Calibri" w:hAnsi="Calibri" w:cs="Calibri"/>
          <w:bCs/>
          <w:color w:val="auto"/>
          <w:sz w:val="22"/>
          <w:szCs w:val="22"/>
        </w:rPr>
        <w:t>).</w:t>
      </w:r>
      <w:r w:rsidR="001561C7" w:rsidRPr="00BB6AFB">
        <w:t xml:space="preserve"> </w:t>
      </w:r>
      <w:r w:rsidR="005F4AC5">
        <w:rPr>
          <w:rFonts w:ascii="Calibri" w:eastAsia="Calibri" w:hAnsi="Calibri" w:cs="Calibri"/>
          <w:bCs/>
          <w:color w:val="auto"/>
          <w:sz w:val="22"/>
          <w:szCs w:val="22"/>
        </w:rPr>
        <w:t>T</w:t>
      </w:r>
      <w:r w:rsidR="001561C7" w:rsidRPr="00BB6AFB">
        <w:rPr>
          <w:rFonts w:ascii="Calibri" w:eastAsia="Calibri" w:hAnsi="Calibri" w:cs="Calibri"/>
          <w:bCs/>
          <w:color w:val="auto"/>
          <w:sz w:val="22"/>
          <w:szCs w:val="22"/>
        </w:rPr>
        <w:t>here</w:t>
      </w:r>
      <w:r w:rsidR="00511B5F">
        <w:rPr>
          <w:rFonts w:ascii="Calibri" w:eastAsia="Calibri" w:hAnsi="Calibri" w:cs="Calibri"/>
          <w:bCs/>
          <w:color w:val="auto"/>
          <w:sz w:val="22"/>
          <w:szCs w:val="22"/>
        </w:rPr>
        <w:t xml:space="preserve"> </w:t>
      </w:r>
      <w:r w:rsidR="005F4AC5">
        <w:rPr>
          <w:rFonts w:ascii="Calibri" w:eastAsia="Calibri" w:hAnsi="Calibri" w:cs="Calibri"/>
          <w:bCs/>
          <w:color w:val="auto"/>
          <w:sz w:val="22"/>
          <w:szCs w:val="22"/>
        </w:rPr>
        <w:t>are</w:t>
      </w:r>
      <w:r w:rsidR="00D5641B">
        <w:rPr>
          <w:rFonts w:ascii="Calibri" w:eastAsia="Calibri" w:hAnsi="Calibri" w:cs="Calibri"/>
          <w:bCs/>
          <w:color w:val="auto"/>
          <w:sz w:val="22"/>
          <w:szCs w:val="22"/>
        </w:rPr>
        <w:t xml:space="preserve"> likely</w:t>
      </w:r>
      <w:r w:rsidR="001561C7" w:rsidRPr="00BB6AFB">
        <w:rPr>
          <w:rFonts w:ascii="Calibri" w:eastAsia="Calibri" w:hAnsi="Calibri" w:cs="Calibri"/>
          <w:bCs/>
          <w:color w:val="auto"/>
          <w:sz w:val="22"/>
          <w:szCs w:val="22"/>
        </w:rPr>
        <w:t xml:space="preserve"> to be limited adverse environmental and social impacts during </w:t>
      </w:r>
      <w:r w:rsidR="00AB5475">
        <w:rPr>
          <w:rFonts w:ascii="Calibri" w:eastAsia="Calibri" w:hAnsi="Calibri" w:cs="Calibri"/>
          <w:bCs/>
          <w:color w:val="auto"/>
          <w:sz w:val="22"/>
          <w:szCs w:val="22"/>
        </w:rPr>
        <w:t>p</w:t>
      </w:r>
      <w:r w:rsidR="001561C7" w:rsidRPr="00BB6AFB">
        <w:rPr>
          <w:rFonts w:ascii="Calibri" w:eastAsia="Calibri" w:hAnsi="Calibri" w:cs="Calibri"/>
          <w:bCs/>
          <w:color w:val="auto"/>
          <w:sz w:val="22"/>
          <w:szCs w:val="22"/>
        </w:rPr>
        <w:t>roject implementation</w:t>
      </w:r>
      <w:r w:rsidR="001561C7">
        <w:rPr>
          <w:rFonts w:ascii="Calibri" w:eastAsia="Calibri" w:hAnsi="Calibri" w:cs="Calibri"/>
          <w:bCs/>
          <w:color w:val="auto"/>
          <w:sz w:val="22"/>
          <w:szCs w:val="22"/>
        </w:rPr>
        <w:t>.</w:t>
      </w:r>
      <w:r w:rsidR="001561C7" w:rsidRPr="002E1A3F">
        <w:rPr>
          <w:rFonts w:ascii="Calibri" w:eastAsia="Calibri" w:hAnsi="Calibri" w:cs="Calibri"/>
          <w:bCs/>
          <w:color w:val="auto"/>
          <w:sz w:val="22"/>
          <w:szCs w:val="22"/>
        </w:rPr>
        <w:t xml:space="preserve"> </w:t>
      </w:r>
      <w:r w:rsidR="001561C7" w:rsidRPr="00BB6AFB">
        <w:rPr>
          <w:rFonts w:ascii="Calibri" w:eastAsia="Calibri" w:hAnsi="Calibri" w:cs="Calibri"/>
          <w:bCs/>
          <w:color w:val="auto"/>
          <w:sz w:val="22"/>
          <w:szCs w:val="22"/>
        </w:rPr>
        <w:t>In fulfillment of the World Bank’s safeguards policies</w:t>
      </w:r>
      <w:r w:rsidR="005F4AC5">
        <w:rPr>
          <w:rFonts w:ascii="Calibri" w:eastAsia="Calibri" w:hAnsi="Calibri" w:cs="Calibri"/>
          <w:bCs/>
          <w:color w:val="auto"/>
          <w:sz w:val="22"/>
          <w:szCs w:val="22"/>
        </w:rPr>
        <w:t>,</w:t>
      </w:r>
      <w:r w:rsidR="00AB5475">
        <w:rPr>
          <w:rFonts w:ascii="Calibri" w:eastAsia="Calibri" w:hAnsi="Calibri" w:cs="Calibri"/>
          <w:b/>
          <w:bCs/>
          <w:color w:val="auto"/>
          <w:sz w:val="22"/>
          <w:szCs w:val="22"/>
        </w:rPr>
        <w:t xml:space="preserve"> </w:t>
      </w:r>
      <w:r w:rsidR="005F4AC5" w:rsidRPr="00F23AD9">
        <w:rPr>
          <w:rFonts w:ascii="Calibri" w:eastAsia="Calibri" w:hAnsi="Calibri" w:cs="Calibri"/>
          <w:bCs/>
          <w:color w:val="auto"/>
          <w:sz w:val="22"/>
          <w:szCs w:val="22"/>
        </w:rPr>
        <w:t>e</w:t>
      </w:r>
      <w:r w:rsidR="00960F3E" w:rsidRPr="00F23AD9">
        <w:rPr>
          <w:rFonts w:ascii="Calibri" w:eastAsia="Calibri" w:hAnsi="Calibri" w:cs="Calibri"/>
          <w:bCs/>
          <w:color w:val="auto"/>
          <w:sz w:val="22"/>
          <w:szCs w:val="22"/>
        </w:rPr>
        <w:t>ac</w:t>
      </w:r>
      <w:r w:rsidR="00960F3E" w:rsidRPr="00522DA8">
        <w:rPr>
          <w:rFonts w:ascii="Calibri" w:eastAsia="Calibri" w:hAnsi="Calibri" w:cs="Calibri"/>
          <w:bCs/>
          <w:color w:val="auto"/>
          <w:sz w:val="22"/>
          <w:szCs w:val="22"/>
        </w:rPr>
        <w:t xml:space="preserve">h of the </w:t>
      </w:r>
      <w:r w:rsidR="004A719B">
        <w:rPr>
          <w:rFonts w:ascii="Calibri" w:eastAsia="Calibri" w:hAnsi="Calibri" w:cs="Calibri"/>
          <w:bCs/>
          <w:color w:val="auto"/>
          <w:sz w:val="22"/>
          <w:szCs w:val="22"/>
        </w:rPr>
        <w:t>five</w:t>
      </w:r>
      <w:r w:rsidR="004A719B" w:rsidRPr="00522DA8">
        <w:rPr>
          <w:rFonts w:ascii="Calibri" w:eastAsia="Calibri" w:hAnsi="Calibri" w:cs="Calibri"/>
          <w:bCs/>
          <w:color w:val="auto"/>
          <w:sz w:val="22"/>
          <w:szCs w:val="22"/>
        </w:rPr>
        <w:t xml:space="preserve"> </w:t>
      </w:r>
      <w:r w:rsidR="00960F3E" w:rsidRPr="00522DA8">
        <w:rPr>
          <w:rFonts w:ascii="Calibri" w:eastAsia="Calibri" w:hAnsi="Calibri" w:cs="Calibri"/>
          <w:bCs/>
          <w:color w:val="auto"/>
          <w:sz w:val="22"/>
          <w:szCs w:val="22"/>
        </w:rPr>
        <w:t>countries ha</w:t>
      </w:r>
      <w:r w:rsidR="005F4AC5">
        <w:rPr>
          <w:rFonts w:ascii="Calibri" w:eastAsia="Calibri" w:hAnsi="Calibri" w:cs="Calibri"/>
          <w:bCs/>
          <w:color w:val="auto"/>
          <w:sz w:val="22"/>
          <w:szCs w:val="22"/>
        </w:rPr>
        <w:t>s</w:t>
      </w:r>
      <w:r w:rsidR="00960F3E" w:rsidRPr="00522DA8">
        <w:rPr>
          <w:rFonts w:ascii="Calibri" w:eastAsia="Calibri" w:hAnsi="Calibri" w:cs="Calibri"/>
          <w:bCs/>
          <w:color w:val="auto"/>
          <w:sz w:val="22"/>
          <w:szCs w:val="22"/>
        </w:rPr>
        <w:t xml:space="preserve"> prepared an Environmental and Social Management Framework (ESMF)</w:t>
      </w:r>
      <w:r w:rsidR="00B0612D">
        <w:rPr>
          <w:rFonts w:ascii="Calibri" w:eastAsia="Calibri" w:hAnsi="Calibri" w:cs="Calibri"/>
          <w:bCs/>
          <w:color w:val="auto"/>
          <w:sz w:val="22"/>
          <w:szCs w:val="22"/>
        </w:rPr>
        <w:t>,</w:t>
      </w:r>
      <w:r w:rsidR="00960F3E" w:rsidRPr="00522DA8">
        <w:rPr>
          <w:rFonts w:ascii="Calibri" w:eastAsia="Calibri" w:hAnsi="Calibri" w:cs="Calibri"/>
          <w:bCs/>
          <w:color w:val="auto"/>
          <w:sz w:val="22"/>
          <w:szCs w:val="22"/>
        </w:rPr>
        <w:t xml:space="preserve"> </w:t>
      </w:r>
      <w:r w:rsidR="00B0612D" w:rsidRPr="00BB6AFB">
        <w:rPr>
          <w:rFonts w:ascii="Calibri" w:eastAsia="Calibri" w:hAnsi="Calibri" w:cs="Calibri"/>
          <w:bCs/>
          <w:color w:val="auto"/>
          <w:sz w:val="22"/>
          <w:szCs w:val="22"/>
        </w:rPr>
        <w:t>according to the National and World Bank policies</w:t>
      </w:r>
      <w:r w:rsidR="00B0612D">
        <w:rPr>
          <w:rFonts w:ascii="Calibri" w:eastAsia="Calibri" w:hAnsi="Calibri" w:cs="Calibri"/>
          <w:bCs/>
          <w:color w:val="auto"/>
          <w:sz w:val="22"/>
          <w:szCs w:val="22"/>
        </w:rPr>
        <w:t xml:space="preserve">, </w:t>
      </w:r>
      <w:r w:rsidR="00960F3E" w:rsidRPr="00522DA8">
        <w:rPr>
          <w:rFonts w:ascii="Calibri" w:eastAsia="Calibri" w:hAnsi="Calibri" w:cs="Calibri"/>
          <w:bCs/>
          <w:color w:val="auto"/>
          <w:sz w:val="22"/>
          <w:szCs w:val="22"/>
        </w:rPr>
        <w:t xml:space="preserve">which defines the key steps to be taken for each site-specific physical investment. All the ESMFs </w:t>
      </w:r>
      <w:r w:rsidR="007B1EC7">
        <w:rPr>
          <w:rFonts w:ascii="Calibri" w:eastAsia="Calibri" w:hAnsi="Calibri" w:cs="Calibri"/>
          <w:bCs/>
          <w:color w:val="auto"/>
          <w:sz w:val="22"/>
          <w:szCs w:val="22"/>
        </w:rPr>
        <w:t>have been</w:t>
      </w:r>
      <w:r w:rsidR="00500C96">
        <w:rPr>
          <w:rFonts w:ascii="Calibri" w:eastAsia="Calibri" w:hAnsi="Calibri" w:cs="Calibri"/>
          <w:bCs/>
          <w:color w:val="auto"/>
          <w:sz w:val="22"/>
          <w:szCs w:val="22"/>
        </w:rPr>
        <w:t xml:space="preserve"> </w:t>
      </w:r>
      <w:r w:rsidR="00FC5F09">
        <w:rPr>
          <w:rFonts w:ascii="Calibri" w:eastAsia="Calibri" w:hAnsi="Calibri" w:cs="Calibri"/>
          <w:bCs/>
          <w:color w:val="auto"/>
          <w:sz w:val="22"/>
          <w:szCs w:val="22"/>
        </w:rPr>
        <w:t xml:space="preserve">consulted </w:t>
      </w:r>
      <w:r w:rsidR="007D4948">
        <w:rPr>
          <w:rFonts w:ascii="Calibri" w:eastAsia="Calibri" w:hAnsi="Calibri" w:cs="Calibri"/>
          <w:bCs/>
          <w:color w:val="auto"/>
          <w:sz w:val="22"/>
          <w:szCs w:val="22"/>
        </w:rPr>
        <w:t>up</w:t>
      </w:r>
      <w:r w:rsidR="00FC5F09">
        <w:rPr>
          <w:rFonts w:ascii="Calibri" w:eastAsia="Calibri" w:hAnsi="Calibri" w:cs="Calibri"/>
          <w:bCs/>
          <w:color w:val="auto"/>
          <w:sz w:val="22"/>
          <w:szCs w:val="22"/>
        </w:rPr>
        <w:t>on</w:t>
      </w:r>
      <w:r w:rsidR="000F2118">
        <w:rPr>
          <w:rFonts w:ascii="Calibri" w:eastAsia="Calibri" w:hAnsi="Calibri" w:cs="Calibri"/>
          <w:bCs/>
          <w:color w:val="auto"/>
          <w:sz w:val="22"/>
          <w:szCs w:val="22"/>
        </w:rPr>
        <w:t>,</w:t>
      </w:r>
      <w:r w:rsidR="00500C96">
        <w:rPr>
          <w:rFonts w:ascii="Calibri" w:eastAsia="Calibri" w:hAnsi="Calibri" w:cs="Calibri"/>
          <w:bCs/>
          <w:color w:val="auto"/>
          <w:sz w:val="22"/>
          <w:szCs w:val="22"/>
        </w:rPr>
        <w:t xml:space="preserve"> </w:t>
      </w:r>
      <w:r w:rsidR="00960F3E" w:rsidRPr="00522DA8">
        <w:rPr>
          <w:rFonts w:ascii="Calibri" w:eastAsia="Calibri" w:hAnsi="Calibri" w:cs="Calibri"/>
          <w:bCs/>
          <w:color w:val="auto"/>
          <w:sz w:val="22"/>
          <w:szCs w:val="22"/>
        </w:rPr>
        <w:t>validated and disclosed in-country and by the World Bank during appraisal.</w:t>
      </w:r>
      <w:r>
        <w:rPr>
          <w:rFonts w:ascii="Calibri" w:eastAsia="Calibri" w:hAnsi="Calibri" w:cs="Calibri"/>
          <w:bCs/>
          <w:color w:val="auto"/>
          <w:sz w:val="22"/>
          <w:szCs w:val="22"/>
          <w:vertAlign w:val="superscript"/>
        </w:rPr>
        <w:footnoteReference w:id="19"/>
      </w:r>
      <w:r w:rsidR="00960F3E" w:rsidRPr="00522DA8">
        <w:rPr>
          <w:rFonts w:ascii="Calibri" w:eastAsia="Calibri" w:hAnsi="Calibri" w:cs="Calibri"/>
          <w:bCs/>
          <w:color w:val="auto"/>
          <w:sz w:val="22"/>
          <w:szCs w:val="22"/>
        </w:rPr>
        <w:t xml:space="preserve"> </w:t>
      </w:r>
      <w:r w:rsidR="00960F3E" w:rsidRPr="002E1A3F">
        <w:rPr>
          <w:rFonts w:ascii="Calibri" w:eastAsia="Calibri" w:hAnsi="Calibri" w:cs="Calibri"/>
          <w:bCs/>
          <w:color w:val="auto"/>
          <w:sz w:val="22"/>
          <w:szCs w:val="22"/>
        </w:rPr>
        <w:t>The selection of the participating institutions (under both Component 1 and Sub-component 2.1) has been completed. To manage environmental and social impacts</w:t>
      </w:r>
      <w:r w:rsidR="00B866A4">
        <w:rPr>
          <w:rFonts w:ascii="Calibri" w:eastAsia="Calibri" w:hAnsi="Calibri" w:cs="Calibri"/>
          <w:bCs/>
          <w:color w:val="auto"/>
          <w:sz w:val="22"/>
          <w:szCs w:val="22"/>
        </w:rPr>
        <w:t xml:space="preserve"> (including impacts from civil works </w:t>
      </w:r>
      <w:r w:rsidR="00B866A4" w:rsidRPr="00B866A4">
        <w:rPr>
          <w:rFonts w:ascii="Calibri" w:eastAsia="Calibri" w:hAnsi="Calibri" w:cs="Calibri"/>
          <w:bCs/>
          <w:color w:val="auto"/>
          <w:sz w:val="22"/>
          <w:szCs w:val="22"/>
        </w:rPr>
        <w:t>waste</w:t>
      </w:r>
      <w:r w:rsidR="00B866A4">
        <w:rPr>
          <w:rFonts w:ascii="Calibri" w:eastAsia="Calibri" w:hAnsi="Calibri" w:cs="Calibri"/>
          <w:bCs/>
          <w:color w:val="auto"/>
          <w:sz w:val="22"/>
          <w:szCs w:val="22"/>
        </w:rPr>
        <w:t>,</w:t>
      </w:r>
      <w:r w:rsidR="00B866A4" w:rsidRPr="00B866A4">
        <w:rPr>
          <w:rFonts w:ascii="Calibri" w:eastAsia="Calibri" w:hAnsi="Calibri" w:cs="Calibri"/>
          <w:bCs/>
          <w:color w:val="auto"/>
          <w:sz w:val="22"/>
          <w:szCs w:val="22"/>
        </w:rPr>
        <w:t xml:space="preserve"> etc</w:t>
      </w:r>
      <w:r w:rsidR="00B866A4">
        <w:rPr>
          <w:rFonts w:ascii="Calibri" w:eastAsia="Calibri" w:hAnsi="Calibri" w:cs="Calibri"/>
          <w:bCs/>
          <w:color w:val="auto"/>
          <w:sz w:val="22"/>
          <w:szCs w:val="22"/>
        </w:rPr>
        <w:t>.</w:t>
      </w:r>
      <w:r w:rsidR="00B866A4" w:rsidRPr="00B866A4">
        <w:rPr>
          <w:rFonts w:ascii="Calibri" w:eastAsia="Calibri" w:hAnsi="Calibri" w:cs="Calibri"/>
          <w:bCs/>
          <w:color w:val="auto"/>
          <w:sz w:val="22"/>
          <w:szCs w:val="22"/>
        </w:rPr>
        <w:t xml:space="preserve"> resulting from day-to-day operation</w:t>
      </w:r>
      <w:r w:rsidR="00B866A4">
        <w:rPr>
          <w:rFonts w:ascii="Calibri" w:eastAsia="Calibri" w:hAnsi="Calibri" w:cs="Calibri"/>
          <w:bCs/>
          <w:color w:val="auto"/>
          <w:sz w:val="22"/>
          <w:szCs w:val="22"/>
        </w:rPr>
        <w:t>s</w:t>
      </w:r>
      <w:r w:rsidR="00B866A4" w:rsidRPr="00B866A4">
        <w:rPr>
          <w:rFonts w:ascii="Calibri" w:eastAsia="Calibri" w:hAnsi="Calibri" w:cs="Calibri"/>
          <w:bCs/>
          <w:color w:val="auto"/>
          <w:sz w:val="22"/>
          <w:szCs w:val="22"/>
        </w:rPr>
        <w:t xml:space="preserve"> of the centers</w:t>
      </w:r>
      <w:r w:rsidR="00B866A4">
        <w:rPr>
          <w:rFonts w:ascii="Calibri" w:eastAsia="Calibri" w:hAnsi="Calibri" w:cs="Calibri"/>
          <w:bCs/>
          <w:color w:val="auto"/>
          <w:sz w:val="22"/>
          <w:szCs w:val="22"/>
        </w:rPr>
        <w:t>)</w:t>
      </w:r>
      <w:r w:rsidR="00960F3E" w:rsidRPr="002E1A3F">
        <w:rPr>
          <w:rFonts w:ascii="Calibri" w:eastAsia="Calibri" w:hAnsi="Calibri" w:cs="Calibri"/>
          <w:bCs/>
          <w:color w:val="auto"/>
          <w:sz w:val="22"/>
          <w:szCs w:val="22"/>
        </w:rPr>
        <w:t xml:space="preserve">, once the specific locations of project activities within the selected institutions are known, an ESIA or ESMP will be prepared, consulted upon, reviewed, approved and disclosed </w:t>
      </w:r>
      <w:r w:rsidR="00C465C9" w:rsidRPr="006245D2">
        <w:rPr>
          <w:rFonts w:ascii="Calibri" w:eastAsia="Calibri" w:hAnsi="Calibri" w:cs="Calibri"/>
          <w:bCs/>
          <w:color w:val="auto"/>
          <w:sz w:val="22"/>
          <w:szCs w:val="22"/>
        </w:rPr>
        <w:t>in-country and at the World Bank website</w:t>
      </w:r>
      <w:r w:rsidR="00C465C9">
        <w:rPr>
          <w:rFonts w:ascii="Calibri" w:eastAsia="Calibri" w:hAnsi="Calibri" w:cs="Calibri"/>
          <w:bCs/>
          <w:color w:val="auto"/>
          <w:sz w:val="22"/>
          <w:szCs w:val="22"/>
        </w:rPr>
        <w:t xml:space="preserve"> </w:t>
      </w:r>
      <w:r w:rsidR="00960F3E" w:rsidRPr="002E1A3F">
        <w:rPr>
          <w:rFonts w:ascii="Calibri" w:eastAsia="Calibri" w:hAnsi="Calibri" w:cs="Calibri"/>
          <w:bCs/>
          <w:color w:val="auto"/>
          <w:sz w:val="22"/>
          <w:szCs w:val="22"/>
        </w:rPr>
        <w:t xml:space="preserve">before commencement of any eligible activities. These safeguards documents will be prepared for each eligible investment. </w:t>
      </w:r>
      <w:r w:rsidR="00B866A4">
        <w:rPr>
          <w:rFonts w:ascii="Calibri" w:eastAsia="Calibri" w:hAnsi="Calibri" w:cs="Calibri"/>
          <w:bCs/>
          <w:color w:val="auto"/>
          <w:sz w:val="22"/>
          <w:szCs w:val="22"/>
        </w:rPr>
        <w:t xml:space="preserve">Each center </w:t>
      </w:r>
      <w:r w:rsidR="0054342B">
        <w:rPr>
          <w:rFonts w:ascii="Calibri" w:eastAsia="Calibri" w:hAnsi="Calibri" w:cs="Calibri"/>
          <w:bCs/>
          <w:color w:val="auto"/>
          <w:sz w:val="22"/>
          <w:szCs w:val="22"/>
        </w:rPr>
        <w:t>will</w:t>
      </w:r>
      <w:r w:rsidR="00B866A4" w:rsidRPr="00B866A4">
        <w:rPr>
          <w:rFonts w:ascii="Calibri" w:eastAsia="Calibri" w:hAnsi="Calibri" w:cs="Calibri"/>
          <w:bCs/>
          <w:color w:val="auto"/>
          <w:sz w:val="22"/>
          <w:szCs w:val="22"/>
        </w:rPr>
        <w:t xml:space="preserve"> identify </w:t>
      </w:r>
      <w:r w:rsidR="00B866A4">
        <w:rPr>
          <w:rFonts w:ascii="Calibri" w:eastAsia="Calibri" w:hAnsi="Calibri" w:cs="Calibri"/>
          <w:bCs/>
          <w:color w:val="auto"/>
          <w:sz w:val="22"/>
          <w:szCs w:val="22"/>
        </w:rPr>
        <w:t xml:space="preserve">a </w:t>
      </w:r>
      <w:r w:rsidR="00B866A4" w:rsidRPr="00B866A4">
        <w:rPr>
          <w:rFonts w:ascii="Calibri" w:eastAsia="Calibri" w:hAnsi="Calibri" w:cs="Calibri"/>
          <w:bCs/>
          <w:color w:val="auto"/>
          <w:sz w:val="22"/>
          <w:szCs w:val="22"/>
        </w:rPr>
        <w:t>safeguards officer</w:t>
      </w:r>
      <w:r w:rsidR="00750209">
        <w:rPr>
          <w:rFonts w:ascii="Calibri" w:eastAsia="Calibri" w:hAnsi="Calibri" w:cs="Calibri"/>
          <w:bCs/>
          <w:color w:val="auto"/>
          <w:sz w:val="22"/>
          <w:szCs w:val="22"/>
        </w:rPr>
        <w:t xml:space="preserve"> who will be responsible </w:t>
      </w:r>
      <w:r w:rsidR="00B9031A">
        <w:rPr>
          <w:rFonts w:ascii="Calibri" w:eastAsia="Calibri" w:hAnsi="Calibri" w:cs="Calibri"/>
          <w:bCs/>
          <w:color w:val="auto"/>
          <w:sz w:val="22"/>
          <w:szCs w:val="22"/>
        </w:rPr>
        <w:t xml:space="preserve">for ensuring the center </w:t>
      </w:r>
      <w:r w:rsidR="007A09FC">
        <w:rPr>
          <w:rFonts w:ascii="Calibri" w:eastAsia="Calibri" w:hAnsi="Calibri" w:cs="Calibri"/>
          <w:bCs/>
          <w:color w:val="auto"/>
          <w:sz w:val="22"/>
          <w:szCs w:val="22"/>
        </w:rPr>
        <w:t xml:space="preserve">meets all of its </w:t>
      </w:r>
      <w:r w:rsidR="003802D2">
        <w:rPr>
          <w:rFonts w:ascii="Calibri" w:eastAsia="Calibri" w:hAnsi="Calibri" w:cs="Calibri"/>
          <w:bCs/>
          <w:color w:val="auto"/>
          <w:sz w:val="22"/>
          <w:szCs w:val="22"/>
        </w:rPr>
        <w:t>safeguards requirements</w:t>
      </w:r>
      <w:r w:rsidR="00B866A4">
        <w:rPr>
          <w:rFonts w:ascii="Calibri" w:eastAsia="Calibri" w:hAnsi="Calibri" w:cs="Calibri"/>
          <w:bCs/>
          <w:color w:val="auto"/>
          <w:sz w:val="22"/>
          <w:szCs w:val="22"/>
        </w:rPr>
        <w:t>.</w:t>
      </w:r>
      <w:r w:rsidR="00B866A4" w:rsidRPr="00B866A4">
        <w:rPr>
          <w:rFonts w:ascii="Calibri" w:eastAsia="Calibri" w:hAnsi="Calibri" w:cs="Calibri"/>
          <w:bCs/>
          <w:color w:val="auto"/>
          <w:sz w:val="22"/>
          <w:szCs w:val="22"/>
        </w:rPr>
        <w:t xml:space="preserve"> </w:t>
      </w:r>
      <w:r w:rsidR="009540B9">
        <w:rPr>
          <w:rFonts w:ascii="Calibri" w:eastAsia="Calibri" w:hAnsi="Calibri" w:cs="Calibri"/>
          <w:bCs/>
          <w:color w:val="auto"/>
          <w:sz w:val="22"/>
          <w:szCs w:val="22"/>
        </w:rPr>
        <w:t xml:space="preserve"> The RFU (AAU)</w:t>
      </w:r>
      <w:r w:rsidR="00960F3E" w:rsidRPr="002E1A3F">
        <w:rPr>
          <w:rFonts w:ascii="Calibri" w:eastAsia="Calibri" w:hAnsi="Calibri" w:cs="Calibri"/>
          <w:bCs/>
          <w:color w:val="auto"/>
          <w:sz w:val="22"/>
          <w:szCs w:val="22"/>
        </w:rPr>
        <w:t xml:space="preserve"> will hire a consultant who will support the centers in developing these safeguards tools. </w:t>
      </w:r>
    </w:p>
    <w:p w14:paraId="4CC239EE"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Cs/>
          <w:color w:val="auto"/>
          <w:sz w:val="22"/>
          <w:szCs w:val="22"/>
        </w:rPr>
      </w:pPr>
      <w:r w:rsidRPr="002E1A3F">
        <w:rPr>
          <w:rFonts w:ascii="Calibri" w:eastAsia="Calibri" w:hAnsi="Calibri" w:cs="Calibri"/>
          <w:b/>
          <w:bCs/>
          <w:color w:val="auto"/>
          <w:sz w:val="22"/>
          <w:szCs w:val="22"/>
        </w:rPr>
        <w:t>Regarding the triggering of Physical Cultural Resources (OP 4.11) and particularly chance finds, the project may carry out activities in areas of cultural significance and heritage that could impact and/or lead to the discovery of an</w:t>
      </w:r>
      <w:r w:rsidR="007C7BD3">
        <w:rPr>
          <w:rFonts w:ascii="Calibri" w:eastAsia="Calibri" w:hAnsi="Calibri" w:cs="Calibri"/>
          <w:b/>
          <w:bCs/>
          <w:color w:val="auto"/>
          <w:sz w:val="22"/>
          <w:szCs w:val="22"/>
        </w:rPr>
        <w:t>tiquities</w:t>
      </w:r>
      <w:r w:rsidRPr="002E1A3F">
        <w:rPr>
          <w:rFonts w:ascii="Calibri" w:eastAsia="Calibri" w:hAnsi="Calibri" w:cs="Calibri"/>
          <w:b/>
          <w:bCs/>
          <w:color w:val="auto"/>
          <w:sz w:val="22"/>
          <w:szCs w:val="22"/>
        </w:rPr>
        <w:t xml:space="preserve"> and other physical </w:t>
      </w:r>
      <w:r w:rsidR="00F833FA">
        <w:rPr>
          <w:rFonts w:ascii="Calibri" w:eastAsia="Calibri" w:hAnsi="Calibri" w:cs="Calibri"/>
          <w:b/>
          <w:bCs/>
          <w:color w:val="auto"/>
          <w:sz w:val="22"/>
          <w:szCs w:val="22"/>
        </w:rPr>
        <w:t xml:space="preserve">cultural </w:t>
      </w:r>
      <w:r w:rsidRPr="002E1A3F">
        <w:rPr>
          <w:rFonts w:ascii="Calibri" w:eastAsia="Calibri" w:hAnsi="Calibri" w:cs="Calibri"/>
          <w:b/>
          <w:bCs/>
          <w:color w:val="auto"/>
          <w:sz w:val="22"/>
          <w:szCs w:val="22"/>
        </w:rPr>
        <w:t>resources.</w:t>
      </w:r>
      <w:r w:rsidRPr="002E1A3F">
        <w:rPr>
          <w:rFonts w:ascii="Calibri" w:eastAsia="Calibri" w:hAnsi="Calibri" w:cs="Calibri"/>
          <w:bCs/>
          <w:color w:val="auto"/>
          <w:sz w:val="22"/>
          <w:szCs w:val="22"/>
        </w:rPr>
        <w:t xml:space="preserve"> As part of the proposed Second </w:t>
      </w:r>
      <w:r w:rsidR="00BB4A89">
        <w:rPr>
          <w:rFonts w:ascii="Calibri" w:eastAsia="Calibri" w:hAnsi="Calibri" w:cs="Calibri"/>
          <w:bCs/>
          <w:color w:val="auto"/>
          <w:sz w:val="22"/>
          <w:szCs w:val="22"/>
        </w:rPr>
        <w:t>ACE Impact Project</w:t>
      </w:r>
      <w:r w:rsidRPr="002E1A3F">
        <w:rPr>
          <w:rFonts w:ascii="Calibri" w:eastAsia="Calibri" w:hAnsi="Calibri" w:cs="Calibri"/>
          <w:bCs/>
          <w:color w:val="auto"/>
          <w:sz w:val="22"/>
          <w:szCs w:val="22"/>
        </w:rPr>
        <w:t xml:space="preserve">, this will also concern buildings of historical value and which would be the subject of rehabilitation works. To mitigate these risks, contracts for civil works involving excavations will incorporate procedures for dealing with situations in which buried physical cultural resources are </w:t>
      </w:r>
      <w:r w:rsidRPr="002E1A3F">
        <w:rPr>
          <w:rFonts w:ascii="Calibri" w:eastAsia="Calibri" w:hAnsi="Calibri" w:cs="Calibri"/>
          <w:bCs/>
          <w:color w:val="auto"/>
          <w:sz w:val="22"/>
          <w:szCs w:val="22"/>
        </w:rPr>
        <w:lastRenderedPageBreak/>
        <w:t>unexpectedly encountered. As a precautionary measure, the chance finds procedures guidance note has been included as an annex to the ESMF and subsequent ESIAs/ESMPs</w:t>
      </w:r>
      <w:r w:rsidR="009540B9">
        <w:rPr>
          <w:rFonts w:ascii="Calibri" w:eastAsia="Calibri" w:hAnsi="Calibri" w:cs="Calibri"/>
          <w:bCs/>
          <w:color w:val="auto"/>
          <w:sz w:val="22"/>
          <w:szCs w:val="22"/>
        </w:rPr>
        <w:t>,</w:t>
      </w:r>
      <w:r w:rsidRPr="002E1A3F">
        <w:rPr>
          <w:rFonts w:ascii="Calibri" w:eastAsia="Calibri" w:hAnsi="Calibri" w:cs="Calibri"/>
          <w:bCs/>
          <w:color w:val="auto"/>
          <w:sz w:val="22"/>
          <w:szCs w:val="22"/>
        </w:rPr>
        <w:t xml:space="preserve"> as required.</w:t>
      </w:r>
    </w:p>
    <w:p w14:paraId="5235357A" w14:textId="77777777" w:rsidR="002E1A3F" w:rsidRPr="002E1A3F" w:rsidRDefault="00B00100" w:rsidP="008E2709">
      <w:pPr>
        <w:widowControl/>
        <w:numPr>
          <w:ilvl w:val="0"/>
          <w:numId w:val="2"/>
        </w:numPr>
        <w:autoSpaceDE/>
        <w:autoSpaceDN/>
        <w:adjustRightInd/>
        <w:spacing w:after="160"/>
        <w:ind w:left="0" w:firstLine="0"/>
        <w:rPr>
          <w:rFonts w:ascii="Calibri" w:eastAsia="Calibri,Times New Roman" w:hAnsi="Calibri" w:cs="Calibri"/>
          <w:b/>
          <w:color w:val="auto"/>
          <w:sz w:val="22"/>
          <w:szCs w:val="22"/>
        </w:rPr>
      </w:pPr>
      <w:r w:rsidRPr="002E1A3F">
        <w:rPr>
          <w:rFonts w:ascii="Calibri" w:eastAsia="Calibri" w:hAnsi="Calibri" w:cs="Calibri"/>
          <w:b/>
          <w:color w:val="auto"/>
          <w:sz w:val="22"/>
          <w:szCs w:val="22"/>
        </w:rPr>
        <w:t>Social Safeguards</w:t>
      </w:r>
    </w:p>
    <w:p w14:paraId="5E51773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b/>
          <w:color w:val="auto"/>
          <w:sz w:val="22"/>
          <w:szCs w:val="22"/>
        </w:rPr>
      </w:pPr>
      <w:r w:rsidRPr="002E1A3F">
        <w:rPr>
          <w:rFonts w:ascii="Calibri" w:eastAsia="Calibri" w:hAnsi="Calibri" w:cs="Calibri"/>
          <w:b/>
          <w:noProof/>
          <w:color w:val="auto"/>
          <w:sz w:val="22"/>
          <w:szCs w:val="22"/>
        </w:rPr>
        <w:t>The project does not trigger any of the social safeguards policies</w:t>
      </w:r>
      <w:r w:rsidRPr="002E1A3F">
        <w:rPr>
          <w:rFonts w:ascii="Calibri" w:eastAsia="Calibri" w:hAnsi="Calibri" w:cs="Calibri"/>
          <w:noProof/>
          <w:color w:val="auto"/>
          <w:sz w:val="22"/>
          <w:szCs w:val="22"/>
        </w:rPr>
        <w:t xml:space="preserve">. The project expects to support only minor construction and rehabilitation works that will take place within existing university campuses. The project will not finance any sub-projects resulting in the involuntary acquisition of land, loss of physical and economic assets, and/or loss of livelihoods. Mitigation measures for any social impact that may arise because of the minor rehabilitation </w:t>
      </w:r>
      <w:r w:rsidR="009540B9">
        <w:rPr>
          <w:rFonts w:ascii="Calibri" w:eastAsia="Calibri" w:hAnsi="Calibri" w:cs="Calibri"/>
          <w:noProof/>
          <w:color w:val="auto"/>
          <w:sz w:val="22"/>
          <w:szCs w:val="22"/>
        </w:rPr>
        <w:t>are</w:t>
      </w:r>
      <w:r w:rsidRPr="002E1A3F">
        <w:rPr>
          <w:rFonts w:ascii="Calibri" w:eastAsia="Calibri" w:hAnsi="Calibri" w:cs="Calibri"/>
          <w:noProof/>
          <w:color w:val="auto"/>
          <w:sz w:val="22"/>
          <w:szCs w:val="22"/>
        </w:rPr>
        <w:t xml:space="preserve"> detailed in the ESMFs</w:t>
      </w:r>
      <w:r w:rsidR="009540B9">
        <w:rPr>
          <w:rFonts w:ascii="Calibri" w:eastAsia="Calibri" w:hAnsi="Calibri" w:cs="Calibri"/>
          <w:noProof/>
          <w:color w:val="auto"/>
          <w:sz w:val="22"/>
          <w:szCs w:val="22"/>
        </w:rPr>
        <w:t xml:space="preserve"> </w:t>
      </w:r>
      <w:r w:rsidR="009540B9" w:rsidRPr="002E1A3F">
        <w:rPr>
          <w:rFonts w:ascii="Calibri" w:eastAsia="Calibri" w:hAnsi="Calibri" w:cs="Calibri"/>
          <w:bCs/>
          <w:color w:val="auto"/>
          <w:sz w:val="22"/>
          <w:szCs w:val="22"/>
        </w:rPr>
        <w:t>and subsequent ESIAs/ESMPs</w:t>
      </w:r>
      <w:r w:rsidRPr="002E1A3F">
        <w:rPr>
          <w:rFonts w:ascii="Calibri" w:eastAsia="Calibri" w:hAnsi="Calibri" w:cs="Calibri"/>
          <w:noProof/>
          <w:color w:val="auto"/>
          <w:sz w:val="22"/>
          <w:szCs w:val="22"/>
        </w:rPr>
        <w:t xml:space="preserve">. </w:t>
      </w:r>
      <w:bookmarkStart w:id="261" w:name="_Hlk18764922"/>
      <w:r w:rsidRPr="002E1A3F">
        <w:rPr>
          <w:rFonts w:ascii="Calibri" w:eastAsia="Calibri" w:hAnsi="Calibri" w:cs="Calibri"/>
          <w:noProof/>
          <w:color w:val="auto"/>
          <w:sz w:val="22"/>
          <w:szCs w:val="22"/>
        </w:rPr>
        <w:t>Other social issues, including guidelines to ensure that sub-projects promote positive social outcomes</w:t>
      </w:r>
      <w:r w:rsidR="00F76F0B">
        <w:rPr>
          <w:rFonts w:ascii="Calibri" w:eastAsia="Calibri" w:hAnsi="Calibri" w:cs="Calibri"/>
          <w:noProof/>
          <w:color w:val="auto"/>
          <w:sz w:val="22"/>
          <w:szCs w:val="22"/>
        </w:rPr>
        <w:t>,</w:t>
      </w:r>
      <w:r w:rsidRPr="002E1A3F">
        <w:rPr>
          <w:rFonts w:ascii="Calibri" w:eastAsia="Calibri" w:hAnsi="Calibri" w:cs="Calibri"/>
          <w:noProof/>
          <w:color w:val="auto"/>
          <w:sz w:val="22"/>
          <w:szCs w:val="22"/>
        </w:rPr>
        <w:t xml:space="preserve"> are detailed in the POM</w:t>
      </w:r>
      <w:bookmarkEnd w:id="261"/>
      <w:r w:rsidRPr="002E1A3F">
        <w:rPr>
          <w:rFonts w:ascii="Calibri" w:eastAsia="Calibri" w:hAnsi="Calibri" w:cs="Calibri"/>
          <w:noProof/>
          <w:color w:val="auto"/>
          <w:sz w:val="22"/>
          <w:szCs w:val="22"/>
        </w:rPr>
        <w:t>.</w:t>
      </w:r>
    </w:p>
    <w:p w14:paraId="76584AE7"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noProof/>
          <w:color w:val="auto"/>
          <w:sz w:val="22"/>
          <w:szCs w:val="22"/>
        </w:rPr>
      </w:pPr>
      <w:r w:rsidRPr="002E1A3F">
        <w:rPr>
          <w:rFonts w:ascii="Calibri" w:eastAsia="Calibri" w:hAnsi="Calibri" w:cs="Calibri"/>
          <w:b/>
          <w:noProof/>
          <w:color w:val="auto"/>
          <w:sz w:val="22"/>
          <w:szCs w:val="22"/>
        </w:rPr>
        <w:t>Gender-based risks associated with the project include public harassment, including verbal insults, sexual harassment and physical abuse of female students</w:t>
      </w:r>
      <w:r w:rsidRPr="002E1A3F">
        <w:rPr>
          <w:rFonts w:ascii="Calibri" w:eastAsia="Calibri" w:hAnsi="Calibri" w:cs="Calibri"/>
          <w:noProof/>
          <w:color w:val="auto"/>
          <w:sz w:val="22"/>
          <w:szCs w:val="22"/>
        </w:rPr>
        <w:t>. The project will require supported centers to make public their policy to counter student and staff abuse, including sexual harassment. Targeted support to women under the project may exacerbate these risks as young women acquire skills that give them access to impoved livelihoods; become more empowered to progress in traditionally male-dominated fields; and are perceived to take independent decisions</w:t>
      </w:r>
      <w:r w:rsidR="00F76F0B">
        <w:rPr>
          <w:rFonts w:ascii="Calibri" w:eastAsia="Calibri" w:hAnsi="Calibri" w:cs="Calibri"/>
          <w:noProof/>
          <w:color w:val="auto"/>
          <w:sz w:val="22"/>
          <w:szCs w:val="22"/>
        </w:rPr>
        <w:t>,</w:t>
      </w:r>
      <w:r w:rsidRPr="002E1A3F">
        <w:rPr>
          <w:rFonts w:ascii="Calibri" w:eastAsia="Calibri" w:hAnsi="Calibri" w:cs="Calibri"/>
          <w:noProof/>
          <w:color w:val="auto"/>
          <w:sz w:val="22"/>
          <w:szCs w:val="22"/>
        </w:rPr>
        <w:t xml:space="preserve"> including the perception of neglect of their domestic responsibilities. </w:t>
      </w:r>
      <w:r w:rsidR="0033635F" w:rsidRPr="00674B1A">
        <w:rPr>
          <w:rFonts w:asciiTheme="minorHAnsi" w:eastAsia="Calibri" w:hAnsiTheme="minorHAnsi" w:cstheme="minorHAnsi"/>
          <w:noProof/>
          <w:color w:val="auto"/>
          <w:sz w:val="22"/>
          <w:szCs w:val="22"/>
        </w:rPr>
        <w:t xml:space="preserve">To this end, </w:t>
      </w:r>
      <w:r w:rsidR="00A5296E">
        <w:rPr>
          <w:rFonts w:asciiTheme="minorHAnsi" w:eastAsia="Calibri" w:hAnsiTheme="minorHAnsi" w:cstheme="minorHAnsi"/>
          <w:noProof/>
          <w:color w:val="auto"/>
          <w:sz w:val="22"/>
          <w:szCs w:val="22"/>
        </w:rPr>
        <w:t>the project will mitig</w:t>
      </w:r>
      <w:r w:rsidR="00C1392B">
        <w:rPr>
          <w:rFonts w:asciiTheme="minorHAnsi" w:eastAsia="Calibri" w:hAnsiTheme="minorHAnsi" w:cstheme="minorHAnsi"/>
          <w:noProof/>
          <w:color w:val="auto"/>
          <w:sz w:val="22"/>
          <w:szCs w:val="22"/>
        </w:rPr>
        <w:t>a</w:t>
      </w:r>
      <w:r w:rsidR="00A5296E">
        <w:rPr>
          <w:rFonts w:asciiTheme="minorHAnsi" w:eastAsia="Calibri" w:hAnsiTheme="minorHAnsi" w:cstheme="minorHAnsi"/>
          <w:noProof/>
          <w:color w:val="auto"/>
          <w:sz w:val="22"/>
          <w:szCs w:val="22"/>
        </w:rPr>
        <w:t xml:space="preserve">te </w:t>
      </w:r>
      <w:r w:rsidR="00D73FD0">
        <w:rPr>
          <w:rFonts w:asciiTheme="minorHAnsi" w:eastAsia="Calibri" w:hAnsiTheme="minorHAnsi" w:cstheme="minorHAnsi"/>
          <w:noProof/>
          <w:color w:val="auto"/>
          <w:sz w:val="22"/>
          <w:szCs w:val="22"/>
        </w:rPr>
        <w:t xml:space="preserve">the </w:t>
      </w:r>
      <w:r w:rsidR="00A5296E">
        <w:rPr>
          <w:rFonts w:asciiTheme="minorHAnsi" w:eastAsia="Calibri" w:hAnsiTheme="minorHAnsi" w:cstheme="minorHAnsi"/>
          <w:noProof/>
          <w:color w:val="auto"/>
          <w:sz w:val="22"/>
          <w:szCs w:val="22"/>
        </w:rPr>
        <w:t xml:space="preserve">risk of </w:t>
      </w:r>
      <w:r w:rsidR="0033635F" w:rsidRPr="00674B1A">
        <w:rPr>
          <w:rFonts w:asciiTheme="minorHAnsi" w:hAnsiTheme="minorHAnsi" w:cstheme="minorHAnsi"/>
          <w:sz w:val="22"/>
          <w:szCs w:val="22"/>
        </w:rPr>
        <w:t>Gender-Based Violence (GBV)</w:t>
      </w:r>
      <w:r w:rsidR="0033635F">
        <w:rPr>
          <w:rFonts w:asciiTheme="minorHAnsi" w:hAnsiTheme="minorHAnsi" w:cstheme="minorHAnsi"/>
          <w:sz w:val="22"/>
          <w:szCs w:val="22"/>
        </w:rPr>
        <w:t>/Sexual Exploitation &amp; Abuse (SEA)</w:t>
      </w:r>
      <w:r w:rsidR="0033635F" w:rsidRPr="00674B1A">
        <w:rPr>
          <w:rFonts w:asciiTheme="minorHAnsi" w:hAnsiTheme="minorHAnsi" w:cstheme="minorHAnsi"/>
          <w:sz w:val="22"/>
          <w:szCs w:val="22"/>
        </w:rPr>
        <w:t xml:space="preserve"> </w:t>
      </w:r>
      <w:r w:rsidR="00842947">
        <w:rPr>
          <w:rFonts w:asciiTheme="minorHAnsi" w:hAnsiTheme="minorHAnsi" w:cstheme="minorHAnsi"/>
          <w:sz w:val="22"/>
          <w:szCs w:val="22"/>
        </w:rPr>
        <w:t xml:space="preserve">by </w:t>
      </w:r>
      <w:r w:rsidR="00852996">
        <w:rPr>
          <w:rFonts w:asciiTheme="minorHAnsi" w:hAnsiTheme="minorHAnsi" w:cstheme="minorHAnsi"/>
          <w:sz w:val="22"/>
          <w:szCs w:val="22"/>
        </w:rPr>
        <w:t>requiring</w:t>
      </w:r>
      <w:r w:rsidR="00842947">
        <w:rPr>
          <w:rFonts w:asciiTheme="minorHAnsi" w:hAnsiTheme="minorHAnsi" w:cstheme="minorHAnsi"/>
          <w:sz w:val="22"/>
          <w:szCs w:val="22"/>
        </w:rPr>
        <w:t xml:space="preserve"> that </w:t>
      </w:r>
      <w:r w:rsidR="00340994">
        <w:rPr>
          <w:rFonts w:asciiTheme="minorHAnsi" w:hAnsiTheme="minorHAnsi" w:cstheme="minorHAnsi"/>
          <w:sz w:val="22"/>
          <w:szCs w:val="22"/>
        </w:rPr>
        <w:t xml:space="preserve">each center </w:t>
      </w:r>
      <w:r w:rsidR="00852996">
        <w:rPr>
          <w:rFonts w:asciiTheme="minorHAnsi" w:hAnsiTheme="minorHAnsi" w:cstheme="minorHAnsi"/>
          <w:sz w:val="22"/>
          <w:szCs w:val="22"/>
        </w:rPr>
        <w:t>has and complies with its sexual harassment policies</w:t>
      </w:r>
      <w:r w:rsidR="000545E0">
        <w:rPr>
          <w:rFonts w:asciiTheme="minorHAnsi" w:hAnsiTheme="minorHAnsi" w:cstheme="minorHAnsi"/>
          <w:sz w:val="22"/>
          <w:szCs w:val="22"/>
        </w:rPr>
        <w:t xml:space="preserve"> through the following actio</w:t>
      </w:r>
      <w:r w:rsidR="006E067B">
        <w:rPr>
          <w:rFonts w:asciiTheme="minorHAnsi" w:hAnsiTheme="minorHAnsi" w:cstheme="minorHAnsi"/>
          <w:sz w:val="22"/>
          <w:szCs w:val="22"/>
        </w:rPr>
        <w:t>n</w:t>
      </w:r>
      <w:r w:rsidR="00753D74">
        <w:rPr>
          <w:rFonts w:asciiTheme="minorHAnsi" w:hAnsiTheme="minorHAnsi" w:cstheme="minorHAnsi"/>
          <w:sz w:val="22"/>
          <w:szCs w:val="22"/>
        </w:rPr>
        <w:t>s</w:t>
      </w:r>
      <w:r w:rsidR="000545E0">
        <w:rPr>
          <w:rFonts w:asciiTheme="minorHAnsi" w:hAnsiTheme="minorHAnsi" w:cstheme="minorHAnsi"/>
          <w:sz w:val="22"/>
          <w:szCs w:val="22"/>
        </w:rPr>
        <w:t>: (a)</w:t>
      </w:r>
      <w:r w:rsidR="00852996">
        <w:rPr>
          <w:rFonts w:asciiTheme="minorHAnsi" w:hAnsiTheme="minorHAnsi" w:cstheme="minorHAnsi"/>
          <w:sz w:val="22"/>
          <w:szCs w:val="22"/>
        </w:rPr>
        <w:t xml:space="preserve"> As part of DLI 1, each center will submit its sexual harassment policy </w:t>
      </w:r>
      <w:r w:rsidR="000771F0">
        <w:rPr>
          <w:rFonts w:asciiTheme="minorHAnsi" w:hAnsiTheme="minorHAnsi" w:cstheme="minorHAnsi"/>
          <w:sz w:val="22"/>
          <w:szCs w:val="22"/>
        </w:rPr>
        <w:t xml:space="preserve">and </w:t>
      </w:r>
      <w:r w:rsidR="007E728D">
        <w:rPr>
          <w:rFonts w:asciiTheme="minorHAnsi" w:hAnsiTheme="minorHAnsi" w:cstheme="minorHAnsi"/>
          <w:sz w:val="22"/>
          <w:szCs w:val="22"/>
        </w:rPr>
        <w:t>make it accessible online to its students and staff</w:t>
      </w:r>
      <w:r w:rsidR="000545E0">
        <w:rPr>
          <w:rFonts w:asciiTheme="minorHAnsi" w:hAnsiTheme="minorHAnsi" w:cstheme="minorHAnsi"/>
          <w:sz w:val="22"/>
          <w:szCs w:val="22"/>
        </w:rPr>
        <w:t xml:space="preserve">; (b) </w:t>
      </w:r>
      <w:r w:rsidR="006E067B">
        <w:rPr>
          <w:rFonts w:asciiTheme="minorHAnsi" w:hAnsiTheme="minorHAnsi" w:cstheme="minorHAnsi"/>
          <w:sz w:val="22"/>
          <w:szCs w:val="22"/>
        </w:rPr>
        <w:t xml:space="preserve">Each center </w:t>
      </w:r>
      <w:r w:rsidR="007B01BE">
        <w:rPr>
          <w:rFonts w:asciiTheme="minorHAnsi" w:hAnsiTheme="minorHAnsi" w:cstheme="minorHAnsi"/>
          <w:sz w:val="22"/>
          <w:szCs w:val="22"/>
        </w:rPr>
        <w:t>will</w:t>
      </w:r>
      <w:r w:rsidR="005F19DE">
        <w:rPr>
          <w:rFonts w:asciiTheme="minorHAnsi" w:hAnsiTheme="minorHAnsi" w:cstheme="minorHAnsi"/>
          <w:sz w:val="22"/>
          <w:szCs w:val="22"/>
        </w:rPr>
        <w:t xml:space="preserve"> </w:t>
      </w:r>
      <w:r w:rsidR="006E067B">
        <w:rPr>
          <w:rFonts w:asciiTheme="minorHAnsi" w:hAnsiTheme="minorHAnsi" w:cstheme="minorHAnsi"/>
          <w:sz w:val="22"/>
          <w:szCs w:val="22"/>
        </w:rPr>
        <w:t>report to the PSC</w:t>
      </w:r>
      <w:r w:rsidR="00C61961">
        <w:rPr>
          <w:rFonts w:asciiTheme="minorHAnsi" w:hAnsiTheme="minorHAnsi" w:cstheme="minorHAnsi"/>
          <w:sz w:val="22"/>
          <w:szCs w:val="22"/>
        </w:rPr>
        <w:t xml:space="preserve"> (government, AFD and the World Bank)</w:t>
      </w:r>
      <w:r w:rsidR="006E067B">
        <w:rPr>
          <w:rFonts w:asciiTheme="minorHAnsi" w:hAnsiTheme="minorHAnsi" w:cstheme="minorHAnsi"/>
          <w:sz w:val="22"/>
          <w:szCs w:val="22"/>
        </w:rPr>
        <w:t xml:space="preserve">, </w:t>
      </w:r>
      <w:r w:rsidR="005F19DE">
        <w:rPr>
          <w:rFonts w:asciiTheme="minorHAnsi" w:hAnsiTheme="minorHAnsi" w:cstheme="minorHAnsi"/>
          <w:sz w:val="22"/>
          <w:szCs w:val="22"/>
        </w:rPr>
        <w:t xml:space="preserve">by submitting a report </w:t>
      </w:r>
      <w:r w:rsidR="006E067B">
        <w:rPr>
          <w:rFonts w:asciiTheme="minorHAnsi" w:hAnsiTheme="minorHAnsi" w:cstheme="minorHAnsi"/>
          <w:sz w:val="22"/>
          <w:szCs w:val="22"/>
        </w:rPr>
        <w:t>semi-annually to AAU on a</w:t>
      </w:r>
      <w:r w:rsidR="007C1F0D">
        <w:rPr>
          <w:rFonts w:asciiTheme="minorHAnsi" w:hAnsiTheme="minorHAnsi" w:cstheme="minorHAnsi"/>
          <w:sz w:val="22"/>
          <w:szCs w:val="22"/>
        </w:rPr>
        <w:t xml:space="preserve">ny related complaints and how it </w:t>
      </w:r>
      <w:r w:rsidR="00455A05">
        <w:rPr>
          <w:rFonts w:asciiTheme="minorHAnsi" w:hAnsiTheme="minorHAnsi" w:cstheme="minorHAnsi"/>
          <w:sz w:val="22"/>
          <w:szCs w:val="22"/>
        </w:rPr>
        <w:t>adequately</w:t>
      </w:r>
      <w:r w:rsidR="002D16B3">
        <w:rPr>
          <w:rFonts w:asciiTheme="minorHAnsi" w:hAnsiTheme="minorHAnsi" w:cstheme="minorHAnsi"/>
          <w:sz w:val="22"/>
          <w:szCs w:val="22"/>
        </w:rPr>
        <w:t xml:space="preserve"> </w:t>
      </w:r>
      <w:r w:rsidR="007C1F0D">
        <w:rPr>
          <w:rFonts w:asciiTheme="minorHAnsi" w:hAnsiTheme="minorHAnsi" w:cstheme="minorHAnsi"/>
          <w:sz w:val="22"/>
          <w:szCs w:val="22"/>
        </w:rPr>
        <w:t>resolved or is resolving the complaint</w:t>
      </w:r>
      <w:r w:rsidR="007E728D">
        <w:rPr>
          <w:rFonts w:asciiTheme="minorHAnsi" w:hAnsiTheme="minorHAnsi" w:cstheme="minorHAnsi"/>
          <w:sz w:val="22"/>
          <w:szCs w:val="22"/>
        </w:rPr>
        <w:t xml:space="preserve">; </w:t>
      </w:r>
      <w:r w:rsidR="00F76F0B">
        <w:rPr>
          <w:rFonts w:asciiTheme="minorHAnsi" w:hAnsiTheme="minorHAnsi" w:cstheme="minorHAnsi"/>
          <w:sz w:val="22"/>
          <w:szCs w:val="22"/>
        </w:rPr>
        <w:t xml:space="preserve">and </w:t>
      </w:r>
      <w:r w:rsidR="007E728D">
        <w:rPr>
          <w:rFonts w:asciiTheme="minorHAnsi" w:hAnsiTheme="minorHAnsi" w:cstheme="minorHAnsi"/>
          <w:sz w:val="22"/>
          <w:szCs w:val="22"/>
        </w:rPr>
        <w:t xml:space="preserve">(c) </w:t>
      </w:r>
      <w:r w:rsidR="003C0C45">
        <w:rPr>
          <w:rFonts w:asciiTheme="minorHAnsi" w:hAnsiTheme="minorHAnsi" w:cstheme="minorHAnsi"/>
          <w:sz w:val="22"/>
          <w:szCs w:val="22"/>
        </w:rPr>
        <w:t>Each center will have available resources</w:t>
      </w:r>
      <w:r w:rsidR="00265D80">
        <w:rPr>
          <w:rFonts w:asciiTheme="minorHAnsi" w:hAnsiTheme="minorHAnsi" w:cstheme="minorHAnsi"/>
          <w:sz w:val="22"/>
          <w:szCs w:val="22"/>
        </w:rPr>
        <w:t xml:space="preserve"> </w:t>
      </w:r>
      <w:r w:rsidR="00A07A48">
        <w:rPr>
          <w:rFonts w:asciiTheme="minorHAnsi" w:hAnsiTheme="minorHAnsi" w:cstheme="minorHAnsi"/>
          <w:sz w:val="22"/>
          <w:szCs w:val="22"/>
        </w:rPr>
        <w:t>and/or information</w:t>
      </w:r>
      <w:r w:rsidR="003C0C45">
        <w:rPr>
          <w:rFonts w:asciiTheme="minorHAnsi" w:hAnsiTheme="minorHAnsi" w:cstheme="minorHAnsi"/>
          <w:sz w:val="22"/>
          <w:szCs w:val="22"/>
        </w:rPr>
        <w:t xml:space="preserve"> that survivors of GBV/SEA can </w:t>
      </w:r>
      <w:r w:rsidR="00C4158F">
        <w:rPr>
          <w:rFonts w:asciiTheme="minorHAnsi" w:hAnsiTheme="minorHAnsi" w:cstheme="minorHAnsi"/>
          <w:sz w:val="22"/>
          <w:szCs w:val="22"/>
        </w:rPr>
        <w:t xml:space="preserve">be referred to either within the university or an external agency with expertise and mandate to handle such cases. </w:t>
      </w:r>
      <w:r w:rsidR="009713F1">
        <w:rPr>
          <w:rFonts w:asciiTheme="minorHAnsi" w:hAnsiTheme="minorHAnsi" w:cstheme="minorHAnsi"/>
          <w:sz w:val="22"/>
          <w:szCs w:val="22"/>
        </w:rPr>
        <w:t xml:space="preserve"> </w:t>
      </w:r>
    </w:p>
    <w:p w14:paraId="343E87C4"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noProof/>
          <w:color w:val="auto"/>
          <w:sz w:val="22"/>
          <w:szCs w:val="22"/>
        </w:rPr>
      </w:pPr>
      <w:r w:rsidRPr="002E1A3F">
        <w:rPr>
          <w:rFonts w:ascii="Calibri" w:eastAsia="Calibri" w:hAnsi="Calibri" w:cs="Calibri"/>
          <w:b/>
          <w:noProof/>
          <w:color w:val="auto"/>
          <w:sz w:val="22"/>
          <w:szCs w:val="22"/>
        </w:rPr>
        <w:t xml:space="preserve">Recruiting and retaining women in the Second ACE Impact academic programs (particularly at the PhD level) is a priority of the project. </w:t>
      </w:r>
      <w:r w:rsidRPr="002E1A3F">
        <w:rPr>
          <w:rFonts w:ascii="Calibri" w:eastAsia="Calibri" w:hAnsi="Calibri" w:cs="Calibri"/>
          <w:noProof/>
          <w:color w:val="auto"/>
          <w:sz w:val="22"/>
          <w:szCs w:val="22"/>
        </w:rPr>
        <w:t xml:space="preserve">For example, for several of the intermediate results indicators (especially those that track numbers of students or faculty), the data will be dissagregated </w:t>
      </w:r>
      <w:r w:rsidR="000415E8">
        <w:rPr>
          <w:rFonts w:ascii="Calibri" w:eastAsia="Calibri" w:hAnsi="Calibri" w:cs="Calibri"/>
          <w:noProof/>
          <w:color w:val="auto"/>
          <w:sz w:val="22"/>
          <w:szCs w:val="22"/>
        </w:rPr>
        <w:t>by</w:t>
      </w:r>
      <w:r w:rsidR="000415E8" w:rsidRPr="002E1A3F">
        <w:rPr>
          <w:rFonts w:ascii="Calibri" w:eastAsia="Calibri" w:hAnsi="Calibri" w:cs="Calibri"/>
          <w:noProof/>
          <w:color w:val="auto"/>
          <w:sz w:val="22"/>
          <w:szCs w:val="22"/>
        </w:rPr>
        <w:t xml:space="preserve"> </w:t>
      </w:r>
      <w:r w:rsidRPr="002E1A3F">
        <w:rPr>
          <w:rFonts w:ascii="Calibri" w:eastAsia="Calibri" w:hAnsi="Calibri" w:cs="Calibri"/>
          <w:noProof/>
          <w:color w:val="auto"/>
          <w:sz w:val="22"/>
          <w:szCs w:val="22"/>
        </w:rPr>
        <w:t xml:space="preserve">gender in order to help track the project’s impact on female representation in participating higher education institutions. Also, in each annual workplan of all participating centers and the CoEngg, </w:t>
      </w:r>
      <w:r w:rsidR="000415E8">
        <w:rPr>
          <w:rFonts w:ascii="Calibri" w:eastAsia="Calibri" w:hAnsi="Calibri" w:cs="Calibri"/>
          <w:noProof/>
          <w:color w:val="auto"/>
          <w:sz w:val="22"/>
          <w:szCs w:val="22"/>
        </w:rPr>
        <w:t>centers</w:t>
      </w:r>
      <w:r w:rsidR="000415E8" w:rsidRPr="002E1A3F">
        <w:rPr>
          <w:rFonts w:ascii="Calibri" w:eastAsia="Calibri" w:hAnsi="Calibri" w:cs="Calibri"/>
          <w:noProof/>
          <w:color w:val="auto"/>
          <w:sz w:val="22"/>
          <w:szCs w:val="22"/>
        </w:rPr>
        <w:t xml:space="preserve"> </w:t>
      </w:r>
      <w:r w:rsidRPr="002E1A3F">
        <w:rPr>
          <w:rFonts w:ascii="Calibri" w:eastAsia="Calibri" w:hAnsi="Calibri" w:cs="Calibri"/>
          <w:noProof/>
          <w:color w:val="auto"/>
          <w:sz w:val="22"/>
          <w:szCs w:val="22"/>
        </w:rPr>
        <w:t>will be required to indicate activities and interventions towards increasing and retaining women.</w:t>
      </w:r>
    </w:p>
    <w:p w14:paraId="5DEB29D1" w14:textId="77777777" w:rsidR="002E1A3F" w:rsidRPr="002E1A3F" w:rsidRDefault="00B00100" w:rsidP="008E2709">
      <w:pPr>
        <w:widowControl/>
        <w:numPr>
          <w:ilvl w:val="0"/>
          <w:numId w:val="2"/>
        </w:numPr>
        <w:autoSpaceDE/>
        <w:autoSpaceDN/>
        <w:adjustRightInd/>
        <w:spacing w:after="160"/>
        <w:ind w:left="0" w:firstLine="0"/>
        <w:contextualSpacing/>
        <w:rPr>
          <w:rFonts w:ascii="Calibri" w:eastAsia="Calibri,Times New Roman" w:hAnsi="Calibri" w:cs="Calibri"/>
          <w:b/>
          <w:color w:val="auto"/>
          <w:sz w:val="22"/>
          <w:szCs w:val="22"/>
        </w:rPr>
      </w:pPr>
      <w:r w:rsidRPr="002E1A3F">
        <w:rPr>
          <w:rFonts w:ascii="Calibri" w:eastAsia="Calibri" w:hAnsi="Calibri" w:cs="Calibri"/>
          <w:b/>
          <w:color w:val="auto"/>
          <w:sz w:val="22"/>
          <w:szCs w:val="22"/>
        </w:rPr>
        <w:t>Grievance Redress Mechanisms</w:t>
      </w:r>
    </w:p>
    <w:p w14:paraId="21B018EF" w14:textId="77777777" w:rsidR="002E1A3F" w:rsidRPr="002E1A3F" w:rsidRDefault="002E1A3F">
      <w:pPr>
        <w:contextualSpacing/>
        <w:rPr>
          <w:rFonts w:ascii="Calibri" w:eastAsia="Times New Roman" w:hAnsi="Calibri" w:cs="Calibri"/>
          <w:b/>
          <w:color w:val="auto"/>
          <w:sz w:val="22"/>
          <w:szCs w:val="22"/>
        </w:rPr>
      </w:pPr>
    </w:p>
    <w:p w14:paraId="7BB952C6" w14:textId="77777777" w:rsid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 w:hAnsi="Calibri" w:cs="Calibri"/>
          <w:color w:val="auto"/>
          <w:sz w:val="22"/>
          <w:szCs w:val="22"/>
        </w:rPr>
      </w:pPr>
      <w:r w:rsidRPr="002E1A3F">
        <w:rPr>
          <w:rFonts w:ascii="Calibri" w:eastAsia="Calibri" w:hAnsi="Calibri" w:cs="Calibri"/>
          <w:b/>
          <w:noProof/>
          <w:color w:val="auto"/>
          <w:sz w:val="22"/>
          <w:szCs w:val="22"/>
        </w:rPr>
        <w:t>Grievance Redress and Feedback Mechanisms and Beneficiary/Citizen Engagement, notably student engagement, are vital to the project’s success.</w:t>
      </w:r>
      <w:r w:rsidRPr="002E1A3F">
        <w:rPr>
          <w:rFonts w:ascii="Calibri" w:eastAsia="Calibri" w:hAnsi="Calibri" w:cs="Calibri"/>
          <w:noProof/>
          <w:color w:val="auto"/>
          <w:sz w:val="22"/>
          <w:szCs w:val="22"/>
        </w:rPr>
        <w:t xml:space="preserve"> The </w:t>
      </w:r>
      <w:r w:rsidR="00BB4A89">
        <w:rPr>
          <w:rFonts w:ascii="Calibri" w:eastAsia="Calibri" w:hAnsi="Calibri" w:cs="Calibri"/>
          <w:noProof/>
          <w:color w:val="auto"/>
          <w:sz w:val="22"/>
          <w:szCs w:val="22"/>
        </w:rPr>
        <w:t>ACE I Project</w:t>
      </w:r>
      <w:r w:rsidRPr="002E1A3F">
        <w:rPr>
          <w:rFonts w:ascii="Calibri" w:eastAsia="Calibri" w:hAnsi="Calibri" w:cs="Calibri"/>
          <w:noProof/>
          <w:color w:val="auto"/>
          <w:sz w:val="22"/>
          <w:szCs w:val="22"/>
        </w:rPr>
        <w:t xml:space="preserve"> demonstrated the importance of student feedback to promote academic excellence. Under the Second ACE Impact </w:t>
      </w:r>
      <w:r w:rsidR="00313754">
        <w:rPr>
          <w:rFonts w:ascii="Calibri" w:eastAsia="Calibri" w:hAnsi="Calibri" w:cs="Calibri"/>
          <w:noProof/>
          <w:color w:val="auto"/>
          <w:sz w:val="22"/>
          <w:szCs w:val="22"/>
        </w:rPr>
        <w:t>Project</w:t>
      </w:r>
      <w:r w:rsidRPr="002E1A3F">
        <w:rPr>
          <w:rFonts w:ascii="Calibri" w:eastAsia="Calibri" w:hAnsi="Calibri" w:cs="Calibri"/>
          <w:noProof/>
          <w:color w:val="auto"/>
          <w:sz w:val="22"/>
          <w:szCs w:val="22"/>
        </w:rPr>
        <w:t xml:space="preserve">, student feedback will be received through an online complaint submission system (to be managed by the </w:t>
      </w:r>
      <w:r w:rsidR="00672ED8">
        <w:rPr>
          <w:rFonts w:ascii="Calibri" w:eastAsia="Calibri" w:hAnsi="Calibri" w:cs="Calibri"/>
          <w:noProof/>
          <w:color w:val="auto"/>
          <w:sz w:val="22"/>
          <w:szCs w:val="22"/>
        </w:rPr>
        <w:t>RFU</w:t>
      </w:r>
      <w:r w:rsidRPr="002E1A3F">
        <w:rPr>
          <w:rFonts w:ascii="Calibri" w:eastAsia="Calibri" w:hAnsi="Calibri" w:cs="Calibri"/>
          <w:noProof/>
          <w:color w:val="auto"/>
          <w:sz w:val="22"/>
          <w:szCs w:val="22"/>
        </w:rPr>
        <w:t xml:space="preserve">), regular independent student surveys and during regular supervision meetings with student groups. The </w:t>
      </w:r>
      <w:r w:rsidRPr="002E1A3F">
        <w:rPr>
          <w:rFonts w:ascii="Calibri" w:eastAsia="Calibri" w:hAnsi="Calibri" w:cs="Calibri"/>
          <w:noProof/>
          <w:color w:val="auto"/>
          <w:sz w:val="22"/>
          <w:szCs w:val="22"/>
        </w:rPr>
        <w:lastRenderedPageBreak/>
        <w:t xml:space="preserve">latter two mechanisms served as feedback and complaint mechanisms in the </w:t>
      </w:r>
      <w:r w:rsidR="00BB4A89">
        <w:rPr>
          <w:rFonts w:ascii="Calibri" w:eastAsia="Calibri" w:hAnsi="Calibri" w:cs="Calibri"/>
          <w:noProof/>
          <w:color w:val="auto"/>
          <w:sz w:val="22"/>
          <w:szCs w:val="22"/>
        </w:rPr>
        <w:t>ACE I Project</w:t>
      </w:r>
      <w:r w:rsidRPr="002E1A3F">
        <w:rPr>
          <w:rFonts w:ascii="Calibri" w:eastAsia="Calibri" w:hAnsi="Calibri" w:cs="Calibri"/>
          <w:noProof/>
          <w:color w:val="auto"/>
          <w:sz w:val="22"/>
          <w:szCs w:val="22"/>
        </w:rPr>
        <w:t xml:space="preserve"> and provided: (a) information about project implementation; (b) an opportunity for resolving grievances and disputes at the lowest level; (c) fora for resolving disputes relatively quickly before they escalated to an unmanageable level; (d) a platform for facilitating effective communication between the project, centers, and affected persons (most often students); and (e) an opportunity for winning the trust and confidence of project beneficiaries and stakeholders which created productive relationships between the parties. The student survey and on-site regular meetings with students, faculty, and other stakeholders will be further strengthened under the Second </w:t>
      </w:r>
      <w:r w:rsidR="00BB4A89">
        <w:rPr>
          <w:rFonts w:ascii="Calibri" w:eastAsia="Calibri" w:hAnsi="Calibri" w:cs="Calibri"/>
          <w:noProof/>
          <w:color w:val="auto"/>
          <w:sz w:val="22"/>
          <w:szCs w:val="22"/>
        </w:rPr>
        <w:t>ACE Impact Project</w:t>
      </w:r>
      <w:r w:rsidRPr="002E1A3F">
        <w:rPr>
          <w:rFonts w:ascii="Calibri" w:eastAsia="Calibri" w:hAnsi="Calibri" w:cs="Calibri"/>
          <w:noProof/>
          <w:color w:val="auto"/>
          <w:sz w:val="22"/>
          <w:szCs w:val="22"/>
        </w:rPr>
        <w:t>. In addition, as part of preparation, a student focus group with participation of students from nine countries was convened. Further, representatives of civil society, including firms and other non-governmental entities, will form part of the sector advisory committees for each center to guide the center’s activities and ensure that education and research activities meet development needs.</w:t>
      </w:r>
    </w:p>
    <w:p w14:paraId="0FA980DA" w14:textId="77777777" w:rsidR="009540B9" w:rsidRPr="00797B7A" w:rsidRDefault="00B00100" w:rsidP="008E2709">
      <w:pPr>
        <w:widowControl/>
        <w:numPr>
          <w:ilvl w:val="0"/>
          <w:numId w:val="2"/>
        </w:numPr>
        <w:autoSpaceDE/>
        <w:autoSpaceDN/>
        <w:adjustRightInd/>
        <w:spacing w:after="160"/>
        <w:ind w:left="0" w:firstLine="0"/>
        <w:contextualSpacing/>
        <w:rPr>
          <w:rFonts w:ascii="Calibri" w:eastAsia="Calibri" w:hAnsi="Calibri" w:cs="Calibri"/>
          <w:color w:val="auto"/>
          <w:sz w:val="22"/>
          <w:szCs w:val="22"/>
        </w:rPr>
      </w:pPr>
      <w:r w:rsidRPr="00797B7A">
        <w:rPr>
          <w:rFonts w:ascii="Calibri" w:eastAsia="Calibri" w:hAnsi="Calibri" w:cs="Calibri"/>
          <w:b/>
          <w:noProof/>
          <w:color w:val="auto"/>
          <w:sz w:val="22"/>
          <w:szCs w:val="22"/>
        </w:rPr>
        <w:t xml:space="preserve">Grievance Redress Service </w:t>
      </w:r>
    </w:p>
    <w:p w14:paraId="74C0D5AD" w14:textId="77777777" w:rsidR="009540B9" w:rsidRPr="00797B7A" w:rsidRDefault="009540B9" w:rsidP="008E2709">
      <w:pPr>
        <w:widowControl/>
        <w:autoSpaceDE/>
        <w:autoSpaceDN/>
        <w:adjustRightInd/>
        <w:spacing w:after="160"/>
        <w:contextualSpacing/>
        <w:rPr>
          <w:rFonts w:ascii="Calibri" w:eastAsia="Calibri" w:hAnsi="Calibri" w:cs="Calibri"/>
          <w:color w:val="auto"/>
          <w:sz w:val="22"/>
          <w:szCs w:val="22"/>
        </w:rPr>
      </w:pPr>
    </w:p>
    <w:p w14:paraId="24D24DAD" w14:textId="77777777" w:rsidR="002E1A3F" w:rsidRPr="002E1A3F" w:rsidRDefault="00B00100" w:rsidP="008E2709">
      <w:pPr>
        <w:widowControl/>
        <w:numPr>
          <w:ilvl w:val="0"/>
          <w:numId w:val="7"/>
        </w:numPr>
        <w:tabs>
          <w:tab w:val="left" w:pos="0"/>
          <w:tab w:val="left" w:pos="720"/>
        </w:tabs>
        <w:autoSpaceDE/>
        <w:autoSpaceDN/>
        <w:adjustRightInd/>
        <w:spacing w:after="240"/>
        <w:ind w:left="0" w:firstLine="0"/>
        <w:jc w:val="both"/>
        <w:rPr>
          <w:rFonts w:ascii="Calibri" w:eastAsia="Calibri,Times New Roman" w:hAnsi="Calibri" w:cs="Calibri"/>
          <w:sz w:val="22"/>
          <w:szCs w:val="22"/>
        </w:rPr>
      </w:pPr>
      <w:r w:rsidRPr="002E1A3F">
        <w:rPr>
          <w:rFonts w:ascii="Calibri" w:eastAsia="Calibri" w:hAnsi="Calibri" w:cs="Calibri"/>
          <w:color w:val="0D0D0D"/>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w:t>
      </w:r>
      <w:r w:rsidRPr="002E1A3F">
        <w:rPr>
          <w:rFonts w:ascii="Calibri" w:eastAsia="Calibri" w:hAnsi="Calibri" w:cs="Calibri"/>
          <w:noProof/>
          <w:color w:val="auto"/>
          <w:sz w:val="22"/>
          <w:szCs w:val="22"/>
        </w:rPr>
        <w:t>its</w:t>
      </w:r>
      <w:r w:rsidRPr="002E1A3F">
        <w:rPr>
          <w:rFonts w:ascii="Calibri" w:eastAsia="Calibri" w:hAnsi="Calibri" w:cs="Calibri"/>
          <w:color w:val="0D0D0D"/>
          <w:sz w:val="22"/>
          <w:szCs w:val="22"/>
        </w:rPr>
        <w:t xml:space="preserve"> policies and procedures. Complaints may be submitted at any time after concerns have been brought directly to the World Bank's attention, and Bank Management has been given an opportunity to respond</w:t>
      </w:r>
      <w:r w:rsidRPr="002E1A3F">
        <w:rPr>
          <w:rFonts w:ascii="Calibri" w:eastAsia="Calibri,Arial,Times New Roman" w:hAnsi="Calibri" w:cs="Calibri"/>
          <w:color w:val="0D0D0D"/>
          <w:sz w:val="22"/>
          <w:szCs w:val="22"/>
        </w:rPr>
        <w:t>.</w:t>
      </w:r>
      <w:r w:rsidRPr="002E1A3F">
        <w:rPr>
          <w:rFonts w:ascii="Calibri" w:eastAsia="Calibri" w:hAnsi="Calibri" w:cs="Calibri"/>
          <w:color w:val="0D0D0D"/>
          <w:sz w:val="22"/>
          <w:szCs w:val="22"/>
        </w:rPr>
        <w:t xml:space="preserve">  For information on how to submit complaints to the World Bank’s corporate Grievance Redress Service (GRS), please visit </w:t>
      </w:r>
      <w:hyperlink r:id="rId37" w:history="1">
        <w:r w:rsidRPr="002E1A3F">
          <w:rPr>
            <w:rFonts w:ascii="Calibri" w:eastAsia="Calibri" w:hAnsi="Calibri" w:cs="Calibri"/>
            <w:color w:val="0563C1"/>
            <w:sz w:val="22"/>
            <w:szCs w:val="22"/>
            <w:u w:val="single"/>
          </w:rPr>
          <w:t>http://www.worldbank.org/en/projects-operations/products-and-services/grievance-redress-service</w:t>
        </w:r>
      </w:hyperlink>
      <w:r w:rsidRPr="002E1A3F">
        <w:rPr>
          <w:rFonts w:ascii="Calibri" w:eastAsia="Calibri,Arial,Times New Roman" w:hAnsi="Calibri" w:cs="Calibri"/>
          <w:color w:val="0D0D0D"/>
          <w:sz w:val="22"/>
          <w:szCs w:val="22"/>
          <w:u w:val="single"/>
        </w:rPr>
        <w:t>.</w:t>
      </w:r>
      <w:r w:rsidRPr="002E1A3F">
        <w:rPr>
          <w:rFonts w:ascii="Calibri" w:eastAsia="Calibri" w:hAnsi="Calibri" w:cs="Calibri"/>
          <w:color w:val="0D0D0D"/>
          <w:sz w:val="22"/>
          <w:szCs w:val="22"/>
        </w:rPr>
        <w:t xml:space="preserve"> For information on how to submit complaints to the World Bank Inspection Panel, please visit </w:t>
      </w:r>
      <w:hyperlink r:id="rId38" w:history="1">
        <w:r w:rsidRPr="002E1A3F">
          <w:rPr>
            <w:rFonts w:ascii="Calibri" w:eastAsia="Calibri" w:hAnsi="Calibri" w:cs="Calibri"/>
            <w:color w:val="0D0D0D"/>
            <w:sz w:val="22"/>
            <w:szCs w:val="22"/>
            <w:u w:val="single"/>
          </w:rPr>
          <w:t>www.inspectionpanel.org</w:t>
        </w:r>
      </w:hyperlink>
      <w:r w:rsidRPr="002E1A3F">
        <w:rPr>
          <w:rFonts w:ascii="Calibri" w:eastAsia="Calibri,Arial,Times New Roman" w:hAnsi="Calibri" w:cs="Calibri"/>
          <w:color w:val="0D0D0D"/>
          <w:sz w:val="22"/>
          <w:szCs w:val="22"/>
          <w:u w:val="single"/>
        </w:rPr>
        <w:t>.</w:t>
      </w:r>
    </w:p>
    <w:tbl>
      <w:tblPr>
        <w:tblStyle w:val="TableGrid18"/>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080"/>
      </w:tblGrid>
      <w:tr w:rsidR="000C3959" w14:paraId="57EC1C5E" w14:textId="77777777" w:rsidTr="009277AD">
        <w:trPr>
          <w:trHeight w:val="432"/>
        </w:trPr>
        <w:tc>
          <w:tcPr>
            <w:tcW w:w="10080" w:type="dxa"/>
            <w:shd w:val="clear" w:color="auto" w:fill="F2F7FC"/>
            <w:vAlign w:val="center"/>
          </w:tcPr>
          <w:p w14:paraId="32FABB31" w14:textId="77777777" w:rsidR="002E1A3F" w:rsidRPr="002E1A3F" w:rsidRDefault="00B00100">
            <w:pPr>
              <w:widowControl/>
              <w:autoSpaceDE/>
              <w:autoSpaceDN/>
              <w:adjustRightInd/>
              <w:ind w:left="450"/>
              <w:outlineLvl w:val="0"/>
              <w:rPr>
                <w:rFonts w:ascii="Calibri" w:eastAsia="Calibri" w:hAnsi="Calibri" w:cs="Times New Roman"/>
                <w:b/>
                <w:sz w:val="22"/>
                <w:szCs w:val="22"/>
              </w:rPr>
            </w:pPr>
            <w:bookmarkStart w:id="262" w:name="_Toc256000152"/>
            <w:bookmarkStart w:id="263" w:name="_Toc256000123"/>
            <w:bookmarkStart w:id="264" w:name="_Toc256000090"/>
            <w:bookmarkStart w:id="265" w:name="_Toc256000058"/>
            <w:bookmarkStart w:id="266" w:name="_Toc256000026"/>
            <w:bookmarkStart w:id="267" w:name="_Toc8301937"/>
            <w:bookmarkStart w:id="268" w:name="_Toc14789354"/>
            <w:bookmarkStart w:id="269" w:name="_Toc22655923"/>
            <w:bookmarkStart w:id="270" w:name="_Toc23779852"/>
            <w:bookmarkStart w:id="271" w:name="_Toc23866068"/>
            <w:bookmarkStart w:id="272" w:name="_Toc23930679"/>
            <w:r>
              <w:rPr>
                <w:rFonts w:asciiTheme="minorHAnsi" w:eastAsiaTheme="minorHAnsi" w:hAnsiTheme="minorHAnsi" w:cstheme="minorBidi"/>
                <w:b/>
                <w:color w:val="auto"/>
                <w:sz w:val="22"/>
                <w:szCs w:val="22"/>
              </w:rPr>
              <w:t xml:space="preserve">V. </w:t>
            </w:r>
            <w:r w:rsidR="00CE2C51" w:rsidRPr="00E003D0">
              <w:rPr>
                <w:rFonts w:asciiTheme="minorHAnsi" w:eastAsiaTheme="minorHAnsi" w:hAnsiTheme="minorHAnsi" w:cstheme="minorBidi"/>
                <w:b/>
                <w:color w:val="auto"/>
                <w:sz w:val="22"/>
                <w:szCs w:val="22"/>
              </w:rPr>
              <w:t>KEY RISKS</w:t>
            </w:r>
            <w:bookmarkEnd w:id="262"/>
            <w:bookmarkEnd w:id="263"/>
            <w:bookmarkEnd w:id="264"/>
            <w:bookmarkEnd w:id="265"/>
            <w:bookmarkEnd w:id="266"/>
            <w:bookmarkEnd w:id="267"/>
            <w:bookmarkEnd w:id="268"/>
            <w:bookmarkEnd w:id="269"/>
            <w:bookmarkEnd w:id="270"/>
            <w:bookmarkEnd w:id="271"/>
            <w:bookmarkEnd w:id="272"/>
          </w:p>
        </w:tc>
      </w:tr>
    </w:tbl>
    <w:p w14:paraId="18092CA0" w14:textId="77777777" w:rsidR="002E1A3F" w:rsidRPr="002E1A3F" w:rsidRDefault="002E1A3F">
      <w:pPr>
        <w:ind w:left="-630"/>
        <w:rPr>
          <w:rFonts w:ascii="Calibri" w:eastAsia="Times New Roman" w:hAnsi="Calibri" w:cs="Calibri"/>
          <w:b/>
          <w:color w:val="172D5F"/>
          <w:sz w:val="22"/>
          <w:szCs w:val="22"/>
        </w:rPr>
      </w:pPr>
      <w:bookmarkStart w:id="273" w:name="_Toc509044199"/>
    </w:p>
    <w:p w14:paraId="3301ADDF" w14:textId="77777777" w:rsidR="002E1A3F" w:rsidRPr="002E1A3F" w:rsidRDefault="00B00100" w:rsidP="00F463C2">
      <w:pPr>
        <w:ind w:left="-630"/>
        <w:rPr>
          <w:rFonts w:ascii="Calibri" w:eastAsia="Calibri,Times New Roman" w:hAnsi="Calibri" w:cs="Calibri"/>
          <w:b/>
          <w:color w:val="172D5F"/>
          <w:sz w:val="22"/>
          <w:szCs w:val="22"/>
        </w:rPr>
      </w:pPr>
      <w:r w:rsidRPr="002E1A3F">
        <w:rPr>
          <w:rFonts w:ascii="Calibri" w:eastAsia="Calibri" w:hAnsi="Calibri" w:cs="Calibri"/>
          <w:b/>
          <w:color w:val="172D5F"/>
          <w:sz w:val="22"/>
          <w:szCs w:val="22"/>
        </w:rPr>
        <w:t>Overall Risk Rating and Explanation of Key Risks</w:t>
      </w:r>
      <w:bookmarkEnd w:id="273"/>
    </w:p>
    <w:p w14:paraId="6278233E" w14:textId="77777777" w:rsidR="002E1A3F" w:rsidRPr="002E1A3F" w:rsidRDefault="002E1A3F" w:rsidP="008E2709">
      <w:pPr>
        <w:tabs>
          <w:tab w:val="left" w:pos="0"/>
          <w:tab w:val="left" w:pos="720"/>
        </w:tabs>
        <w:jc w:val="both"/>
        <w:rPr>
          <w:rFonts w:ascii="Calibri" w:eastAsia="Times New Roman" w:hAnsi="Calibri" w:cs="Calibri"/>
          <w:bCs/>
          <w:sz w:val="22"/>
          <w:szCs w:val="22"/>
        </w:rPr>
      </w:pPr>
    </w:p>
    <w:p w14:paraId="35ECFC8E" w14:textId="77777777" w:rsidR="002E1A3F" w:rsidRPr="002E1A3F" w:rsidRDefault="00B00100" w:rsidP="008E2709">
      <w:pPr>
        <w:widowControl/>
        <w:numPr>
          <w:ilvl w:val="0"/>
          <w:numId w:val="7"/>
        </w:numPr>
        <w:tabs>
          <w:tab w:val="left" w:pos="0"/>
          <w:tab w:val="left" w:pos="720"/>
        </w:tabs>
        <w:autoSpaceDE/>
        <w:autoSpaceDN/>
        <w:adjustRightInd/>
        <w:spacing w:after="120"/>
        <w:ind w:left="0" w:firstLine="0"/>
        <w:jc w:val="both"/>
        <w:rPr>
          <w:rFonts w:ascii="Calibri" w:eastAsia="Calibri" w:hAnsi="Calibri" w:cs="Calibri"/>
          <w:sz w:val="22"/>
          <w:szCs w:val="22"/>
        </w:rPr>
      </w:pPr>
      <w:r w:rsidRPr="002E1A3F">
        <w:rPr>
          <w:rFonts w:ascii="Calibri" w:eastAsia="Calibri" w:hAnsi="Calibri" w:cs="Calibri"/>
          <w:b/>
          <w:sz w:val="22"/>
          <w:szCs w:val="22"/>
        </w:rPr>
        <w:t>The overall risk of this project is moderate</w:t>
      </w:r>
      <w:r w:rsidRPr="002E1A3F">
        <w:rPr>
          <w:rFonts w:ascii="Calibri" w:eastAsia="Calibri" w:hAnsi="Calibri" w:cs="Calibri"/>
          <w:sz w:val="22"/>
          <w:szCs w:val="22"/>
        </w:rPr>
        <w:t xml:space="preserve">. Based on lessons learned through implementation of the ACE I and II projects, the proposed Second </w:t>
      </w:r>
      <w:r w:rsidR="00BB4A89">
        <w:rPr>
          <w:rFonts w:ascii="Calibri" w:eastAsia="Calibri" w:hAnsi="Calibri" w:cs="Calibri"/>
          <w:sz w:val="22"/>
          <w:szCs w:val="22"/>
        </w:rPr>
        <w:t>ACE Impact Project</w:t>
      </w:r>
      <w:r w:rsidRPr="002E1A3F">
        <w:rPr>
          <w:rFonts w:ascii="Calibri" w:eastAsia="Calibri" w:hAnsi="Calibri" w:cs="Calibri"/>
          <w:sz w:val="22"/>
          <w:szCs w:val="22"/>
        </w:rPr>
        <w:t xml:space="preserve"> faces several </w:t>
      </w:r>
      <w:r w:rsidRPr="002E1A3F">
        <w:rPr>
          <w:rFonts w:ascii="Calibri" w:eastAsia="Calibri" w:hAnsi="Calibri" w:cs="Calibri"/>
          <w:color w:val="0D0D0D"/>
          <w:sz w:val="22"/>
          <w:szCs w:val="22"/>
        </w:rPr>
        <w:t>challenges</w:t>
      </w:r>
      <w:r w:rsidRPr="002E1A3F">
        <w:rPr>
          <w:rFonts w:ascii="Calibri" w:eastAsia="Calibri" w:hAnsi="Calibri" w:cs="Calibri"/>
          <w:sz w:val="22"/>
          <w:szCs w:val="22"/>
        </w:rPr>
        <w:t>, particularly in selecting the centers that will have: the most impact, strong academia-business collaboration, and sustainability; strong government and university leadership and ownership; full buy-in from other university departments other than the primary departments; and the adequate flow of funds to centers and strong utilization rates. Below are details of the important risks identified and mitigation</w:t>
      </w:r>
      <w:r w:rsidR="00313754">
        <w:rPr>
          <w:rFonts w:ascii="Calibri" w:eastAsia="Calibri" w:hAnsi="Calibri" w:cs="Calibri"/>
          <w:sz w:val="22"/>
          <w:szCs w:val="22"/>
        </w:rPr>
        <w:t xml:space="preserve"> measures</w:t>
      </w:r>
      <w:r w:rsidRPr="002E1A3F">
        <w:rPr>
          <w:rFonts w:ascii="Calibri" w:eastAsia="Calibri" w:hAnsi="Calibri" w:cs="Calibri"/>
          <w:sz w:val="22"/>
          <w:szCs w:val="22"/>
        </w:rPr>
        <w:t>:</w:t>
      </w:r>
    </w:p>
    <w:p w14:paraId="5FA1B72A" w14:textId="77777777" w:rsidR="002E1A3F" w:rsidRPr="002E1A3F" w:rsidRDefault="00B00100" w:rsidP="00AD7EEF">
      <w:pPr>
        <w:widowControl/>
        <w:numPr>
          <w:ilvl w:val="0"/>
          <w:numId w:val="47"/>
        </w:numPr>
        <w:autoSpaceDE/>
        <w:autoSpaceDN/>
        <w:adjustRightInd/>
        <w:spacing w:after="120"/>
        <w:ind w:left="1080"/>
        <w:jc w:val="both"/>
        <w:rPr>
          <w:rFonts w:ascii="Calibri" w:eastAsia="Calibri" w:hAnsi="Calibri" w:cs="Calibri"/>
          <w:b/>
          <w:bCs/>
          <w:spacing w:val="-1"/>
          <w:sz w:val="22"/>
          <w:szCs w:val="22"/>
        </w:rPr>
      </w:pPr>
      <w:r w:rsidRPr="002E1A3F">
        <w:rPr>
          <w:rFonts w:ascii="Calibri" w:eastAsia="Calibri" w:hAnsi="Calibri" w:cs="Calibri"/>
          <w:b/>
          <w:bCs/>
          <w:i/>
          <w:spacing w:val="-1"/>
          <w:sz w:val="22"/>
          <w:szCs w:val="22"/>
        </w:rPr>
        <w:lastRenderedPageBreak/>
        <w:t xml:space="preserve">Political and governance (Substantial): </w:t>
      </w:r>
      <w:r w:rsidRPr="002E1A3F">
        <w:rPr>
          <w:rFonts w:ascii="Calibri" w:eastAsia="Calibri" w:hAnsi="Calibri" w:cs="Calibri"/>
          <w:bCs/>
          <w:spacing w:val="-1"/>
          <w:sz w:val="22"/>
          <w:szCs w:val="22"/>
        </w:rPr>
        <w:t xml:space="preserve">Experience accrued through the </w:t>
      </w:r>
      <w:r w:rsidR="00BB4A89">
        <w:rPr>
          <w:rFonts w:ascii="Calibri" w:eastAsia="Calibri" w:hAnsi="Calibri" w:cs="Calibri"/>
          <w:bCs/>
          <w:spacing w:val="-1"/>
          <w:sz w:val="22"/>
          <w:szCs w:val="22"/>
        </w:rPr>
        <w:t>ACE I Project</w:t>
      </w:r>
      <w:r w:rsidRPr="002E1A3F">
        <w:rPr>
          <w:rFonts w:ascii="Calibri" w:eastAsia="Calibri" w:hAnsi="Calibri" w:cs="Calibri"/>
          <w:bCs/>
          <w:spacing w:val="-1"/>
          <w:sz w:val="22"/>
          <w:szCs w:val="22"/>
        </w:rPr>
        <w:t xml:space="preserve"> indicates that strong support from the government and ACE host institution management contribute substantially to the success of the ACE center. However, negative interference from governments and ACE host institution management have been known to hamper the progress of a few ACE centers. Negative interference may take the form of government appointment of leaders within the centers using non-merit-based processes, vice chancellors’ decisions to block flow of funds to the centers, or university management using the center’s funds for non-ACE purposes. These risks will be mitigated through: the evaluation of government and university leadership during the selection process; early identification of these issues during implementation; sharing with the centers and university management both good and bad examples from the ACE I and II projects; providing funds to ACE host institutions through the DLIs (DLI 7). A second political risk is student and</w:t>
      </w:r>
      <w:r w:rsidR="00313754">
        <w:rPr>
          <w:rFonts w:ascii="Calibri" w:eastAsia="Calibri" w:hAnsi="Calibri" w:cs="Calibri"/>
          <w:bCs/>
          <w:spacing w:val="-1"/>
          <w:sz w:val="22"/>
          <w:szCs w:val="22"/>
        </w:rPr>
        <w:t>/or</w:t>
      </w:r>
      <w:r w:rsidRPr="002E1A3F">
        <w:rPr>
          <w:rFonts w:ascii="Calibri" w:eastAsia="Calibri" w:hAnsi="Calibri" w:cs="Calibri"/>
          <w:bCs/>
          <w:spacing w:val="-1"/>
          <w:sz w:val="22"/>
          <w:szCs w:val="22"/>
        </w:rPr>
        <w:t xml:space="preserve"> faculty </w:t>
      </w:r>
      <w:r w:rsidR="00D5381D" w:rsidRPr="002E1A3F">
        <w:rPr>
          <w:rFonts w:ascii="Calibri" w:eastAsia="Calibri" w:hAnsi="Calibri" w:cs="Calibri"/>
          <w:bCs/>
          <w:spacing w:val="-1"/>
          <w:sz w:val="22"/>
          <w:szCs w:val="22"/>
        </w:rPr>
        <w:t>strike</w:t>
      </w:r>
      <w:r w:rsidR="00313754">
        <w:rPr>
          <w:rFonts w:ascii="Calibri" w:eastAsia="Calibri" w:hAnsi="Calibri" w:cs="Calibri"/>
          <w:bCs/>
          <w:spacing w:val="-1"/>
          <w:sz w:val="22"/>
          <w:szCs w:val="22"/>
        </w:rPr>
        <w:t>s</w:t>
      </w:r>
      <w:r w:rsidRPr="002E1A3F">
        <w:rPr>
          <w:rFonts w:ascii="Calibri" w:eastAsia="Calibri" w:hAnsi="Calibri" w:cs="Calibri"/>
          <w:bCs/>
          <w:spacing w:val="-1"/>
          <w:sz w:val="22"/>
          <w:szCs w:val="22"/>
        </w:rPr>
        <w:t xml:space="preserve">. Strikes </w:t>
      </w:r>
      <w:r w:rsidR="002613C6">
        <w:rPr>
          <w:rFonts w:ascii="Calibri" w:eastAsia="Calibri" w:hAnsi="Calibri" w:cs="Calibri"/>
          <w:bCs/>
          <w:spacing w:val="-1"/>
          <w:sz w:val="22"/>
          <w:szCs w:val="22"/>
        </w:rPr>
        <w:t>not</w:t>
      </w:r>
      <w:r w:rsidRPr="002E1A3F">
        <w:rPr>
          <w:rFonts w:ascii="Calibri" w:eastAsia="Calibri" w:hAnsi="Calibri" w:cs="Calibri"/>
          <w:bCs/>
          <w:spacing w:val="-1"/>
          <w:sz w:val="22"/>
          <w:szCs w:val="22"/>
        </w:rPr>
        <w:t xml:space="preserve"> related to the project could still affect Center education activities and delay student graduation and implementation. The project </w:t>
      </w:r>
      <w:r w:rsidR="00313754">
        <w:rPr>
          <w:rFonts w:ascii="Calibri" w:eastAsia="Calibri" w:hAnsi="Calibri" w:cs="Calibri"/>
          <w:bCs/>
          <w:spacing w:val="-1"/>
          <w:sz w:val="22"/>
          <w:szCs w:val="22"/>
        </w:rPr>
        <w:t xml:space="preserve">will </w:t>
      </w:r>
      <w:r w:rsidRPr="002E1A3F">
        <w:rPr>
          <w:rFonts w:ascii="Calibri" w:eastAsia="Calibri" w:hAnsi="Calibri" w:cs="Calibri"/>
          <w:bCs/>
          <w:spacing w:val="-1"/>
          <w:sz w:val="22"/>
          <w:szCs w:val="22"/>
        </w:rPr>
        <w:t>reduce the risk through consultations with students and faculty as well as investment</w:t>
      </w:r>
      <w:r w:rsidR="00F76F0B">
        <w:rPr>
          <w:rFonts w:ascii="Calibri" w:eastAsia="Calibri" w:hAnsi="Calibri" w:cs="Calibri"/>
          <w:bCs/>
          <w:spacing w:val="-1"/>
          <w:sz w:val="22"/>
          <w:szCs w:val="22"/>
        </w:rPr>
        <w:t>s</w:t>
      </w:r>
      <w:r w:rsidRPr="002E1A3F">
        <w:rPr>
          <w:rFonts w:ascii="Calibri" w:eastAsia="Calibri" w:hAnsi="Calibri" w:cs="Calibri"/>
          <w:bCs/>
          <w:spacing w:val="-1"/>
          <w:sz w:val="22"/>
          <w:szCs w:val="22"/>
        </w:rPr>
        <w:t xml:space="preserve"> to raise </w:t>
      </w:r>
      <w:r w:rsidR="00F76F0B">
        <w:rPr>
          <w:rFonts w:ascii="Calibri" w:eastAsia="Calibri" w:hAnsi="Calibri" w:cs="Calibri"/>
          <w:bCs/>
          <w:spacing w:val="-1"/>
          <w:sz w:val="22"/>
          <w:szCs w:val="22"/>
        </w:rPr>
        <w:t xml:space="preserve">the </w:t>
      </w:r>
      <w:r w:rsidRPr="002E1A3F">
        <w:rPr>
          <w:rFonts w:ascii="Calibri" w:eastAsia="Calibri" w:hAnsi="Calibri" w:cs="Calibri"/>
          <w:bCs/>
          <w:spacing w:val="-1"/>
          <w:sz w:val="22"/>
          <w:szCs w:val="22"/>
        </w:rPr>
        <w:t xml:space="preserve">quality of education and attention to student progression and welfare. </w:t>
      </w:r>
    </w:p>
    <w:p w14:paraId="3D6A8117" w14:textId="4D8536EE" w:rsidR="002E1A3F" w:rsidRPr="006C70A5" w:rsidRDefault="00B00100" w:rsidP="006C70A5">
      <w:pPr>
        <w:widowControl/>
        <w:numPr>
          <w:ilvl w:val="0"/>
          <w:numId w:val="47"/>
        </w:numPr>
        <w:autoSpaceDE/>
        <w:autoSpaceDN/>
        <w:adjustRightInd/>
        <w:spacing w:after="120"/>
        <w:ind w:left="1080" w:hanging="450"/>
        <w:jc w:val="both"/>
        <w:rPr>
          <w:rFonts w:ascii="Calibri" w:eastAsia="Calibri" w:hAnsi="Calibri" w:cs="Times New Roman"/>
          <w:color w:val="auto"/>
          <w:sz w:val="22"/>
          <w:szCs w:val="22"/>
        </w:rPr>
      </w:pPr>
      <w:r w:rsidRPr="002E1A3F">
        <w:rPr>
          <w:rFonts w:ascii="Calibri" w:eastAsia="Calibri" w:hAnsi="Calibri" w:cs="Calibri"/>
          <w:b/>
          <w:i/>
          <w:sz w:val="22"/>
          <w:szCs w:val="22"/>
        </w:rPr>
        <w:t>Institutional capacity for implementation and sustainability (Substantial)</w:t>
      </w:r>
      <w:r w:rsidR="005B372A">
        <w:rPr>
          <w:rFonts w:ascii="Calibri" w:eastAsia="Calibri" w:hAnsi="Calibri" w:cs="Calibri"/>
          <w:b/>
          <w:i/>
          <w:sz w:val="22"/>
          <w:szCs w:val="22"/>
        </w:rPr>
        <w:t>:</w:t>
      </w:r>
      <w:r w:rsidRPr="002E1A3F">
        <w:rPr>
          <w:rFonts w:ascii="Calibri" w:eastAsia="Calibri" w:hAnsi="Calibri" w:cs="Calibri"/>
          <w:b/>
          <w:bCs/>
          <w:i/>
          <w:spacing w:val="-1"/>
          <w:sz w:val="22"/>
          <w:szCs w:val="22"/>
        </w:rPr>
        <w:t xml:space="preserve"> </w:t>
      </w:r>
      <w:r w:rsidRPr="006C70A5">
        <w:rPr>
          <w:rFonts w:ascii="Calibri" w:eastAsia="Calibri" w:hAnsi="Calibri" w:cs="Times New Roman"/>
          <w:color w:val="auto"/>
          <w:sz w:val="22"/>
          <w:szCs w:val="22"/>
        </w:rPr>
        <w:t xml:space="preserve">Implementation was delayed during the </w:t>
      </w:r>
      <w:r w:rsidR="00BB4A89" w:rsidRPr="006C70A5">
        <w:rPr>
          <w:rFonts w:ascii="Calibri" w:eastAsia="Calibri" w:hAnsi="Calibri" w:cs="Times New Roman"/>
          <w:color w:val="auto"/>
          <w:sz w:val="22"/>
          <w:szCs w:val="22"/>
        </w:rPr>
        <w:t>ACE I Project</w:t>
      </w:r>
      <w:r w:rsidRPr="006C70A5">
        <w:rPr>
          <w:rFonts w:ascii="Calibri" w:eastAsia="Calibri" w:hAnsi="Calibri" w:cs="Times New Roman"/>
          <w:color w:val="auto"/>
          <w:sz w:val="22"/>
          <w:szCs w:val="22"/>
        </w:rPr>
        <w:t xml:space="preserve"> due to low capacity in a few centers, including the capacity for the operationalization of the RBF approach. With the increase in number of centers, scaling-up the robust implementation support detailed under Annex 4 and described for the </w:t>
      </w:r>
      <w:r w:rsidR="00BB4A89" w:rsidRPr="006C70A5">
        <w:rPr>
          <w:rFonts w:ascii="Calibri" w:eastAsia="Calibri" w:hAnsi="Calibri" w:cs="Times New Roman"/>
          <w:color w:val="auto"/>
          <w:sz w:val="22"/>
          <w:szCs w:val="22"/>
        </w:rPr>
        <w:t>ACE I Project</w:t>
      </w:r>
      <w:r w:rsidRPr="006C70A5">
        <w:rPr>
          <w:rFonts w:ascii="Calibri" w:eastAsia="Calibri" w:hAnsi="Calibri" w:cs="Times New Roman"/>
          <w:color w:val="auto"/>
          <w:sz w:val="22"/>
          <w:szCs w:val="22"/>
        </w:rPr>
        <w:t xml:space="preserve"> will help mitigate this risk of low implementation capacity. In addition, the implementation monitoring (beyond the World Bank regional task team’s role) will be streamlined into each CMU’s overall portfolio monitoring arrangements in place for its national projects. Some ACE I centers struggle to generate external revenue, with negative implications for sustainability. Targeted training for centers and a stronger focus in supporting centers in establishing industry partnerships early in the preparation of their proposals will help mitigate this risk. Moreover, each center will be required to develop a sustainability plan which will be regularly monitored. </w:t>
      </w:r>
    </w:p>
    <w:p w14:paraId="39E71DA8" w14:textId="77777777" w:rsidR="002E1A3F" w:rsidRPr="002E1A3F" w:rsidRDefault="00B00100" w:rsidP="00AD7EEF">
      <w:pPr>
        <w:widowControl/>
        <w:numPr>
          <w:ilvl w:val="0"/>
          <w:numId w:val="47"/>
        </w:numPr>
        <w:autoSpaceDE/>
        <w:autoSpaceDN/>
        <w:adjustRightInd/>
        <w:spacing w:after="120"/>
        <w:ind w:left="1080" w:hanging="547"/>
        <w:jc w:val="both"/>
        <w:rPr>
          <w:rFonts w:ascii="Calibri" w:eastAsia="Calibri" w:hAnsi="Calibri" w:cs="Calibri"/>
          <w:b/>
          <w:bCs/>
          <w:spacing w:val="-1"/>
          <w:sz w:val="22"/>
          <w:szCs w:val="22"/>
        </w:rPr>
      </w:pPr>
      <w:r w:rsidRPr="002E1A3F">
        <w:rPr>
          <w:rFonts w:ascii="Calibri" w:eastAsia="Calibri" w:hAnsi="Calibri" w:cs="Calibri"/>
          <w:b/>
          <w:i/>
          <w:sz w:val="22"/>
          <w:szCs w:val="22"/>
        </w:rPr>
        <w:t>Fiduciary (Substantial)</w:t>
      </w:r>
      <w:r w:rsidRPr="002E1A3F">
        <w:rPr>
          <w:rFonts w:ascii="Calibri,Times New Roman" w:eastAsia="Calibri,Times New Roman" w:hAnsi="Calibri,Times New Roman" w:cs="Calibri,Times New Roman"/>
          <w:b/>
          <w:i/>
          <w:sz w:val="22"/>
          <w:szCs w:val="22"/>
        </w:rPr>
        <w:t xml:space="preserve">: </w:t>
      </w:r>
      <w:r w:rsidRPr="002E1A3F">
        <w:rPr>
          <w:rFonts w:ascii="Calibri" w:eastAsia="Calibri" w:hAnsi="Calibri" w:cs="Calibri"/>
          <w:sz w:val="22"/>
          <w:szCs w:val="22"/>
        </w:rPr>
        <w:t>Due to the inefficient procurement practices in place at some of the universities, procurement can be slow during implementation. Both FM and procurement capacity assessments were carried out during project preparation. During implementation, the team will explore interventions to remove bottlenecks and minimize their effects on the project, based on the findings of the FM and procurement capacity assessments.</w:t>
      </w:r>
      <w:r w:rsidRPr="002E1A3F">
        <w:rPr>
          <w:rFonts w:ascii="Calibri" w:eastAsia="Calibri" w:hAnsi="Calibri" w:cs="Calibri"/>
          <w:b/>
          <w:bCs/>
          <w:spacing w:val="-1"/>
          <w:sz w:val="22"/>
          <w:szCs w:val="22"/>
        </w:rPr>
        <w:t xml:space="preserve"> </w:t>
      </w:r>
    </w:p>
    <w:p w14:paraId="726988C0" w14:textId="77777777" w:rsidR="002E1A3F" w:rsidRPr="00FC2C08" w:rsidRDefault="00B00100" w:rsidP="006C70A5">
      <w:pPr>
        <w:widowControl/>
        <w:numPr>
          <w:ilvl w:val="0"/>
          <w:numId w:val="47"/>
        </w:numPr>
        <w:autoSpaceDE/>
        <w:autoSpaceDN/>
        <w:adjustRightInd/>
        <w:spacing w:after="120"/>
        <w:ind w:left="1080" w:hanging="547"/>
        <w:jc w:val="both"/>
        <w:rPr>
          <w:rFonts w:ascii="Calibri" w:eastAsia="Calibri" w:hAnsi="Calibri" w:cs="Calibri"/>
          <w:b/>
          <w:bCs/>
          <w:spacing w:val="-1"/>
          <w:sz w:val="22"/>
          <w:szCs w:val="22"/>
        </w:rPr>
      </w:pPr>
      <w:r w:rsidRPr="002E1A3F">
        <w:rPr>
          <w:rFonts w:ascii="Calibri" w:eastAsia="Calibri" w:hAnsi="Calibri" w:cs="Calibri"/>
          <w:b/>
          <w:i/>
          <w:sz w:val="22"/>
          <w:szCs w:val="22"/>
        </w:rPr>
        <w:t>Counterpart Funding (</w:t>
      </w:r>
      <w:r w:rsidR="005B372A">
        <w:rPr>
          <w:rFonts w:ascii="Calibri" w:eastAsia="Calibri" w:hAnsi="Calibri" w:cs="Calibri"/>
          <w:b/>
          <w:i/>
          <w:sz w:val="22"/>
          <w:szCs w:val="22"/>
        </w:rPr>
        <w:t>M</w:t>
      </w:r>
      <w:r w:rsidR="00184FA8">
        <w:rPr>
          <w:rFonts w:ascii="Calibri" w:eastAsia="Calibri" w:hAnsi="Calibri" w:cs="Calibri"/>
          <w:b/>
          <w:i/>
          <w:sz w:val="22"/>
          <w:szCs w:val="22"/>
        </w:rPr>
        <w:t>oderate</w:t>
      </w:r>
      <w:r w:rsidRPr="002E1A3F">
        <w:rPr>
          <w:rFonts w:ascii="Calibri" w:eastAsia="Calibri" w:hAnsi="Calibri" w:cs="Calibri"/>
          <w:b/>
          <w:i/>
          <w:sz w:val="22"/>
          <w:szCs w:val="22"/>
        </w:rPr>
        <w:t>)</w:t>
      </w:r>
      <w:r w:rsidRPr="002E1A3F">
        <w:rPr>
          <w:rFonts w:ascii="Calibri" w:eastAsia="Calibri" w:hAnsi="Calibri" w:cs="Calibri"/>
          <w:sz w:val="22"/>
          <w:szCs w:val="22"/>
        </w:rPr>
        <w:t xml:space="preserve">: An estimated 45 percent of total funding will be derived from counterpart funding in the form of existing salary payments from governments to the selected universities. This funding is already budgeted, and not additional budget required for the project. Therefore, the risk of delayed counterpart funding is low. There was </w:t>
      </w:r>
      <w:r w:rsidRPr="002E1A3F">
        <w:rPr>
          <w:rFonts w:ascii="Calibri" w:eastAsia="Calibri" w:hAnsi="Calibri" w:cs="Calibri"/>
          <w:sz w:val="22"/>
          <w:szCs w:val="22"/>
        </w:rPr>
        <w:lastRenderedPageBreak/>
        <w:t xml:space="preserve">no problem with delayed faculty salaries in ACE I. </w:t>
      </w:r>
      <w:r w:rsidR="003B5F64">
        <w:rPr>
          <w:rFonts w:ascii="Calibri" w:eastAsia="Calibri" w:hAnsi="Calibri" w:cs="Calibri"/>
          <w:sz w:val="22"/>
          <w:szCs w:val="22"/>
        </w:rPr>
        <w:t>D</w:t>
      </w:r>
      <w:r w:rsidRPr="002E1A3F">
        <w:rPr>
          <w:rFonts w:ascii="Calibri" w:eastAsia="Calibri" w:hAnsi="Calibri" w:cs="Calibri"/>
          <w:sz w:val="22"/>
          <w:szCs w:val="22"/>
        </w:rPr>
        <w:t xml:space="preserve">elays in salary payments would adversely affect the functioning of the ACEs. </w:t>
      </w:r>
    </w:p>
    <w:p w14:paraId="55B01BF8" w14:textId="77777777" w:rsidR="00FC2C08" w:rsidRPr="008E4CE3" w:rsidRDefault="00B00100" w:rsidP="006C70A5">
      <w:pPr>
        <w:widowControl/>
        <w:numPr>
          <w:ilvl w:val="0"/>
          <w:numId w:val="47"/>
        </w:numPr>
        <w:autoSpaceDE/>
        <w:autoSpaceDN/>
        <w:adjustRightInd/>
        <w:spacing w:after="120"/>
        <w:ind w:left="1080" w:hanging="547"/>
        <w:jc w:val="both"/>
        <w:rPr>
          <w:rFonts w:ascii="Calibri" w:eastAsia="Calibri" w:hAnsi="Calibri" w:cs="Calibri"/>
          <w:bCs/>
          <w:spacing w:val="-1"/>
          <w:sz w:val="22"/>
          <w:szCs w:val="22"/>
        </w:rPr>
      </w:pPr>
      <w:r w:rsidRPr="000C46A6">
        <w:rPr>
          <w:rFonts w:ascii="Calibri" w:eastAsia="Calibri" w:hAnsi="Calibri" w:cs="Calibri"/>
          <w:b/>
          <w:i/>
          <w:sz w:val="22"/>
          <w:szCs w:val="22"/>
        </w:rPr>
        <w:t>Co- and/or Parallel Financing (</w:t>
      </w:r>
      <w:r w:rsidR="005B372A">
        <w:rPr>
          <w:rFonts w:ascii="Calibri" w:eastAsia="Calibri" w:hAnsi="Calibri" w:cs="Calibri"/>
          <w:b/>
          <w:i/>
          <w:sz w:val="22"/>
          <w:szCs w:val="22"/>
        </w:rPr>
        <w:t>M</w:t>
      </w:r>
      <w:r w:rsidRPr="000C46A6">
        <w:rPr>
          <w:rFonts w:ascii="Calibri" w:eastAsia="Calibri" w:hAnsi="Calibri" w:cs="Calibri"/>
          <w:b/>
          <w:i/>
          <w:sz w:val="22"/>
          <w:szCs w:val="22"/>
        </w:rPr>
        <w:t>oderate</w:t>
      </w:r>
      <w:r>
        <w:rPr>
          <w:rFonts w:ascii="Calibri" w:eastAsia="Calibri" w:hAnsi="Calibri" w:cs="Calibri"/>
          <w:b/>
          <w:sz w:val="22"/>
          <w:szCs w:val="22"/>
        </w:rPr>
        <w:t xml:space="preserve">): </w:t>
      </w:r>
      <w:r>
        <w:rPr>
          <w:rFonts w:ascii="Calibri" w:eastAsia="Calibri" w:hAnsi="Calibri" w:cs="Calibri"/>
          <w:sz w:val="22"/>
          <w:szCs w:val="22"/>
        </w:rPr>
        <w:t>Co-financing from AFD and</w:t>
      </w:r>
      <w:r w:rsidR="00562116">
        <w:rPr>
          <w:rFonts w:ascii="Calibri" w:eastAsia="Calibri" w:hAnsi="Calibri" w:cs="Calibri"/>
          <w:sz w:val="22"/>
          <w:szCs w:val="22"/>
        </w:rPr>
        <w:t>,</w:t>
      </w:r>
      <w:r>
        <w:rPr>
          <w:rFonts w:ascii="Calibri" w:eastAsia="Calibri" w:hAnsi="Calibri" w:cs="Calibri"/>
          <w:sz w:val="22"/>
          <w:szCs w:val="22"/>
        </w:rPr>
        <w:t xml:space="preserve"> potentially</w:t>
      </w:r>
      <w:r w:rsidR="00562116">
        <w:rPr>
          <w:rFonts w:ascii="Calibri" w:eastAsia="Calibri" w:hAnsi="Calibri" w:cs="Calibri"/>
          <w:sz w:val="22"/>
          <w:szCs w:val="22"/>
        </w:rPr>
        <w:t>,</w:t>
      </w:r>
      <w:r>
        <w:rPr>
          <w:rFonts w:ascii="Calibri" w:eastAsia="Calibri" w:hAnsi="Calibri" w:cs="Calibri"/>
          <w:sz w:val="22"/>
          <w:szCs w:val="22"/>
        </w:rPr>
        <w:t xml:space="preserve"> parallel financing from other partners</w:t>
      </w:r>
      <w:r w:rsidR="00562116">
        <w:rPr>
          <w:rFonts w:ascii="Calibri" w:eastAsia="Calibri" w:hAnsi="Calibri" w:cs="Calibri"/>
          <w:sz w:val="22"/>
          <w:szCs w:val="22"/>
        </w:rPr>
        <w:t xml:space="preserve">, although promoted within the project, comes with its own risks. The risk of delayed or no funding from partners, increased transactional costs for centers and the World Bank task team (due to partners’ own requirements). </w:t>
      </w:r>
      <w:r w:rsidR="005D2588">
        <w:rPr>
          <w:rFonts w:ascii="Calibri" w:eastAsia="Calibri" w:hAnsi="Calibri" w:cs="Calibri"/>
          <w:sz w:val="22"/>
          <w:szCs w:val="22"/>
        </w:rPr>
        <w:t>To mitigate the risks, (a) t</w:t>
      </w:r>
      <w:r w:rsidR="00562116">
        <w:rPr>
          <w:rFonts w:ascii="Calibri" w:eastAsia="Calibri" w:hAnsi="Calibri" w:cs="Calibri"/>
          <w:sz w:val="22"/>
          <w:szCs w:val="22"/>
        </w:rPr>
        <w:t>he team is for example, working closely with AFD to use the ACE model</w:t>
      </w:r>
      <w:r w:rsidR="005D2588">
        <w:rPr>
          <w:rFonts w:ascii="Calibri" w:eastAsia="Calibri" w:hAnsi="Calibri" w:cs="Calibri"/>
          <w:sz w:val="22"/>
          <w:szCs w:val="22"/>
        </w:rPr>
        <w:t xml:space="preserve"> and inter alia </w:t>
      </w:r>
      <w:r w:rsidR="00562116">
        <w:rPr>
          <w:rFonts w:ascii="Calibri" w:eastAsia="Calibri" w:hAnsi="Calibri" w:cs="Calibri"/>
          <w:sz w:val="22"/>
          <w:szCs w:val="22"/>
        </w:rPr>
        <w:t xml:space="preserve">use similar documentation, verifiers and subject matter experts.  </w:t>
      </w:r>
      <w:r w:rsidR="005D2588">
        <w:rPr>
          <w:rFonts w:ascii="Calibri" w:eastAsia="Calibri" w:hAnsi="Calibri" w:cs="Calibri"/>
          <w:sz w:val="22"/>
          <w:szCs w:val="22"/>
        </w:rPr>
        <w:t>This is the approach discussed with the different potential partners; (b) the team is in close dialogue with AFD concerning the status of the co-financing credits, the timelines, probability of these credits materializing and options for consideration on how the World Bank may step in should the funds</w:t>
      </w:r>
      <w:r w:rsidR="00313754">
        <w:rPr>
          <w:rFonts w:ascii="Calibri" w:eastAsia="Calibri" w:hAnsi="Calibri" w:cs="Calibri"/>
          <w:sz w:val="22"/>
          <w:szCs w:val="22"/>
        </w:rPr>
        <w:t xml:space="preserve"> be</w:t>
      </w:r>
      <w:r w:rsidR="005D2588">
        <w:rPr>
          <w:rFonts w:ascii="Calibri" w:eastAsia="Calibri" w:hAnsi="Calibri" w:cs="Calibri"/>
          <w:sz w:val="22"/>
          <w:szCs w:val="22"/>
        </w:rPr>
        <w:t xml:space="preserve"> delay</w:t>
      </w:r>
      <w:r w:rsidR="00313754">
        <w:rPr>
          <w:rFonts w:ascii="Calibri" w:eastAsia="Calibri" w:hAnsi="Calibri" w:cs="Calibri"/>
          <w:sz w:val="22"/>
          <w:szCs w:val="22"/>
        </w:rPr>
        <w:t>ed</w:t>
      </w:r>
      <w:r w:rsidR="005D2588">
        <w:rPr>
          <w:rFonts w:ascii="Calibri" w:eastAsia="Calibri" w:hAnsi="Calibri" w:cs="Calibri"/>
          <w:sz w:val="22"/>
          <w:szCs w:val="22"/>
        </w:rPr>
        <w:t>, for example</w:t>
      </w:r>
      <w:r w:rsidR="00D5105F">
        <w:rPr>
          <w:rFonts w:ascii="Calibri" w:eastAsia="Calibri" w:hAnsi="Calibri" w:cs="Calibri"/>
          <w:sz w:val="22"/>
          <w:szCs w:val="22"/>
        </w:rPr>
        <w:t xml:space="preserve">; and (c) The FAs for Benin and Nigeria have a remedy which indicates that </w:t>
      </w:r>
      <w:r w:rsidR="00D5105F">
        <w:rPr>
          <w:rFonts w:ascii="Calibri" w:eastAsia="Times New Roman" w:hAnsi="Calibri" w:cs="Calibri"/>
          <w:bCs/>
          <w:color w:val="auto"/>
          <w:sz w:val="22"/>
          <w:szCs w:val="22"/>
        </w:rPr>
        <w:t>t</w:t>
      </w:r>
      <w:r w:rsidR="00D5105F" w:rsidRPr="009679B3">
        <w:rPr>
          <w:rFonts w:ascii="Calibri" w:eastAsia="Times New Roman" w:hAnsi="Calibri" w:cs="Calibri"/>
          <w:bCs/>
          <w:color w:val="auto"/>
          <w:sz w:val="22"/>
          <w:szCs w:val="22"/>
        </w:rPr>
        <w:t xml:space="preserve">he Co-financing Deadline for the effectiveness of the Co-financing Agreement </w:t>
      </w:r>
      <w:r w:rsidR="00D5105F">
        <w:rPr>
          <w:rFonts w:ascii="Calibri" w:eastAsia="Times New Roman" w:hAnsi="Calibri" w:cs="Calibri"/>
          <w:bCs/>
          <w:color w:val="auto"/>
          <w:sz w:val="22"/>
          <w:szCs w:val="22"/>
        </w:rPr>
        <w:t xml:space="preserve">between the Nigeria government and AFD </w:t>
      </w:r>
      <w:r w:rsidR="00D5105F" w:rsidRPr="009679B3">
        <w:rPr>
          <w:rFonts w:ascii="Calibri" w:eastAsia="Times New Roman" w:hAnsi="Calibri" w:cs="Calibri"/>
          <w:bCs/>
          <w:color w:val="auto"/>
          <w:sz w:val="22"/>
          <w:szCs w:val="22"/>
        </w:rPr>
        <w:t xml:space="preserve">is eighteen (18) months from the </w:t>
      </w:r>
      <w:r w:rsidR="00D641AC">
        <w:rPr>
          <w:rFonts w:ascii="Calibri" w:eastAsia="Times New Roman" w:hAnsi="Calibri" w:cs="Calibri"/>
          <w:bCs/>
          <w:color w:val="auto"/>
          <w:sz w:val="22"/>
          <w:szCs w:val="22"/>
        </w:rPr>
        <w:t xml:space="preserve">FA </w:t>
      </w:r>
      <w:r w:rsidR="00D5105F" w:rsidRPr="009679B3">
        <w:rPr>
          <w:rFonts w:ascii="Calibri" w:eastAsia="Times New Roman" w:hAnsi="Calibri" w:cs="Calibri"/>
          <w:bCs/>
          <w:color w:val="auto"/>
          <w:sz w:val="22"/>
          <w:szCs w:val="22"/>
        </w:rPr>
        <w:t>Effective Date</w:t>
      </w:r>
      <w:r w:rsidR="005D2588">
        <w:rPr>
          <w:rFonts w:ascii="Calibri" w:eastAsia="Calibri" w:hAnsi="Calibri" w:cs="Calibri"/>
          <w:sz w:val="22"/>
          <w:szCs w:val="22"/>
        </w:rPr>
        <w:t xml:space="preserve">. </w:t>
      </w:r>
    </w:p>
    <w:p w14:paraId="602DDA6D" w14:textId="77777777" w:rsidR="00A54566" w:rsidRPr="00FC2C08" w:rsidRDefault="00B00100" w:rsidP="006C70A5">
      <w:pPr>
        <w:widowControl/>
        <w:numPr>
          <w:ilvl w:val="0"/>
          <w:numId w:val="47"/>
        </w:numPr>
        <w:autoSpaceDE/>
        <w:autoSpaceDN/>
        <w:adjustRightInd/>
        <w:spacing w:after="120"/>
        <w:ind w:left="1080"/>
        <w:jc w:val="both"/>
        <w:rPr>
          <w:rFonts w:ascii="Calibri" w:eastAsia="Calibri" w:hAnsi="Calibri" w:cs="Calibri"/>
          <w:bCs/>
          <w:spacing w:val="-1"/>
          <w:sz w:val="22"/>
          <w:szCs w:val="22"/>
        </w:rPr>
      </w:pPr>
      <w:r w:rsidRPr="000C46A6">
        <w:rPr>
          <w:rFonts w:ascii="Calibri" w:eastAsia="Calibri" w:hAnsi="Calibri" w:cs="Calibri"/>
          <w:b/>
          <w:i/>
          <w:sz w:val="22"/>
          <w:szCs w:val="22"/>
        </w:rPr>
        <w:t>Reputational Risk (</w:t>
      </w:r>
      <w:r w:rsidR="005B372A">
        <w:rPr>
          <w:rFonts w:ascii="Calibri" w:eastAsia="Calibri" w:hAnsi="Calibri" w:cs="Calibri"/>
          <w:b/>
          <w:i/>
          <w:sz w:val="22"/>
          <w:szCs w:val="22"/>
        </w:rPr>
        <w:t>M</w:t>
      </w:r>
      <w:r w:rsidRPr="000C46A6">
        <w:rPr>
          <w:rFonts w:ascii="Calibri" w:eastAsia="Calibri" w:hAnsi="Calibri" w:cs="Calibri"/>
          <w:b/>
          <w:i/>
          <w:sz w:val="22"/>
          <w:szCs w:val="22"/>
        </w:rPr>
        <w:t>oderate):</w:t>
      </w:r>
      <w:r>
        <w:rPr>
          <w:rFonts w:ascii="Calibri" w:eastAsia="Calibri" w:hAnsi="Calibri" w:cs="Calibri"/>
          <w:bCs/>
          <w:spacing w:val="-1"/>
          <w:sz w:val="22"/>
          <w:szCs w:val="22"/>
        </w:rPr>
        <w:t xml:space="preserve"> </w:t>
      </w:r>
      <w:r w:rsidR="009D57BA">
        <w:rPr>
          <w:rFonts w:ascii="Calibri" w:eastAsia="Calibri" w:hAnsi="Calibri" w:cs="Calibri"/>
          <w:bCs/>
          <w:spacing w:val="-1"/>
          <w:sz w:val="22"/>
          <w:szCs w:val="22"/>
        </w:rPr>
        <w:t>AFD is solely funding the C</w:t>
      </w:r>
      <w:r w:rsidR="00B04A2E">
        <w:rPr>
          <w:rFonts w:ascii="Calibri" w:eastAsia="Calibri" w:hAnsi="Calibri" w:cs="Calibri"/>
          <w:bCs/>
          <w:spacing w:val="-1"/>
          <w:sz w:val="22"/>
          <w:szCs w:val="22"/>
        </w:rPr>
        <w:t>ô</w:t>
      </w:r>
      <w:r w:rsidR="009D57BA">
        <w:rPr>
          <w:rFonts w:ascii="Calibri" w:eastAsia="Calibri" w:hAnsi="Calibri" w:cs="Calibri"/>
          <w:bCs/>
          <w:spacing w:val="-1"/>
          <w:sz w:val="22"/>
          <w:szCs w:val="22"/>
        </w:rPr>
        <w:t>te d’Ivoire complementary project</w:t>
      </w:r>
      <w:r w:rsidR="005B372A">
        <w:rPr>
          <w:rFonts w:ascii="Calibri" w:eastAsia="Calibri" w:hAnsi="Calibri" w:cs="Calibri"/>
          <w:bCs/>
          <w:spacing w:val="-1"/>
          <w:sz w:val="22"/>
          <w:szCs w:val="22"/>
        </w:rPr>
        <w:t>.  T</w:t>
      </w:r>
      <w:r w:rsidR="00686FAC">
        <w:rPr>
          <w:rFonts w:ascii="Calibri" w:eastAsia="Calibri" w:hAnsi="Calibri" w:cs="Calibri"/>
          <w:bCs/>
          <w:spacing w:val="-1"/>
          <w:sz w:val="22"/>
          <w:szCs w:val="22"/>
        </w:rPr>
        <w:t xml:space="preserve">he </w:t>
      </w:r>
      <w:r w:rsidR="00C00B64">
        <w:rPr>
          <w:rFonts w:asciiTheme="minorHAnsi" w:eastAsiaTheme="minorHAnsi" w:hAnsiTheme="minorHAnsi" w:cstheme="minorHAnsi"/>
          <w:color w:val="auto"/>
          <w:sz w:val="22"/>
          <w:szCs w:val="22"/>
        </w:rPr>
        <w:t>World</w:t>
      </w:r>
      <w:r w:rsidR="00C00B64">
        <w:rPr>
          <w:rFonts w:ascii="Calibri" w:eastAsia="Calibri" w:hAnsi="Calibri" w:cs="Calibri"/>
          <w:bCs/>
          <w:spacing w:val="-1"/>
          <w:sz w:val="22"/>
          <w:szCs w:val="22"/>
        </w:rPr>
        <w:t xml:space="preserve"> </w:t>
      </w:r>
      <w:r w:rsidR="00686FAC">
        <w:rPr>
          <w:rFonts w:ascii="Calibri" w:eastAsia="Calibri" w:hAnsi="Calibri" w:cs="Calibri"/>
          <w:bCs/>
          <w:spacing w:val="-1"/>
          <w:sz w:val="22"/>
          <w:szCs w:val="22"/>
        </w:rPr>
        <w:t>Bank’s role will consist of</w:t>
      </w:r>
      <w:r w:rsidR="00491B9C">
        <w:rPr>
          <w:rFonts w:ascii="Calibri" w:eastAsia="Calibri" w:hAnsi="Calibri" w:cs="Calibri"/>
          <w:bCs/>
          <w:spacing w:val="-1"/>
          <w:sz w:val="22"/>
          <w:szCs w:val="22"/>
        </w:rPr>
        <w:t xml:space="preserve"> </w:t>
      </w:r>
      <w:r w:rsidR="00686FAC" w:rsidRPr="00686FAC">
        <w:rPr>
          <w:rFonts w:ascii="Calibri" w:eastAsia="Calibri" w:hAnsi="Calibri" w:cs="Calibri"/>
          <w:bCs/>
          <w:spacing w:val="-1"/>
          <w:sz w:val="22"/>
          <w:szCs w:val="22"/>
        </w:rPr>
        <w:t>providing grant financing to AAU</w:t>
      </w:r>
      <w:r w:rsidR="00491B9C">
        <w:rPr>
          <w:rFonts w:ascii="Calibri" w:eastAsia="Calibri" w:hAnsi="Calibri" w:cs="Calibri"/>
          <w:bCs/>
          <w:spacing w:val="-1"/>
          <w:sz w:val="22"/>
          <w:szCs w:val="22"/>
        </w:rPr>
        <w:t xml:space="preserve"> (the RFU)</w:t>
      </w:r>
      <w:r w:rsidR="00686FAC" w:rsidRPr="00686FAC">
        <w:rPr>
          <w:rFonts w:ascii="Calibri" w:eastAsia="Calibri" w:hAnsi="Calibri" w:cs="Calibri"/>
          <w:bCs/>
          <w:spacing w:val="-1"/>
          <w:sz w:val="22"/>
          <w:szCs w:val="22"/>
        </w:rPr>
        <w:t xml:space="preserve">, to enable it (rather than the </w:t>
      </w:r>
      <w:r w:rsidR="00C00B64">
        <w:rPr>
          <w:rFonts w:asciiTheme="minorHAnsi" w:eastAsiaTheme="minorHAnsi" w:hAnsiTheme="minorHAnsi" w:cstheme="minorHAnsi"/>
          <w:color w:val="auto"/>
          <w:sz w:val="22"/>
          <w:szCs w:val="22"/>
        </w:rPr>
        <w:t>World</w:t>
      </w:r>
      <w:r w:rsidR="00C00B64" w:rsidRPr="00686FAC">
        <w:rPr>
          <w:rFonts w:ascii="Calibri" w:eastAsia="Calibri" w:hAnsi="Calibri" w:cs="Calibri"/>
          <w:bCs/>
          <w:spacing w:val="-1"/>
          <w:sz w:val="22"/>
          <w:szCs w:val="22"/>
        </w:rPr>
        <w:t xml:space="preserve"> </w:t>
      </w:r>
      <w:r w:rsidR="00686FAC" w:rsidRPr="00686FAC">
        <w:rPr>
          <w:rFonts w:ascii="Calibri" w:eastAsia="Calibri" w:hAnsi="Calibri" w:cs="Calibri"/>
          <w:bCs/>
          <w:spacing w:val="-1"/>
          <w:sz w:val="22"/>
          <w:szCs w:val="22"/>
        </w:rPr>
        <w:t>Bank) to provide supervisory services to AFD. These services would include</w:t>
      </w:r>
      <w:r w:rsidR="005B372A">
        <w:rPr>
          <w:rFonts w:ascii="Calibri" w:eastAsia="Calibri" w:hAnsi="Calibri" w:cs="Calibri"/>
          <w:bCs/>
          <w:spacing w:val="-1"/>
          <w:sz w:val="22"/>
          <w:szCs w:val="22"/>
        </w:rPr>
        <w:t>,</w:t>
      </w:r>
      <w:r w:rsidR="00686FAC" w:rsidRPr="00686FAC">
        <w:rPr>
          <w:rFonts w:ascii="Calibri" w:eastAsia="Calibri" w:hAnsi="Calibri" w:cs="Calibri"/>
          <w:bCs/>
          <w:spacing w:val="-1"/>
          <w:sz w:val="22"/>
          <w:szCs w:val="22"/>
        </w:rPr>
        <w:t xml:space="preserve"> inter alia</w:t>
      </w:r>
      <w:r w:rsidR="005B372A">
        <w:rPr>
          <w:rFonts w:ascii="Calibri" w:eastAsia="Calibri" w:hAnsi="Calibri" w:cs="Calibri"/>
          <w:bCs/>
          <w:spacing w:val="-1"/>
          <w:sz w:val="22"/>
          <w:szCs w:val="22"/>
        </w:rPr>
        <w:t>:</w:t>
      </w:r>
      <w:r w:rsidR="00686FAC" w:rsidRPr="00686FAC">
        <w:rPr>
          <w:rFonts w:ascii="Calibri" w:eastAsia="Calibri" w:hAnsi="Calibri" w:cs="Calibri"/>
          <w:bCs/>
          <w:spacing w:val="-1"/>
          <w:sz w:val="22"/>
          <w:szCs w:val="22"/>
        </w:rPr>
        <w:t xml:space="preserve"> verification of DLIs; implementation support to centers; capacity building activities; support to ensure C</w:t>
      </w:r>
      <w:r w:rsidR="00B04A2E">
        <w:rPr>
          <w:rFonts w:ascii="Calibri" w:eastAsia="Calibri" w:hAnsi="Calibri" w:cs="Calibri"/>
          <w:bCs/>
          <w:spacing w:val="-1"/>
          <w:sz w:val="22"/>
          <w:szCs w:val="22"/>
        </w:rPr>
        <w:t>ô</w:t>
      </w:r>
      <w:r w:rsidR="00686FAC" w:rsidRPr="00686FAC">
        <w:rPr>
          <w:rFonts w:ascii="Calibri" w:eastAsia="Calibri" w:hAnsi="Calibri" w:cs="Calibri"/>
          <w:bCs/>
          <w:spacing w:val="-1"/>
          <w:sz w:val="22"/>
          <w:szCs w:val="22"/>
        </w:rPr>
        <w:t xml:space="preserve">te d’Ivoire’s participation in regional </w:t>
      </w:r>
      <w:r w:rsidR="005B372A">
        <w:rPr>
          <w:rFonts w:ascii="Calibri" w:eastAsia="Calibri" w:hAnsi="Calibri" w:cs="Calibri"/>
          <w:bCs/>
          <w:spacing w:val="-1"/>
          <w:sz w:val="22"/>
          <w:szCs w:val="22"/>
        </w:rPr>
        <w:t>PSC</w:t>
      </w:r>
      <w:r w:rsidR="00686FAC" w:rsidRPr="00686FAC">
        <w:rPr>
          <w:rFonts w:ascii="Calibri" w:eastAsia="Calibri" w:hAnsi="Calibri" w:cs="Calibri"/>
          <w:bCs/>
          <w:spacing w:val="-1"/>
          <w:sz w:val="22"/>
          <w:szCs w:val="22"/>
        </w:rPr>
        <w:t xml:space="preserve"> meetings and technical workshops; etc. However, AFD will be responsible for all fiduciary (including </w:t>
      </w:r>
      <w:r w:rsidR="005B372A">
        <w:rPr>
          <w:rFonts w:ascii="Calibri" w:eastAsia="Calibri" w:hAnsi="Calibri" w:cs="Calibri"/>
          <w:bCs/>
          <w:spacing w:val="-1"/>
          <w:sz w:val="22"/>
          <w:szCs w:val="22"/>
        </w:rPr>
        <w:t>FM</w:t>
      </w:r>
      <w:r w:rsidR="00686FAC" w:rsidRPr="00686FAC">
        <w:rPr>
          <w:rFonts w:ascii="Calibri" w:eastAsia="Calibri" w:hAnsi="Calibri" w:cs="Calibri"/>
          <w:bCs/>
          <w:spacing w:val="-1"/>
          <w:sz w:val="22"/>
          <w:szCs w:val="22"/>
        </w:rPr>
        <w:t>, procurement, safeguards) aspects of the C</w:t>
      </w:r>
      <w:r w:rsidR="00B04A2E">
        <w:rPr>
          <w:rFonts w:ascii="Calibri" w:eastAsia="Calibri" w:hAnsi="Calibri" w:cs="Calibri"/>
          <w:bCs/>
          <w:spacing w:val="-1"/>
          <w:sz w:val="22"/>
          <w:szCs w:val="22"/>
        </w:rPr>
        <w:t>ô</w:t>
      </w:r>
      <w:r w:rsidR="00686FAC" w:rsidRPr="00686FAC">
        <w:rPr>
          <w:rFonts w:ascii="Calibri" w:eastAsia="Calibri" w:hAnsi="Calibri" w:cs="Calibri"/>
          <w:bCs/>
          <w:spacing w:val="-1"/>
          <w:sz w:val="22"/>
          <w:szCs w:val="22"/>
        </w:rPr>
        <w:t>te d’Ivoire project.</w:t>
      </w:r>
      <w:r w:rsidR="00491B9C">
        <w:rPr>
          <w:rFonts w:ascii="Calibri" w:eastAsia="Calibri" w:hAnsi="Calibri" w:cs="Calibri"/>
          <w:bCs/>
          <w:spacing w:val="-1"/>
          <w:sz w:val="22"/>
          <w:szCs w:val="22"/>
        </w:rPr>
        <w:t xml:space="preserve"> Although the </w:t>
      </w:r>
      <w:r w:rsidR="00C00B64">
        <w:rPr>
          <w:rFonts w:asciiTheme="minorHAnsi" w:eastAsiaTheme="minorHAnsi" w:hAnsiTheme="minorHAnsi" w:cstheme="minorHAnsi"/>
          <w:color w:val="auto"/>
          <w:sz w:val="22"/>
          <w:szCs w:val="22"/>
        </w:rPr>
        <w:t>World</w:t>
      </w:r>
      <w:r w:rsidR="00C00B64">
        <w:rPr>
          <w:rFonts w:ascii="Calibri" w:eastAsia="Calibri" w:hAnsi="Calibri" w:cs="Calibri"/>
          <w:bCs/>
          <w:spacing w:val="-1"/>
          <w:sz w:val="22"/>
          <w:szCs w:val="22"/>
        </w:rPr>
        <w:t xml:space="preserve"> </w:t>
      </w:r>
      <w:r w:rsidR="00491B9C">
        <w:rPr>
          <w:rFonts w:ascii="Calibri" w:eastAsia="Calibri" w:hAnsi="Calibri" w:cs="Calibri"/>
          <w:bCs/>
          <w:spacing w:val="-1"/>
          <w:sz w:val="22"/>
          <w:szCs w:val="22"/>
        </w:rPr>
        <w:t xml:space="preserve">Bank is not responsible for the fiduciary aspects of this project, </w:t>
      </w:r>
      <w:r w:rsidR="003C2717">
        <w:rPr>
          <w:rFonts w:ascii="Calibri" w:eastAsia="Calibri" w:hAnsi="Calibri" w:cs="Calibri"/>
          <w:bCs/>
          <w:spacing w:val="-1"/>
          <w:sz w:val="22"/>
          <w:szCs w:val="22"/>
        </w:rPr>
        <w:t>it</w:t>
      </w:r>
      <w:r w:rsidR="007517CC">
        <w:rPr>
          <w:rFonts w:ascii="Calibri" w:eastAsia="Calibri" w:hAnsi="Calibri" w:cs="Calibri"/>
          <w:bCs/>
          <w:spacing w:val="-1"/>
          <w:sz w:val="22"/>
          <w:szCs w:val="22"/>
        </w:rPr>
        <w:t xml:space="preserve"> may </w:t>
      </w:r>
      <w:r w:rsidR="003C2717">
        <w:rPr>
          <w:rFonts w:ascii="Calibri" w:eastAsia="Calibri" w:hAnsi="Calibri" w:cs="Calibri"/>
          <w:bCs/>
          <w:spacing w:val="-1"/>
          <w:sz w:val="22"/>
          <w:szCs w:val="22"/>
        </w:rPr>
        <w:t xml:space="preserve">not </w:t>
      </w:r>
      <w:r w:rsidR="007517CC">
        <w:rPr>
          <w:rFonts w:ascii="Calibri" w:eastAsia="Calibri" w:hAnsi="Calibri" w:cs="Calibri"/>
          <w:bCs/>
          <w:spacing w:val="-1"/>
          <w:sz w:val="22"/>
          <w:szCs w:val="22"/>
        </w:rPr>
        <w:t xml:space="preserve">be </w:t>
      </w:r>
      <w:r w:rsidR="003C2717">
        <w:rPr>
          <w:rFonts w:ascii="Calibri" w:eastAsia="Calibri" w:hAnsi="Calibri" w:cs="Calibri"/>
          <w:bCs/>
          <w:spacing w:val="-1"/>
          <w:sz w:val="22"/>
          <w:szCs w:val="22"/>
        </w:rPr>
        <w:t xml:space="preserve">possible for the </w:t>
      </w:r>
      <w:r w:rsidR="00C00B64">
        <w:rPr>
          <w:rFonts w:asciiTheme="minorHAnsi" w:eastAsiaTheme="minorHAnsi" w:hAnsiTheme="minorHAnsi" w:cstheme="minorHAnsi"/>
          <w:color w:val="auto"/>
          <w:sz w:val="22"/>
          <w:szCs w:val="22"/>
        </w:rPr>
        <w:t>World</w:t>
      </w:r>
      <w:r w:rsidR="00C00B64">
        <w:rPr>
          <w:rFonts w:ascii="Calibri" w:eastAsia="Calibri" w:hAnsi="Calibri" w:cs="Calibri"/>
          <w:bCs/>
          <w:spacing w:val="-1"/>
          <w:sz w:val="22"/>
          <w:szCs w:val="22"/>
        </w:rPr>
        <w:t xml:space="preserve"> </w:t>
      </w:r>
      <w:r w:rsidR="007517CC">
        <w:rPr>
          <w:rFonts w:ascii="Calibri" w:eastAsia="Calibri" w:hAnsi="Calibri" w:cs="Calibri"/>
          <w:bCs/>
          <w:spacing w:val="-1"/>
          <w:sz w:val="22"/>
          <w:szCs w:val="22"/>
        </w:rPr>
        <w:t xml:space="preserve">Bank </w:t>
      </w:r>
      <w:r w:rsidR="003C2717">
        <w:rPr>
          <w:rFonts w:ascii="Calibri" w:eastAsia="Calibri" w:hAnsi="Calibri" w:cs="Calibri"/>
          <w:bCs/>
          <w:spacing w:val="-1"/>
          <w:sz w:val="22"/>
          <w:szCs w:val="22"/>
        </w:rPr>
        <w:t xml:space="preserve">to </w:t>
      </w:r>
      <w:r w:rsidR="007517CC">
        <w:rPr>
          <w:rFonts w:ascii="Calibri" w:eastAsia="Calibri" w:hAnsi="Calibri" w:cs="Calibri"/>
          <w:bCs/>
          <w:spacing w:val="-1"/>
          <w:sz w:val="22"/>
          <w:szCs w:val="22"/>
        </w:rPr>
        <w:t xml:space="preserve">completely </w:t>
      </w:r>
      <w:r w:rsidR="003C2717">
        <w:rPr>
          <w:rFonts w:ascii="Calibri" w:eastAsia="Calibri" w:hAnsi="Calibri" w:cs="Calibri"/>
          <w:bCs/>
          <w:spacing w:val="-1"/>
          <w:sz w:val="22"/>
          <w:szCs w:val="22"/>
        </w:rPr>
        <w:t>insulate</w:t>
      </w:r>
      <w:r w:rsidR="00CD797D">
        <w:rPr>
          <w:rFonts w:ascii="Calibri" w:eastAsia="Calibri" w:hAnsi="Calibri" w:cs="Calibri"/>
          <w:bCs/>
          <w:spacing w:val="-1"/>
          <w:sz w:val="22"/>
          <w:szCs w:val="22"/>
        </w:rPr>
        <w:t xml:space="preserve"> itself from </w:t>
      </w:r>
      <w:r w:rsidR="003C2717">
        <w:rPr>
          <w:rFonts w:ascii="Calibri" w:eastAsia="Calibri" w:hAnsi="Calibri" w:cs="Calibri"/>
          <w:bCs/>
          <w:spacing w:val="-1"/>
          <w:sz w:val="22"/>
          <w:szCs w:val="22"/>
        </w:rPr>
        <w:t xml:space="preserve">potential reputational risks related to the </w:t>
      </w:r>
      <w:r w:rsidR="00CD797D">
        <w:rPr>
          <w:rFonts w:ascii="Calibri" w:eastAsia="Calibri" w:hAnsi="Calibri" w:cs="Calibri"/>
          <w:bCs/>
          <w:spacing w:val="-1"/>
          <w:sz w:val="22"/>
          <w:szCs w:val="22"/>
        </w:rPr>
        <w:t>C</w:t>
      </w:r>
      <w:r w:rsidR="00B04A2E">
        <w:rPr>
          <w:rFonts w:ascii="Calibri" w:eastAsia="Calibri" w:hAnsi="Calibri" w:cs="Calibri"/>
          <w:bCs/>
          <w:spacing w:val="-1"/>
          <w:sz w:val="22"/>
          <w:szCs w:val="22"/>
        </w:rPr>
        <w:t>ô</w:t>
      </w:r>
      <w:r w:rsidR="00CD797D">
        <w:rPr>
          <w:rFonts w:ascii="Calibri" w:eastAsia="Calibri" w:hAnsi="Calibri" w:cs="Calibri"/>
          <w:bCs/>
          <w:spacing w:val="-1"/>
          <w:sz w:val="22"/>
          <w:szCs w:val="22"/>
        </w:rPr>
        <w:t xml:space="preserve">te d’Ivoire project </w:t>
      </w:r>
      <w:r w:rsidR="00D05174">
        <w:rPr>
          <w:rFonts w:ascii="Calibri" w:eastAsia="Calibri" w:hAnsi="Calibri" w:cs="Calibri"/>
          <w:bCs/>
          <w:spacing w:val="-1"/>
          <w:sz w:val="22"/>
          <w:szCs w:val="22"/>
        </w:rPr>
        <w:t>during implementation</w:t>
      </w:r>
      <w:r w:rsidR="00710A94">
        <w:rPr>
          <w:rFonts w:ascii="Calibri" w:eastAsia="Calibri" w:hAnsi="Calibri" w:cs="Calibri"/>
          <w:bCs/>
          <w:spacing w:val="-1"/>
          <w:sz w:val="22"/>
          <w:szCs w:val="22"/>
        </w:rPr>
        <w:t>, because of the strong linkages between</w:t>
      </w:r>
      <w:r w:rsidR="00CD797D">
        <w:rPr>
          <w:rFonts w:ascii="Calibri" w:eastAsia="Calibri" w:hAnsi="Calibri" w:cs="Calibri"/>
          <w:bCs/>
          <w:spacing w:val="-1"/>
          <w:sz w:val="22"/>
          <w:szCs w:val="22"/>
        </w:rPr>
        <w:t xml:space="preserve"> the</w:t>
      </w:r>
      <w:r w:rsidR="00F7368F">
        <w:rPr>
          <w:rFonts w:ascii="Calibri" w:eastAsia="Calibri" w:hAnsi="Calibri" w:cs="Calibri"/>
          <w:bCs/>
          <w:spacing w:val="-1"/>
          <w:sz w:val="22"/>
          <w:szCs w:val="22"/>
        </w:rPr>
        <w:t xml:space="preserve"> proposed Second ACE Impact</w:t>
      </w:r>
      <w:r w:rsidR="00CD797D">
        <w:rPr>
          <w:rFonts w:ascii="Calibri" w:eastAsia="Calibri" w:hAnsi="Calibri" w:cs="Calibri"/>
          <w:bCs/>
          <w:spacing w:val="-1"/>
          <w:sz w:val="22"/>
          <w:szCs w:val="22"/>
        </w:rPr>
        <w:t xml:space="preserve"> </w:t>
      </w:r>
      <w:r w:rsidR="00273255">
        <w:rPr>
          <w:rFonts w:ascii="Calibri" w:eastAsia="Calibri" w:hAnsi="Calibri" w:cs="Calibri"/>
          <w:bCs/>
          <w:spacing w:val="-1"/>
          <w:sz w:val="22"/>
          <w:szCs w:val="22"/>
        </w:rPr>
        <w:t>P</w:t>
      </w:r>
      <w:r w:rsidR="00710A94">
        <w:rPr>
          <w:rFonts w:ascii="Calibri" w:eastAsia="Calibri" w:hAnsi="Calibri" w:cs="Calibri"/>
          <w:bCs/>
          <w:spacing w:val="-1"/>
          <w:sz w:val="22"/>
          <w:szCs w:val="22"/>
        </w:rPr>
        <w:t>roject</w:t>
      </w:r>
      <w:r w:rsidR="00275933">
        <w:rPr>
          <w:rFonts w:ascii="Calibri" w:eastAsia="Calibri" w:hAnsi="Calibri" w:cs="Calibri"/>
          <w:bCs/>
          <w:spacing w:val="-1"/>
          <w:sz w:val="22"/>
          <w:szCs w:val="22"/>
        </w:rPr>
        <w:t xml:space="preserve"> and the complementary project in C</w:t>
      </w:r>
      <w:r w:rsidR="00B04A2E">
        <w:rPr>
          <w:rFonts w:ascii="Calibri" w:eastAsia="Calibri" w:hAnsi="Calibri" w:cs="Calibri"/>
          <w:bCs/>
          <w:spacing w:val="-1"/>
          <w:sz w:val="22"/>
          <w:szCs w:val="22"/>
        </w:rPr>
        <w:t>ô</w:t>
      </w:r>
      <w:r w:rsidR="00275933">
        <w:rPr>
          <w:rFonts w:ascii="Calibri" w:eastAsia="Calibri" w:hAnsi="Calibri" w:cs="Calibri"/>
          <w:bCs/>
          <w:spacing w:val="-1"/>
          <w:sz w:val="22"/>
          <w:szCs w:val="22"/>
        </w:rPr>
        <w:t>te d’Ivoire</w:t>
      </w:r>
      <w:r w:rsidR="00710A94">
        <w:rPr>
          <w:rFonts w:ascii="Calibri" w:eastAsia="Calibri" w:hAnsi="Calibri" w:cs="Calibri"/>
          <w:bCs/>
          <w:spacing w:val="-1"/>
          <w:sz w:val="22"/>
          <w:szCs w:val="22"/>
        </w:rPr>
        <w:t xml:space="preserve">, specifically </w:t>
      </w:r>
      <w:r w:rsidR="00CD797D">
        <w:rPr>
          <w:rFonts w:ascii="Calibri" w:eastAsia="Calibri" w:hAnsi="Calibri" w:cs="Calibri"/>
          <w:bCs/>
          <w:spacing w:val="-1"/>
          <w:sz w:val="22"/>
          <w:szCs w:val="22"/>
        </w:rPr>
        <w:t xml:space="preserve">AAU’s </w:t>
      </w:r>
      <w:r w:rsidR="00710A94">
        <w:rPr>
          <w:rFonts w:ascii="Calibri" w:eastAsia="Calibri" w:hAnsi="Calibri" w:cs="Calibri"/>
          <w:bCs/>
          <w:spacing w:val="-1"/>
          <w:sz w:val="22"/>
          <w:szCs w:val="22"/>
        </w:rPr>
        <w:t xml:space="preserve">role. </w:t>
      </w:r>
    </w:p>
    <w:p w14:paraId="5A215F90" w14:textId="77777777" w:rsidR="00AE11CD" w:rsidRDefault="00AE11CD" w:rsidP="008E2709">
      <w:pPr>
        <w:ind w:left="360"/>
        <w:rPr>
          <w:rFonts w:asciiTheme="minorHAnsi" w:hAnsiTheme="minorHAnsi"/>
          <w:b/>
          <w:bCs/>
          <w:color w:val="7F7F7F" w:themeColor="text1" w:themeTint="80"/>
          <w:sz w:val="22"/>
          <w:szCs w:val="22"/>
        </w:rPr>
      </w:pPr>
    </w:p>
    <w:p w14:paraId="4D5BFA98" w14:textId="77777777" w:rsidR="0037578F" w:rsidRDefault="0037578F" w:rsidP="003E17BB">
      <w:pPr>
        <w:ind w:left="-792"/>
        <w:rPr>
          <w:rFonts w:asciiTheme="minorHAnsi" w:hAnsiTheme="minorHAnsi"/>
          <w:sz w:val="22"/>
          <w:szCs w:val="22"/>
        </w:rPr>
      </w:pPr>
    </w:p>
    <w:sdt>
      <w:sdtPr>
        <w:rPr>
          <w:rFonts w:asciiTheme="minorHAnsi" w:hAnsiTheme="minorHAnsi"/>
          <w:b/>
          <w:bCs/>
          <w:color w:val="7F7F7F" w:themeColor="text1" w:themeTint="80"/>
          <w:sz w:val="22"/>
          <w:szCs w:val="22"/>
        </w:rPr>
        <w:id w:val="1303193942"/>
        <w:lock w:val="sdtContentLocked"/>
        <w:placeholder>
          <w:docPart w:val="907ABA86110D43A3A29F785143380194"/>
        </w:placeholder>
        <w:showingPlcHdr/>
      </w:sdtPr>
      <w:sdtEndPr/>
      <w:sdtContent>
        <w:p w14:paraId="5CA9668B" w14:textId="77777777" w:rsidR="0037578F" w:rsidRDefault="00B00100" w:rsidP="00F10440">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14:paraId="69CFCDB7" w14:textId="77777777" w:rsidR="003615CB" w:rsidRDefault="003615CB" w:rsidP="0014219C">
      <w:pPr>
        <w:ind w:left="-792"/>
        <w:rPr>
          <w:rFonts w:asciiTheme="minorHAnsi" w:hAnsiTheme="minorHAnsi"/>
          <w:b/>
          <w:bCs/>
          <w:color w:val="7F7F7F" w:themeColor="text1" w:themeTint="80"/>
          <w:sz w:val="22"/>
          <w:szCs w:val="22"/>
        </w:rPr>
        <w:sectPr w:rsidR="003615CB" w:rsidSect="00E003D0">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0C3959" w14:paraId="69F4E107" w14:textId="77777777" w:rsidTr="008565D8">
        <w:trPr>
          <w:trHeight w:val="432"/>
        </w:trPr>
        <w:tc>
          <w:tcPr>
            <w:tcW w:w="14130" w:type="dxa"/>
            <w:shd w:val="clear" w:color="auto" w:fill="F2F7FC"/>
            <w:vAlign w:val="center"/>
          </w:tcPr>
          <w:p w14:paraId="6413E2E9" w14:textId="77777777" w:rsidR="003615CB" w:rsidRPr="00991ED0" w:rsidRDefault="00B00100" w:rsidP="00D01A8D">
            <w:pPr>
              <w:widowControl/>
              <w:autoSpaceDE/>
              <w:autoSpaceDN/>
              <w:adjustRightInd/>
              <w:ind w:left="90"/>
              <w:jc w:val="center"/>
              <w:outlineLvl w:val="0"/>
            </w:pPr>
            <w:bookmarkStart w:id="274" w:name="_Toc11082878"/>
            <w:bookmarkStart w:id="275" w:name="_Toc13781062"/>
            <w:bookmarkStart w:id="276" w:name="_Toc13781098"/>
            <w:bookmarkStart w:id="277" w:name="_Toc13781134"/>
            <w:bookmarkStart w:id="278" w:name="_Toc13811155"/>
            <w:bookmarkStart w:id="279" w:name="_Toc14789355"/>
            <w:bookmarkStart w:id="280" w:name="_Toc14809138"/>
            <w:bookmarkStart w:id="281" w:name="_Toc14809174"/>
            <w:bookmarkStart w:id="282" w:name="_Toc11082879"/>
            <w:bookmarkStart w:id="283" w:name="_Toc13781063"/>
            <w:bookmarkStart w:id="284" w:name="_Toc13781099"/>
            <w:bookmarkStart w:id="285" w:name="_Toc13781135"/>
            <w:bookmarkStart w:id="286" w:name="_Toc13811156"/>
            <w:bookmarkStart w:id="287" w:name="_Toc14789356"/>
            <w:bookmarkStart w:id="288" w:name="_Toc14809139"/>
            <w:bookmarkStart w:id="289" w:name="_Toc14809175"/>
            <w:bookmarkStart w:id="290" w:name="_Toc11082880"/>
            <w:bookmarkStart w:id="291" w:name="_Toc13781064"/>
            <w:bookmarkStart w:id="292" w:name="_Toc13781100"/>
            <w:bookmarkStart w:id="293" w:name="_Toc13781136"/>
            <w:bookmarkStart w:id="294" w:name="_Toc13811157"/>
            <w:bookmarkStart w:id="295" w:name="_Toc14789357"/>
            <w:bookmarkStart w:id="296" w:name="_Toc14809140"/>
            <w:bookmarkStart w:id="297" w:name="_Toc14809176"/>
            <w:bookmarkStart w:id="298" w:name="_Toc11082881"/>
            <w:bookmarkStart w:id="299" w:name="_Toc13781065"/>
            <w:bookmarkStart w:id="300" w:name="_Toc13781101"/>
            <w:bookmarkStart w:id="301" w:name="_Toc13781137"/>
            <w:bookmarkStart w:id="302" w:name="_Toc13811158"/>
            <w:bookmarkStart w:id="303" w:name="_Toc14789358"/>
            <w:bookmarkStart w:id="304" w:name="_Toc14809141"/>
            <w:bookmarkStart w:id="305" w:name="_Toc14809177"/>
            <w:bookmarkStart w:id="306" w:name="_Toc11082882"/>
            <w:bookmarkStart w:id="307" w:name="_Toc13781066"/>
            <w:bookmarkStart w:id="308" w:name="_Toc13781102"/>
            <w:bookmarkStart w:id="309" w:name="_Toc13781138"/>
            <w:bookmarkStart w:id="310" w:name="_Toc13811159"/>
            <w:bookmarkStart w:id="311" w:name="_Toc14809142"/>
            <w:bookmarkStart w:id="312" w:name="_Toc14809178"/>
            <w:bookmarkStart w:id="313" w:name="_Toc14837008"/>
            <w:bookmarkStart w:id="314" w:name="_Toc14837752"/>
            <w:bookmarkStart w:id="315" w:name="_Toc16628267"/>
            <w:bookmarkStart w:id="316" w:name="_Toc16628775"/>
            <w:bookmarkStart w:id="317" w:name="_Toc17160224"/>
            <w:bookmarkStart w:id="318" w:name="_Toc17160257"/>
            <w:bookmarkStart w:id="319" w:name="_Toc18780364"/>
            <w:bookmarkStart w:id="320" w:name="_Toc18780397"/>
            <w:bookmarkStart w:id="321" w:name="_Toc19094141"/>
            <w:bookmarkStart w:id="322" w:name="_Toc22654044"/>
            <w:bookmarkStart w:id="323" w:name="_Toc22655924"/>
            <w:bookmarkStart w:id="324" w:name="_Toc256000027"/>
            <w:bookmarkStart w:id="325" w:name="_Toc256000059"/>
            <w:bookmarkStart w:id="326" w:name="_Toc256000091"/>
            <w:bookmarkStart w:id="327" w:name="_Toc23460596"/>
            <w:bookmarkStart w:id="328" w:name="_Toc14837009"/>
            <w:bookmarkStart w:id="329" w:name="_Toc14837753"/>
            <w:bookmarkStart w:id="330" w:name="_Toc16628268"/>
            <w:bookmarkStart w:id="331" w:name="_Toc16628776"/>
            <w:bookmarkStart w:id="332" w:name="_Toc17160225"/>
            <w:bookmarkStart w:id="333" w:name="_Toc17160258"/>
            <w:bookmarkStart w:id="334" w:name="_Toc18780365"/>
            <w:bookmarkStart w:id="335" w:name="_Toc18780398"/>
            <w:bookmarkStart w:id="336" w:name="_Toc19094142"/>
            <w:bookmarkStart w:id="337" w:name="_Toc22654045"/>
            <w:bookmarkStart w:id="338" w:name="_Toc22655925"/>
            <w:bookmarkStart w:id="339" w:name="_Toc256000028"/>
            <w:bookmarkStart w:id="340" w:name="_Toc256000060"/>
            <w:bookmarkStart w:id="341" w:name="_Toc256000092"/>
            <w:bookmarkStart w:id="342" w:name="_Toc23460597"/>
            <w:bookmarkStart w:id="343" w:name="_Toc14837010"/>
            <w:bookmarkStart w:id="344" w:name="_Toc14837754"/>
            <w:bookmarkStart w:id="345" w:name="_Toc16628269"/>
            <w:bookmarkStart w:id="346" w:name="_Toc16628777"/>
            <w:bookmarkStart w:id="347" w:name="_Toc17160226"/>
            <w:bookmarkStart w:id="348" w:name="_Toc17160259"/>
            <w:bookmarkStart w:id="349" w:name="_Toc18780366"/>
            <w:bookmarkStart w:id="350" w:name="_Toc18780399"/>
            <w:bookmarkStart w:id="351" w:name="_Toc19094143"/>
            <w:bookmarkStart w:id="352" w:name="_Toc22654046"/>
            <w:bookmarkStart w:id="353" w:name="_Toc22655926"/>
            <w:bookmarkStart w:id="354" w:name="_Toc256000029"/>
            <w:bookmarkStart w:id="355" w:name="_Toc256000061"/>
            <w:bookmarkStart w:id="356" w:name="_Toc256000093"/>
            <w:bookmarkStart w:id="357" w:name="_Toc23460598"/>
            <w:bookmarkStart w:id="358" w:name="_Toc256000153"/>
            <w:bookmarkStart w:id="359" w:name="_Toc256000124"/>
            <w:bookmarkStart w:id="360" w:name="_Toc256000032"/>
            <w:bookmarkStart w:id="361" w:name="_Toc511651916"/>
            <w:bookmarkStart w:id="362" w:name="_Toc14789360"/>
            <w:bookmarkStart w:id="363" w:name="_Toc256000094"/>
            <w:bookmarkStart w:id="364" w:name="_Toc256000062"/>
            <w:bookmarkStart w:id="365" w:name="_Toc256000030"/>
            <w:bookmarkStart w:id="366" w:name="_Toc22655927"/>
            <w:bookmarkStart w:id="367" w:name="_Toc23779853"/>
            <w:bookmarkStart w:id="368" w:name="_Toc23866069"/>
            <w:bookmarkStart w:id="369" w:name="_Toc2393068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rFonts w:asciiTheme="minorHAnsi" w:eastAsiaTheme="minorHAnsi" w:hAnsiTheme="minorHAnsi" w:cstheme="minorBidi"/>
                <w:b/>
                <w:color w:val="auto"/>
                <w:sz w:val="22"/>
                <w:szCs w:val="22"/>
              </w:rPr>
              <w:lastRenderedPageBreak/>
              <w:t>VI.</w:t>
            </w:r>
            <w:r w:rsidR="005668CF">
              <w:rPr>
                <w:rFonts w:asciiTheme="minorHAnsi" w:eastAsiaTheme="minorHAnsi" w:hAnsiTheme="minorHAnsi" w:cstheme="minorBidi"/>
                <w:b/>
                <w:color w:val="auto"/>
                <w:sz w:val="22"/>
                <w:szCs w:val="22"/>
              </w:rPr>
              <w:t xml:space="preserve"> </w:t>
            </w:r>
            <w:r w:rsidR="00CE2C51" w:rsidRPr="00E003D0">
              <w:rPr>
                <w:rFonts w:asciiTheme="minorHAnsi" w:eastAsiaTheme="minorHAnsi" w:hAnsiTheme="minorHAnsi" w:cstheme="minorBidi"/>
                <w:b/>
                <w:color w:val="auto"/>
                <w:sz w:val="22"/>
                <w:szCs w:val="22"/>
              </w:rPr>
              <w:t>RESULTS FRAMEWORK AND MONITORING</w:t>
            </w:r>
            <w:bookmarkEnd w:id="358"/>
            <w:bookmarkEnd w:id="359"/>
            <w:bookmarkEnd w:id="360"/>
            <w:bookmarkEnd w:id="361"/>
            <w:bookmarkEnd w:id="362"/>
            <w:bookmarkEnd w:id="363"/>
            <w:bookmarkEnd w:id="364"/>
            <w:bookmarkEnd w:id="365"/>
            <w:bookmarkEnd w:id="366"/>
            <w:bookmarkEnd w:id="367"/>
            <w:bookmarkEnd w:id="368"/>
            <w:bookmarkEnd w:id="369"/>
          </w:p>
        </w:tc>
      </w:tr>
    </w:tbl>
    <w:sdt>
      <w:sdtPr>
        <w:rPr>
          <w:rFonts w:asciiTheme="minorHAnsi" w:hAnsiTheme="minorHAnsi"/>
          <w:b/>
          <w:bCs/>
          <w:color w:val="7F7F7F" w:themeColor="text1" w:themeTint="80"/>
          <w:sz w:val="22"/>
          <w:szCs w:val="22"/>
        </w:rPr>
        <w:id w:val="1522065765"/>
        <w:lock w:val="sdtContentLocked"/>
        <w:placeholder>
          <w:docPart w:val="3F0B331C2F344760AE61C9A706D5C719"/>
        </w:placeholder>
        <w:showingPlcHdr/>
      </w:sdtPr>
      <w:sdtEndPr/>
      <w:sdtContent>
        <w:p w14:paraId="7269C852" w14:textId="77777777" w:rsidR="00735935" w:rsidRDefault="00B00100" w:rsidP="00127655">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5F36D884" w14:textId="77777777" w:rsidR="00735935" w:rsidRDefault="00735935" w:rsidP="00370635">
      <w:pPr>
        <w:ind w:left="-691" w:right="-418"/>
        <w:rPr>
          <w:rFonts w:asciiTheme="minorHAnsi" w:hAnsiTheme="minorHAnsi"/>
          <w:b/>
          <w:bCs/>
          <w:color w:val="7F7F7F" w:themeColor="text1" w:themeTint="80"/>
          <w:sz w:val="22"/>
          <w:szCs w:val="22"/>
        </w:rPr>
        <w:sectPr w:rsidR="00735935" w:rsidSect="00A96F74">
          <w:headerReference w:type="even" r:id="rId39"/>
          <w:headerReference w:type="default" r:id="rId40"/>
          <w:footerReference w:type="default" r:id="rId41"/>
          <w:headerReference w:type="first" r:id="rId42"/>
          <w:type w:val="continuous"/>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1272653232"/>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9"/>
            <w:id w:val="1005844669"/>
            <w:lock w:val="sdtContentLocked"/>
            <w:placeholder>
              <w:docPart w:val="38EE8AFCAAEB42E59B4C2A50AE10D130"/>
            </w:placeholder>
          </w:sdtPr>
          <w:sdtEndPr/>
          <w:sdtContent>
            <w:p w14:paraId="561D1AFD" w14:textId="77777777" w:rsidR="00735935" w:rsidRPr="00735935" w:rsidRDefault="00B00100" w:rsidP="00127655">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35A1505A" w14:textId="77777777" w:rsidR="003939DF" w:rsidRDefault="003939DF" w:rsidP="00127655">
          <w:pPr>
            <w:spacing w:line="14" w:lineRule="exact"/>
            <w:ind w:left="-691" w:right="-418"/>
            <w:rPr>
              <w:rFonts w:asciiTheme="minorHAnsi" w:hAnsiTheme="minorHAnsi"/>
              <w:b/>
              <w:bCs/>
              <w:color w:val="7F7F7F" w:themeColor="text1" w:themeTint="80"/>
              <w:sz w:val="22"/>
              <w:szCs w:val="22"/>
            </w:rPr>
          </w:pPr>
        </w:p>
        <w:tbl>
          <w:tblPr>
            <w:tblStyle w:val="TableGrid34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0C3959" w14:paraId="3BFB57CF" w14:textId="77777777" w:rsidTr="00735935">
            <w:tc>
              <w:tcPr>
                <w:tcW w:w="14130" w:type="dxa"/>
                <w:shd w:val="clear" w:color="auto" w:fill="F7F7F7"/>
              </w:tcPr>
              <w:p w14:paraId="08944A84" w14:textId="77777777" w:rsidR="003615CB" w:rsidRPr="00934FB8" w:rsidRDefault="00B00100" w:rsidP="00370635">
                <w:pPr>
                  <w:jc w:val="center"/>
                  <w:rPr>
                    <w:rFonts w:asciiTheme="minorHAnsi" w:hAnsiTheme="minorHAnsi"/>
                    <w:b/>
                    <w:caps/>
                    <w:sz w:val="22"/>
                    <w:szCs w:val="22"/>
                  </w:rPr>
                </w:pPr>
                <w:r>
                  <w:rPr>
                    <w:noProof/>
                  </w:rPr>
                  <mc:AlternateContent>
                    <mc:Choice Requires="wps">
                      <w:drawing>
                        <wp:anchor distT="0" distB="0" distL="114300" distR="114300" simplePos="0" relativeHeight="251658245" behindDoc="0" locked="0" layoutInCell="1" allowOverlap="1" wp14:anchorId="77DFE808" wp14:editId="63D56FA5">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F42F0" id="Straight Connector 22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5pt" to="75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" strokecolor="gray [1629]">
                          <v:stroke dashstyle="dash" opacity="26214f" joinstyle="miter"/>
                        </v:line>
                      </w:pict>
                    </mc:Fallback>
                  </mc:AlternateContent>
                </w:r>
                <w:r w:rsidR="009A0A87" w:rsidRPr="00934FB8">
                  <w:rPr>
                    <w:rFonts w:asciiTheme="minorHAnsi" w:hAnsiTheme="minorHAnsi"/>
                    <w:b/>
                    <w:color w:val="0D0D0D" w:themeColor="text1" w:themeTint="F2"/>
                    <w:sz w:val="22"/>
                    <w:szCs w:val="22"/>
                  </w:rPr>
                  <w:t>Results Framework</w:t>
                </w:r>
              </w:p>
            </w:tc>
          </w:tr>
          <w:tr w:rsidR="000C3959" w14:paraId="0E9C1872" w14:textId="77777777" w:rsidTr="004E1BEB">
            <w:trPr>
              <w:trHeight w:val="432"/>
            </w:trPr>
            <w:tc>
              <w:tcPr>
                <w:tcW w:w="14130" w:type="dxa"/>
                <w:shd w:val="clear" w:color="auto" w:fill="F7F7F7"/>
              </w:tcPr>
              <w:p w14:paraId="34648055" w14:textId="77777777" w:rsidR="004E1BEB" w:rsidRDefault="00B00100" w:rsidP="00370635">
                <w:pPr>
                  <w:jc w:val="center"/>
                  <w:rPr>
                    <w:noProof/>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Western Africa</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2C6736">
                  <w:rPr>
                    <w:rFonts w:asciiTheme="minorHAnsi" w:hAnsiTheme="minorHAnsi"/>
                    <w:b/>
                    <w:bCs/>
                    <w:noProof/>
                    <w:color w:val="767171" w:themeColor="background2" w:themeShade="80"/>
                    <w:sz w:val="22"/>
                    <w:szCs w:val="22"/>
                  </w:rPr>
                  <w:t>Second Africa Higher Education Centers of Excellence for Development Impact</w:t>
                </w:r>
              </w:p>
            </w:tc>
          </w:tr>
        </w:tbl>
        <w:p w14:paraId="15627F8B" w14:textId="77777777" w:rsidR="003615CB" w:rsidRDefault="003615CB" w:rsidP="00370635">
          <w:pPr>
            <w:shd w:val="clear" w:color="auto" w:fill="F7F7F7"/>
            <w:ind w:left="-691" w:right="-418"/>
            <w:rPr>
              <w:rFonts w:asciiTheme="minorHAnsi" w:hAnsiTheme="minorHAnsi"/>
              <w:b/>
              <w:bCs/>
              <w:color w:val="7F7F7F" w:themeColor="text1" w:themeTint="80"/>
              <w:sz w:val="22"/>
              <w:szCs w:val="22"/>
            </w:rPr>
          </w:pPr>
        </w:p>
        <w:tbl>
          <w:tblPr>
            <w:tblStyle w:val="TableGrid34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0C3959" w14:paraId="367CA1DC" w14:textId="77777777" w:rsidTr="00D701F4">
            <w:trPr>
              <w:trHeight w:val="432"/>
            </w:trPr>
            <w:tc>
              <w:tcPr>
                <w:tcW w:w="14126" w:type="dxa"/>
                <w:shd w:val="clear" w:color="auto" w:fill="F7F7F7"/>
                <w:vAlign w:val="center"/>
              </w:tcPr>
              <w:p w14:paraId="7EC3BED3" w14:textId="77777777" w:rsidR="00D701F4" w:rsidRDefault="00B00100" w:rsidP="00D701F4">
                <w:pPr>
                  <w:ind w:right="-418"/>
                  <w:rPr>
                    <w:rFonts w:asciiTheme="minorHAnsi" w:hAnsiTheme="minorHAnsi"/>
                    <w:b/>
                    <w:bCs/>
                    <w:color w:val="7F7F7F" w:themeColor="text1" w:themeTint="80"/>
                    <w:sz w:val="22"/>
                    <w:szCs w:val="22"/>
                  </w:rPr>
                </w:pPr>
                <w:r w:rsidRPr="00934FB8">
                  <w:rPr>
                    <w:rFonts w:asciiTheme="minorHAnsi" w:hAnsiTheme="minorHAnsi"/>
                    <w:b/>
                    <w:color w:val="172D5F"/>
                    <w:sz w:val="22"/>
                    <w:szCs w:val="22"/>
                  </w:rPr>
                  <w:t>Project Development Objectives</w:t>
                </w:r>
                <w:r>
                  <w:rPr>
                    <w:rFonts w:asciiTheme="minorHAnsi" w:hAnsiTheme="minorHAnsi"/>
                    <w:b/>
                    <w:color w:val="172D5F"/>
                    <w:sz w:val="22"/>
                    <w:szCs w:val="22"/>
                  </w:rPr>
                  <w:t>(s)</w:t>
                </w:r>
              </w:p>
            </w:tc>
          </w:tr>
          <w:tr w:rsidR="000C3959" w14:paraId="2ECF0012" w14:textId="77777777" w:rsidTr="00D701F4">
            <w:trPr>
              <w:trHeight w:val="432"/>
            </w:trPr>
            <w:tc>
              <w:tcPr>
                <w:tcW w:w="14126" w:type="dxa"/>
                <w:shd w:val="clear" w:color="auto" w:fill="F7F7F7"/>
                <w:vAlign w:val="center"/>
              </w:tcPr>
              <w:p w14:paraId="665A3C7A" w14:textId="77777777" w:rsidR="00D701F4" w:rsidRDefault="00B00100" w:rsidP="008D2765">
                <w:pPr>
                  <w:shd w:val="clear" w:color="auto" w:fill="F7F7F7"/>
                  <w:rPr>
                    <w:rFonts w:asciiTheme="minorHAnsi" w:hAnsiTheme="minorHAnsi"/>
                    <w:b/>
                    <w:bCs/>
                    <w:color w:val="7F7F7F" w:themeColor="text1" w:themeTint="80"/>
                    <w:sz w:val="22"/>
                    <w:szCs w:val="22"/>
                  </w:rPr>
                </w:pPr>
                <w:r w:rsidRPr="00501672">
                  <w:rPr>
                    <w:rFonts w:asciiTheme="minorHAnsi" w:hAnsiTheme="minorHAnsi"/>
                    <w:noProof/>
                    <w:sz w:val="22"/>
                    <w:szCs w:val="18"/>
                  </w:rPr>
                  <w:t>To improve quality, quantity and development impact of postgraduate education in selected universities through regional specialization and collaboration.</w:t>
                </w:r>
              </w:p>
            </w:tc>
          </w:tr>
        </w:tbl>
        <w:p w14:paraId="56426DA8" w14:textId="77777777" w:rsidR="00D701F4" w:rsidRDefault="00D701F4" w:rsidP="00370635">
          <w:pPr>
            <w:shd w:val="clear" w:color="auto" w:fill="F7F7F7"/>
            <w:ind w:left="-691" w:right="-418"/>
            <w:rPr>
              <w:rFonts w:asciiTheme="minorHAnsi" w:hAnsiTheme="minorHAnsi"/>
              <w:b/>
              <w:bCs/>
              <w:color w:val="7F7F7F" w:themeColor="text1" w:themeTint="80"/>
              <w:sz w:val="22"/>
              <w:szCs w:val="22"/>
            </w:rPr>
          </w:pPr>
        </w:p>
        <w:tbl>
          <w:tblPr>
            <w:tblStyle w:val="TableGrid34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0C3959" w14:paraId="3651CADD" w14:textId="77777777" w:rsidTr="00E46684">
            <w:trPr>
              <w:trHeight w:val="432"/>
            </w:trPr>
            <w:tc>
              <w:tcPr>
                <w:tcW w:w="14126" w:type="dxa"/>
                <w:shd w:val="clear" w:color="auto" w:fill="F7F7F7"/>
                <w:vAlign w:val="center"/>
              </w:tcPr>
              <w:p w14:paraId="4D75ABEF" w14:textId="77777777" w:rsidR="004E1BEB" w:rsidRPr="00A95B97" w:rsidRDefault="00B00100" w:rsidP="00137522">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Project Development Objective Indicators</w:t>
                </w:r>
              </w:p>
            </w:tc>
          </w:tr>
        </w:tbl>
        <w:p w14:paraId="7AE04E5B" w14:textId="77777777" w:rsidR="004E1BEB" w:rsidRDefault="004E1BEB" w:rsidP="00137522">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0C3959" w14:paraId="527CD47D" w14:textId="77777777" w:rsidTr="00E46684">
            <w:trPr>
              <w:trHeight w:val="20"/>
              <w:tblHeader/>
            </w:trPr>
            <w:tc>
              <w:tcPr>
                <w:tcW w:w="3333" w:type="dxa"/>
                <w:tcBorders>
                  <w:bottom w:val="single" w:sz="4" w:space="0" w:color="D9D9D9"/>
                </w:tcBorders>
                <w:shd w:val="clear" w:color="auto" w:fill="F7F7F7"/>
                <w:vAlign w:val="center"/>
              </w:tcPr>
              <w:p w14:paraId="0A2B039B" w14:textId="77777777" w:rsidR="004E1BEB" w:rsidRPr="00AA635D" w:rsidRDefault="00B00100" w:rsidP="00137522">
                <w:pPr>
                  <w:keepNext/>
                  <w:keepLines/>
                  <w:spacing w:before="100" w:beforeAutospacing="1" w:after="100" w:afterAutospacing="1" w:line="14" w:lineRule="exact"/>
                  <w:ind w:left="115"/>
                  <w:rPr>
                    <w:rFonts w:asciiTheme="minorHAnsi" w:hAnsiTheme="minorHAnsi" w:cstheme="minorHAnsi"/>
                    <w:b/>
                    <w:color w:val="F7F7F7"/>
                    <w:sz w:val="2"/>
                    <w:szCs w:val="2"/>
                  </w:rPr>
                </w:pPr>
                <w:r w:rsidRPr="00AA635D">
                  <w:rPr>
                    <w:rFonts w:asciiTheme="minorHAnsi" w:hAnsiTheme="minorHAnsi" w:cstheme="minorHAnsi"/>
                    <w:b/>
                    <w:color w:val="F7F7F7"/>
                    <w:sz w:val="2"/>
                    <w:szCs w:val="2"/>
                  </w:rPr>
                  <w:t>RESULT_FRAME_TBL_PDO</w:t>
                </w:r>
              </w:p>
            </w:tc>
            <w:tc>
              <w:tcPr>
                <w:tcW w:w="447" w:type="dxa"/>
                <w:tcBorders>
                  <w:bottom w:val="single" w:sz="4" w:space="0" w:color="D9D9D9"/>
                </w:tcBorders>
                <w:shd w:val="clear" w:color="auto" w:fill="F7F7F7"/>
                <w:vAlign w:val="center"/>
              </w:tcPr>
              <w:p w14:paraId="2F35FF3E" w14:textId="77777777" w:rsidR="004E1BEB" w:rsidRPr="00AA635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01" w:type="dxa"/>
                <w:tcBorders>
                  <w:bottom w:val="single" w:sz="4" w:space="0" w:color="D9D9D9"/>
                </w:tcBorders>
                <w:shd w:val="clear" w:color="auto" w:fill="F7F7F7"/>
                <w:vAlign w:val="center"/>
              </w:tcPr>
              <w:p w14:paraId="458DAE43" w14:textId="77777777" w:rsidR="004E1BEB" w:rsidRPr="00AA635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808" w:type="dxa"/>
                <w:tcBorders>
                  <w:bottom w:val="single" w:sz="4" w:space="0" w:color="D9D9D9"/>
                </w:tcBorders>
                <w:shd w:val="clear" w:color="auto" w:fill="F7F7F7"/>
                <w:vAlign w:val="center"/>
              </w:tcPr>
              <w:p w14:paraId="676317C7" w14:textId="77777777" w:rsidR="004E1BEB" w:rsidRPr="00AA635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13" w:type="dxa"/>
                <w:tcBorders>
                  <w:bottom w:val="single" w:sz="4" w:space="0" w:color="D9D9D9"/>
                </w:tcBorders>
                <w:shd w:val="clear" w:color="auto" w:fill="F7F7F7"/>
                <w:vAlign w:val="center"/>
              </w:tcPr>
              <w:p w14:paraId="5F942C85" w14:textId="77777777" w:rsidR="004E1BEB" w:rsidRPr="00AA635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0C3959" w14:paraId="31D651D3" w14:textId="77777777" w:rsidTr="00E46684">
            <w:trPr>
              <w:trHeight w:val="20"/>
              <w:tblHeader/>
            </w:trPr>
            <w:tc>
              <w:tcPr>
                <w:tcW w:w="3333" w:type="dxa"/>
                <w:tcBorders>
                  <w:top w:val="single" w:sz="4" w:space="0" w:color="D9D9D9"/>
                  <w:left w:val="single" w:sz="4" w:space="0" w:color="D9D9D9"/>
                  <w:right w:val="single" w:sz="4" w:space="0" w:color="D9D9D9"/>
                </w:tcBorders>
                <w:shd w:val="clear" w:color="auto" w:fill="F7F7F7"/>
                <w:vAlign w:val="center"/>
              </w:tcPr>
              <w:p w14:paraId="19F0A803" w14:textId="77777777" w:rsidR="004E1BEB" w:rsidRPr="00250A13" w:rsidRDefault="00B00100" w:rsidP="00137522">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14:paraId="406A4472" w14:textId="77777777" w:rsidR="004E1BEB" w:rsidRPr="00250A13" w:rsidRDefault="00B00100" w:rsidP="00137522">
                <w:pPr>
                  <w:keepNext/>
                  <w:keepLines/>
                  <w:spacing w:before="60" w:after="60"/>
                  <w:ind w:left="15"/>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2901" w:type="dxa"/>
                <w:tcBorders>
                  <w:top w:val="single" w:sz="4" w:space="0" w:color="D9D9D9"/>
                  <w:left w:val="single" w:sz="4" w:space="0" w:color="D9D9D9"/>
                  <w:right w:val="single" w:sz="4" w:space="0" w:color="D9D9D9"/>
                </w:tcBorders>
                <w:shd w:val="clear" w:color="auto" w:fill="F7F7F7"/>
                <w:vAlign w:val="center"/>
              </w:tcPr>
              <w:p w14:paraId="47D09C96" w14:textId="77777777" w:rsidR="004E1BEB" w:rsidRPr="00250A13" w:rsidRDefault="00B00100" w:rsidP="00137522">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13F1CC" w14:textId="77777777" w:rsidR="004E1BEB" w:rsidRPr="00250A13" w:rsidRDefault="00B00100" w:rsidP="00137522">
                <w:pPr>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913" w:type="dxa"/>
                <w:tcBorders>
                  <w:top w:val="single" w:sz="4" w:space="0" w:color="D9D9D9"/>
                  <w:left w:val="single" w:sz="4" w:space="0" w:color="D9D9D9"/>
                  <w:right w:val="single" w:sz="4" w:space="0" w:color="D9D9D9"/>
                </w:tcBorders>
                <w:shd w:val="clear" w:color="auto" w:fill="F7F7F7"/>
                <w:vAlign w:val="center"/>
              </w:tcPr>
              <w:p w14:paraId="7D2FE7A3" w14:textId="77777777" w:rsidR="004E1BEB" w:rsidRPr="00250A13" w:rsidRDefault="00B00100" w:rsidP="00137522">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0C3959" w14:paraId="5E73D002" w14:textId="77777777" w:rsidTr="00A10B7A">
            <w:trPr>
              <w:trHeight w:val="20"/>
              <w:tblHeader/>
            </w:trPr>
            <w:tc>
              <w:tcPr>
                <w:tcW w:w="3333" w:type="dxa"/>
                <w:tcBorders>
                  <w:left w:val="single" w:sz="4" w:space="0" w:color="D9D9D9"/>
                  <w:bottom w:val="single" w:sz="4" w:space="0" w:color="D9D9D9"/>
                  <w:right w:val="single" w:sz="4" w:space="0" w:color="D9D9D9"/>
                </w:tcBorders>
                <w:shd w:val="clear" w:color="auto" w:fill="F7F7F7"/>
                <w:vAlign w:val="center"/>
              </w:tcPr>
              <w:p w14:paraId="060DDE01" w14:textId="77777777" w:rsidR="004E1BEB" w:rsidRPr="00252C83" w:rsidRDefault="004E1BEB" w:rsidP="00E46684">
                <w:pPr>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14:paraId="5D0A7160" w14:textId="77777777" w:rsidR="004E1BEB" w:rsidRPr="00252C83" w:rsidRDefault="004E1BEB" w:rsidP="00E46684">
                <w:pPr>
                  <w:spacing w:before="60" w:after="60"/>
                  <w:ind w:left="115"/>
                  <w:rPr>
                    <w:b/>
                    <w:color w:val="002060"/>
                    <w:sz w:val="22"/>
                    <w:szCs w:val="22"/>
                  </w:rPr>
                </w:pPr>
              </w:p>
            </w:tc>
            <w:tc>
              <w:tcPr>
                <w:tcW w:w="2901" w:type="dxa"/>
                <w:tcBorders>
                  <w:left w:val="single" w:sz="4" w:space="0" w:color="D9D9D9"/>
                  <w:bottom w:val="single" w:sz="4" w:space="0" w:color="D9D9D9"/>
                  <w:right w:val="single" w:sz="4" w:space="0" w:color="D9D9D9"/>
                </w:tcBorders>
                <w:shd w:val="clear" w:color="auto" w:fill="F7F7F7"/>
                <w:vAlign w:val="center"/>
              </w:tcPr>
              <w:p w14:paraId="74AC65BC" w14:textId="77777777" w:rsidR="004E1BEB" w:rsidRPr="00D73445" w:rsidRDefault="004E1BEB" w:rsidP="00E46684">
                <w:pPr>
                  <w:keepNext/>
                  <w:keepLines/>
                  <w:spacing w:before="60" w:after="60"/>
                  <w:ind w:left="115"/>
                  <w:rPr>
                    <w:b/>
                    <w:color w:val="002060"/>
                    <w:sz w:val="22"/>
                    <w:szCs w:val="22"/>
                  </w:rPr>
                </w:pP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C7D2CA" w14:textId="77777777" w:rsidR="004E1BEB" w:rsidRPr="00250A13" w:rsidRDefault="00B00100"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913" w:type="dxa"/>
                <w:tcBorders>
                  <w:left w:val="single" w:sz="4" w:space="0" w:color="D9D9D9"/>
                  <w:bottom w:val="single" w:sz="4" w:space="0" w:color="D9D9D9"/>
                  <w:right w:val="single" w:sz="4" w:space="0" w:color="D9D9D9"/>
                </w:tcBorders>
                <w:shd w:val="clear" w:color="auto" w:fill="F7F7F7"/>
                <w:vAlign w:val="center"/>
              </w:tcPr>
              <w:p w14:paraId="50EE3BAA" w14:textId="77777777" w:rsidR="004E1BEB" w:rsidRPr="00252C83" w:rsidRDefault="004E1BEB" w:rsidP="00E46684">
                <w:pPr>
                  <w:spacing w:before="60" w:after="60"/>
                  <w:ind w:left="115"/>
                  <w:rPr>
                    <w:b/>
                    <w:color w:val="002060"/>
                    <w:sz w:val="22"/>
                    <w:szCs w:val="22"/>
                  </w:rPr>
                </w:pPr>
              </w:p>
            </w:tc>
          </w:tr>
          <w:tr w:rsidR="000C3959" w14:paraId="3DC6566F"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1BFFC21B"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To improve quality, quantity and development impact of postgraduate education in selected univs.</w:t>
                </w:r>
                <w:r w:rsidR="001724F0">
                  <w:rPr>
                    <w:rFonts w:asciiTheme="minorHAnsi" w:eastAsia="Times New Roman" w:hAnsiTheme="minorHAnsi" w:cstheme="minorHAnsi"/>
                    <w:color w:val="auto"/>
                    <w:sz w:val="18"/>
                    <w:szCs w:val="18"/>
                  </w:rPr>
                  <w:t xml:space="preserve"> </w:t>
                </w:r>
              </w:p>
            </w:tc>
          </w:tr>
          <w:tr w:rsidR="000C3959" w14:paraId="3EC78CDD"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EEA4E1"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students (National and Regional) enrolled in specialized master’s, PhD and short-term professional courses/programs in the ACEs (Number)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3853A8"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EE410E"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6,485.00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427494"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12,380.00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7F17F8"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21,185.00</w:t>
                </w:r>
              </w:p>
            </w:tc>
          </w:tr>
          <w:tr w:rsidR="000C3959" w14:paraId="49489C44"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3D939"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PhD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611880"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F5DA91"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428.00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CEAE04"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1,003.00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F691E9"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1,828.00</w:t>
                </w:r>
              </w:p>
            </w:tc>
          </w:tr>
          <w:tr w:rsidR="000C3959" w14:paraId="75B42494"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9FCA07"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master's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16228A"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380A95"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1,691.00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FAE47F"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3,651.00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1CCB69"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6,591.00</w:t>
                </w:r>
              </w:p>
            </w:tc>
          </w:tr>
          <w:tr w:rsidR="000C3959" w14:paraId="6C9804D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EC2CC4"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Regional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7E1D5D"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39618A"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2,300.00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F9C36"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3,980.00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F89C7B"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6,500.00</w:t>
                </w:r>
              </w:p>
            </w:tc>
          </w:tr>
          <w:tr w:rsidR="000C3959" w14:paraId="5EA06B00"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FF2E29"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female students enrolled in specialized programs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9AA440"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9BFE6B"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2,307.00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7C4089"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4,267.00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C4B6A9"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7,207.00</w:t>
                </w:r>
              </w:p>
            </w:tc>
          </w:tr>
          <w:tr w:rsidR="000C3959" w14:paraId="672562B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35D7A2"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students enrolled in professional short courses at ACEs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9E4C9F"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EE69BF"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4,366.00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5B9322"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7,726.00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287BE1"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12,766.00</w:t>
                </w:r>
              </w:p>
            </w:tc>
          </w:tr>
          <w:tr w:rsidR="000C3959" w14:paraId="052F200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4A048B"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lastRenderedPageBreak/>
                  <w:t>Number of ACE programs and ACE host institutions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9D0317"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8C64D7"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5.00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0583FD"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25.00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A572BA"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56.00</w:t>
                </w:r>
              </w:p>
            </w:tc>
          </w:tr>
          <w:tr w:rsidR="000C3959" w14:paraId="691A068C"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ECEAA2"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ACE programs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F2423C"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3DB87"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5.00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699AD1"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25.00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65166C"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52.00</w:t>
                </w:r>
              </w:p>
            </w:tc>
          </w:tr>
          <w:tr w:rsidR="000C3959" w14:paraId="086AE819"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A167B" w14:textId="77777777" w:rsidR="0055437C" w:rsidRPr="0009281B" w:rsidRDefault="00B00100" w:rsidP="00E46684">
                <w:pPr>
                  <w:spacing w:before="40" w:after="40"/>
                  <w:ind w:left="300"/>
                  <w:rPr>
                    <w:rFonts w:asciiTheme="minorHAnsi" w:eastAsia="Times New Roman" w:hAnsiTheme="minorHAnsi" w:cstheme="minorHAnsi"/>
                    <w:noProof/>
                    <w:color w:val="auto"/>
                    <w:sz w:val="18"/>
                    <w:szCs w:val="18"/>
                  </w:rPr>
                </w:pPr>
                <w:r w:rsidRPr="0009281B">
                  <w:rPr>
                    <w:rFonts w:ascii="Calibri" w:eastAsia="Calibri" w:hAnsi="Calibri" w:cs="Calibri"/>
                    <w:noProof/>
                    <w:sz w:val="18"/>
                    <w:szCs w:val="18"/>
                  </w:rPr>
                  <w:t>Number of ACE host Institutions that obtain international accreditation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BD3C8F"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C9058D"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E6D6A0"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C4A13F"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2.00</w:t>
                </w:r>
              </w:p>
            </w:tc>
          </w:tr>
          <w:tr w:rsidR="000C3959" w14:paraId="37942F1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56C474"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Share of ACE host institutions with a comprehensive strategic plan for regionalization (Percentage)</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BB408E"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A833B8"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D4F328"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30.00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813327"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75.00</w:t>
                </w:r>
              </w:p>
            </w:tc>
          </w:tr>
          <w:tr w:rsidR="000C3959" w14:paraId="46F5250D"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06478"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ACEs that have had substantial development impact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7B2FE1"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E88DE0"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979AA0"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6.00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13B435"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14.00</w:t>
                </w:r>
              </w:p>
            </w:tc>
          </w:tr>
          <w:tr w:rsidR="000C3959" w14:paraId="5733409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9B4EB8" w14:textId="77777777"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Number of students and faculty participating in internships in relevant institutions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27D15E" w14:textId="77777777" w:rsidR="004E1BEB" w:rsidRPr="0009281B" w:rsidRDefault="004E1BEB" w:rsidP="00E46684">
                <w:pPr>
                  <w:spacing w:before="40" w:after="40"/>
                  <w:rPr>
                    <w:rFonts w:asciiTheme="minorHAnsi" w:eastAsia="Times New Roman" w:hAnsiTheme="minorHAnsi" w:cstheme="minorHAnsi"/>
                    <w:color w:val="auto"/>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97EBE5" w14:textId="77777777" w:rsidR="004E1BEB" w:rsidRPr="0009281B" w:rsidRDefault="00B00100"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1,186.00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41ADFE" w14:textId="77777777" w:rsidR="004E1BEB" w:rsidRPr="0009281B" w:rsidRDefault="00B00100"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2,306.00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BCE893" w14:textId="77777777" w:rsidR="004E1BEB" w:rsidRPr="0009281B" w:rsidRDefault="00B00100"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3,986.00</w:t>
                </w:r>
              </w:p>
            </w:tc>
          </w:tr>
        </w:tbl>
        <w:p w14:paraId="6442D8D8" w14:textId="77777777" w:rsidR="004E1BEB" w:rsidRDefault="004E1BEB"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0C3959" w14:paraId="6D813912" w14:textId="77777777" w:rsidTr="00CE0EC3">
            <w:trPr>
              <w:trHeight w:val="576"/>
            </w:trPr>
            <w:tc>
              <w:tcPr>
                <w:tcW w:w="14096" w:type="dxa"/>
                <w:shd w:val="clear" w:color="auto" w:fill="F7F7F7"/>
              </w:tcPr>
              <w:p w14:paraId="7385C270" w14:textId="77777777" w:rsidR="008740E1" w:rsidRDefault="00B00100" w:rsidP="00CE0EC3">
                <w:pPr>
                  <w:ind w:right="-418"/>
                  <w:rPr>
                    <w:rFonts w:asciiTheme="minorHAnsi" w:hAnsiTheme="minorHAnsi"/>
                    <w:b/>
                    <w:bCs/>
                    <w:color w:val="7F7F7F" w:themeColor="text1" w:themeTint="80"/>
                    <w:sz w:val="22"/>
                    <w:szCs w:val="22"/>
                  </w:rPr>
                </w:pPr>
                <w:bookmarkStart w:id="370" w:name="_Hlk520229174_0"/>
                <w:r w:rsidRPr="007B35D0">
                  <w:rPr>
                    <w:rFonts w:asciiTheme="minorHAnsi" w:hAnsiTheme="minorHAnsi"/>
                    <w:b/>
                    <w:bCs/>
                    <w:color w:val="F7F7F7"/>
                    <w:sz w:val="22"/>
                    <w:szCs w:val="22"/>
                  </w:rPr>
                  <w:t>PDO Table SPACE</w:t>
                </w:r>
              </w:p>
            </w:tc>
          </w:tr>
          <w:bookmarkEnd w:id="370"/>
        </w:tbl>
        <w:p w14:paraId="11776772" w14:textId="77777777" w:rsidR="008740E1" w:rsidRDefault="008740E1"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0C3959" w14:paraId="17D77F5D" w14:textId="77777777" w:rsidTr="00E46684">
            <w:trPr>
              <w:trHeight w:val="432"/>
            </w:trPr>
            <w:tc>
              <w:tcPr>
                <w:tcW w:w="14126" w:type="dxa"/>
                <w:shd w:val="clear" w:color="auto" w:fill="F7F7F7"/>
                <w:vAlign w:val="center"/>
              </w:tcPr>
              <w:p w14:paraId="2CC8364A" w14:textId="77777777" w:rsidR="004E1BEB" w:rsidRPr="00A95B97" w:rsidRDefault="00B00100" w:rsidP="00137522">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Intermediate Results Indicators by Components</w:t>
                </w:r>
              </w:p>
            </w:tc>
          </w:tr>
        </w:tbl>
        <w:p w14:paraId="413DDB64" w14:textId="77777777" w:rsidR="004E1BEB" w:rsidRDefault="004E1BEB" w:rsidP="00137522">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3798"/>
            <w:gridCol w:w="509"/>
            <w:gridCol w:w="3305"/>
            <w:gridCol w:w="3199"/>
            <w:gridCol w:w="3319"/>
          </w:tblGrid>
          <w:tr w:rsidR="000C3959" w14:paraId="38E8D08D" w14:textId="77777777" w:rsidTr="00E46684">
            <w:trPr>
              <w:trHeight w:val="20"/>
              <w:tblHeader/>
            </w:trPr>
            <w:tc>
              <w:tcPr>
                <w:tcW w:w="3333" w:type="dxa"/>
                <w:tcBorders>
                  <w:top w:val="nil"/>
                  <w:left w:val="nil"/>
                  <w:bottom w:val="single" w:sz="4" w:space="0" w:color="D9D9D9"/>
                  <w:right w:val="nil"/>
                </w:tcBorders>
                <w:shd w:val="clear" w:color="auto" w:fill="F7F7F7"/>
                <w:vAlign w:val="center"/>
              </w:tcPr>
              <w:p w14:paraId="7D16658A" w14:textId="77777777" w:rsidR="004E1BEB" w:rsidRPr="008C782D" w:rsidRDefault="00B00100" w:rsidP="00137522">
                <w:pPr>
                  <w:keepNext/>
                  <w:keepLines/>
                  <w:spacing w:before="100" w:beforeAutospacing="1" w:after="100" w:afterAutospacing="1" w:line="14" w:lineRule="exact"/>
                  <w:ind w:left="115"/>
                  <w:rPr>
                    <w:rFonts w:asciiTheme="minorHAnsi" w:hAnsiTheme="minorHAnsi" w:cstheme="minorHAnsi"/>
                    <w:b/>
                    <w:color w:val="F7F7F7"/>
                    <w:sz w:val="2"/>
                    <w:szCs w:val="2"/>
                  </w:rPr>
                </w:pPr>
                <w:r w:rsidRPr="008C782D">
                  <w:rPr>
                    <w:rFonts w:asciiTheme="minorHAnsi" w:hAnsiTheme="minorHAnsi" w:cstheme="minorHAns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14:paraId="5F4253A5" w14:textId="77777777" w:rsidR="004E1BEB" w:rsidRPr="008C782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01" w:type="dxa"/>
                <w:tcBorders>
                  <w:top w:val="nil"/>
                  <w:left w:val="nil"/>
                  <w:bottom w:val="single" w:sz="4" w:space="0" w:color="D9D9D9"/>
                  <w:right w:val="nil"/>
                </w:tcBorders>
                <w:shd w:val="clear" w:color="auto" w:fill="F7F7F7"/>
                <w:vAlign w:val="center"/>
              </w:tcPr>
              <w:p w14:paraId="0E8FCC2B" w14:textId="77777777" w:rsidR="004E1BEB" w:rsidRPr="008C782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808" w:type="dxa"/>
                <w:tcBorders>
                  <w:top w:val="nil"/>
                  <w:left w:val="nil"/>
                  <w:bottom w:val="single" w:sz="4" w:space="0" w:color="D9D9D9"/>
                  <w:right w:val="nil"/>
                </w:tcBorders>
                <w:shd w:val="clear" w:color="auto" w:fill="F7F7F7"/>
                <w:vAlign w:val="center"/>
              </w:tcPr>
              <w:p w14:paraId="3D983E53" w14:textId="77777777" w:rsidR="004E1BEB" w:rsidRPr="008C782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913" w:type="dxa"/>
                <w:tcBorders>
                  <w:top w:val="nil"/>
                  <w:left w:val="nil"/>
                  <w:bottom w:val="single" w:sz="4" w:space="0" w:color="D9D9D9"/>
                  <w:right w:val="nil"/>
                </w:tcBorders>
                <w:shd w:val="clear" w:color="auto" w:fill="F7F7F7"/>
                <w:vAlign w:val="center"/>
              </w:tcPr>
              <w:p w14:paraId="149BD28B" w14:textId="77777777" w:rsidR="004E1BEB" w:rsidRPr="008C782D" w:rsidRDefault="004E1BEB" w:rsidP="00137522">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0C3959" w14:paraId="44FC96A1" w14:textId="77777777" w:rsidTr="00E46684">
            <w:trPr>
              <w:trHeight w:val="20"/>
              <w:tblHeader/>
            </w:trPr>
            <w:tc>
              <w:tcPr>
                <w:tcW w:w="3333" w:type="dxa"/>
                <w:tcBorders>
                  <w:top w:val="single" w:sz="4" w:space="0" w:color="D9D9D9"/>
                  <w:left w:val="single" w:sz="4" w:space="0" w:color="D9D9D9"/>
                  <w:bottom w:val="nil"/>
                  <w:right w:val="single" w:sz="4" w:space="0" w:color="D9D9D9"/>
                </w:tcBorders>
                <w:shd w:val="clear" w:color="auto" w:fill="F7F7F7"/>
                <w:vAlign w:val="center"/>
              </w:tcPr>
              <w:p w14:paraId="56957196" w14:textId="77777777" w:rsidR="004E1BEB" w:rsidRPr="00250A13" w:rsidRDefault="00B00100" w:rsidP="00137522">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14:paraId="3E336275" w14:textId="77777777" w:rsidR="004E1BEB" w:rsidRPr="00250A13" w:rsidRDefault="00B00100" w:rsidP="00137522">
                <w:pPr>
                  <w:keepNext/>
                  <w:keepLines/>
                  <w:spacing w:before="60" w:after="60"/>
                  <w:rPr>
                    <w:rFonts w:ascii="Calibri" w:hAnsi="Calibri" w:cs="Times New Roman"/>
                    <w:b/>
                    <w:color w:val="002060"/>
                    <w:sz w:val="22"/>
                    <w:szCs w:val="22"/>
                  </w:rPr>
                </w:pPr>
                <w:r w:rsidRPr="00250A13">
                  <w:rPr>
                    <w:rFonts w:ascii="Calibri" w:hAnsi="Calibri" w:cs="Times New Roman"/>
                    <w:b/>
                    <w:color w:val="002060"/>
                    <w:sz w:val="22"/>
                    <w:szCs w:val="22"/>
                  </w:rPr>
                  <w:t>DLI</w:t>
                </w:r>
              </w:p>
            </w:tc>
            <w:tc>
              <w:tcPr>
                <w:tcW w:w="2901" w:type="dxa"/>
                <w:tcBorders>
                  <w:top w:val="single" w:sz="4" w:space="0" w:color="D9D9D9"/>
                  <w:left w:val="single" w:sz="4" w:space="0" w:color="D9D9D9"/>
                  <w:bottom w:val="nil"/>
                  <w:right w:val="single" w:sz="4" w:space="0" w:color="D9D9D9"/>
                </w:tcBorders>
                <w:shd w:val="clear" w:color="auto" w:fill="F7F7F7"/>
                <w:vAlign w:val="center"/>
              </w:tcPr>
              <w:p w14:paraId="5454E99C" w14:textId="77777777" w:rsidR="004E1BEB" w:rsidRPr="00250A13" w:rsidRDefault="00B00100" w:rsidP="00137522">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92EDF9" w14:textId="77777777" w:rsidR="004E1BEB" w:rsidRPr="00250A13" w:rsidRDefault="00B00100" w:rsidP="00137522">
                <w:pPr>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913" w:type="dxa"/>
                <w:tcBorders>
                  <w:top w:val="single" w:sz="4" w:space="0" w:color="D9D9D9"/>
                  <w:left w:val="single" w:sz="4" w:space="0" w:color="D9D9D9"/>
                  <w:bottom w:val="nil"/>
                  <w:right w:val="single" w:sz="4" w:space="0" w:color="D9D9D9"/>
                </w:tcBorders>
                <w:shd w:val="clear" w:color="auto" w:fill="F7F7F7"/>
                <w:vAlign w:val="center"/>
              </w:tcPr>
              <w:p w14:paraId="17C03D4E" w14:textId="77777777" w:rsidR="004E1BEB" w:rsidRPr="00250A13" w:rsidRDefault="00B00100" w:rsidP="00137522">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0C3959" w14:paraId="004EC8F4" w14:textId="77777777" w:rsidTr="00A10B7A">
            <w:trPr>
              <w:trHeight w:val="20"/>
              <w:tblHeader/>
            </w:trPr>
            <w:tc>
              <w:tcPr>
                <w:tcW w:w="3333" w:type="dxa"/>
                <w:tcBorders>
                  <w:top w:val="nil"/>
                  <w:left w:val="single" w:sz="4" w:space="0" w:color="D9D9D9"/>
                  <w:bottom w:val="single" w:sz="4" w:space="0" w:color="D9D9D9"/>
                  <w:right w:val="single" w:sz="4" w:space="0" w:color="D9D9D9"/>
                </w:tcBorders>
                <w:shd w:val="clear" w:color="auto" w:fill="F7F7F7"/>
                <w:vAlign w:val="center"/>
              </w:tcPr>
              <w:p w14:paraId="292B684B" w14:textId="77777777" w:rsidR="004E1BEB" w:rsidRPr="00252C83" w:rsidRDefault="004E1BEB" w:rsidP="00E46684">
                <w:pPr>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14:paraId="014CDBDE" w14:textId="77777777" w:rsidR="004E1BEB" w:rsidRPr="00252C83" w:rsidRDefault="004E1BEB" w:rsidP="00E46684">
                <w:pPr>
                  <w:spacing w:before="60" w:after="60"/>
                  <w:ind w:left="115"/>
                  <w:rPr>
                    <w:b/>
                    <w:color w:val="002060"/>
                    <w:sz w:val="22"/>
                    <w:szCs w:val="22"/>
                  </w:rPr>
                </w:pPr>
              </w:p>
            </w:tc>
            <w:tc>
              <w:tcPr>
                <w:tcW w:w="2901" w:type="dxa"/>
                <w:tcBorders>
                  <w:top w:val="nil"/>
                  <w:left w:val="single" w:sz="4" w:space="0" w:color="D9D9D9"/>
                  <w:bottom w:val="single" w:sz="4" w:space="0" w:color="D9D9D9"/>
                  <w:right w:val="single" w:sz="4" w:space="0" w:color="D9D9D9"/>
                </w:tcBorders>
                <w:shd w:val="clear" w:color="auto" w:fill="F7F7F7"/>
                <w:vAlign w:val="center"/>
              </w:tcPr>
              <w:p w14:paraId="7C9B8639" w14:textId="77777777" w:rsidR="004E1BEB" w:rsidRPr="00D73445" w:rsidRDefault="004E1BEB" w:rsidP="00E46684">
                <w:pPr>
                  <w:keepNext/>
                  <w:keepLines/>
                  <w:spacing w:before="60" w:after="60"/>
                  <w:ind w:left="115"/>
                  <w:rPr>
                    <w:b/>
                    <w:color w:val="002060"/>
                    <w:sz w:val="22"/>
                    <w:szCs w:val="22"/>
                  </w:rPr>
                </w:pP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7929D9" w14:textId="77777777" w:rsidR="004E1BEB" w:rsidRPr="00250A13" w:rsidRDefault="00B00100"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913" w:type="dxa"/>
                <w:tcBorders>
                  <w:top w:val="nil"/>
                  <w:left w:val="single" w:sz="4" w:space="0" w:color="D9D9D9"/>
                  <w:bottom w:val="single" w:sz="4" w:space="0" w:color="D9D9D9"/>
                  <w:right w:val="single" w:sz="4" w:space="0" w:color="D9D9D9"/>
                </w:tcBorders>
                <w:shd w:val="clear" w:color="auto" w:fill="F7F7F7"/>
                <w:vAlign w:val="center"/>
              </w:tcPr>
              <w:p w14:paraId="444759DA" w14:textId="77777777" w:rsidR="004E1BEB" w:rsidRPr="00252C83" w:rsidRDefault="004E1BEB" w:rsidP="00E46684">
                <w:pPr>
                  <w:spacing w:before="60" w:after="60"/>
                  <w:ind w:left="115"/>
                  <w:rPr>
                    <w:b/>
                    <w:color w:val="002060"/>
                    <w:sz w:val="22"/>
                    <w:szCs w:val="22"/>
                  </w:rPr>
                </w:pPr>
              </w:p>
            </w:tc>
          </w:tr>
          <w:tr w:rsidR="000C3959" w14:paraId="6DB713DE"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697FFA6D"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Establishing New and Scaling up Well-performing Africa Centers of Excellence for Development Impact</w:t>
                </w:r>
                <w:r w:rsidR="001724F0">
                  <w:rPr>
                    <w:rFonts w:asciiTheme="minorHAnsi" w:eastAsia="Times New Roman" w:hAnsiTheme="minorHAnsi" w:cstheme="minorHAnsi"/>
                    <w:sz w:val="18"/>
                    <w:szCs w:val="18"/>
                  </w:rPr>
                  <w:t xml:space="preserve"> </w:t>
                </w:r>
              </w:p>
            </w:tc>
          </w:tr>
          <w:tr w:rsidR="000C3959" w14:paraId="25B00038"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8225EF"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female center directors or deputy directors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F60615"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543FAD"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1BA6D8"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DC5B86"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4.00</w:t>
                </w:r>
              </w:p>
            </w:tc>
          </w:tr>
          <w:tr w:rsidR="000C3959" w14:paraId="5C4F2FFF"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52455"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ACE related research publications in internationally recognized peer reviewed journals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4FAF5E"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075E93"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394.00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C3F470"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950.00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8527A8"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1,794.00</w:t>
                </w:r>
              </w:p>
            </w:tc>
          </w:tr>
          <w:tr w:rsidR="000C3959" w14:paraId="1FE8532A"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F12CEA"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 xml:space="preserve">Number of new nationally or regionally accredited </w:t>
                </w:r>
                <w:r>
                  <w:rPr>
                    <w:rFonts w:ascii="Calibri" w:eastAsia="Calibri" w:hAnsi="Calibri" w:cs="Calibri"/>
                    <w:noProof/>
                    <w:sz w:val="18"/>
                    <w:szCs w:val="18"/>
                  </w:rPr>
                  <w:lastRenderedPageBreak/>
                  <w:t>programs (master's and PhDs)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500B3"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0897E3"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B7B688"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23.00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E25BCA"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56.00</w:t>
                </w:r>
              </w:p>
            </w:tc>
          </w:tr>
          <w:tr w:rsidR="000C3959" w14:paraId="65A0E7F5"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CB329F"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Amount in externally generated revenue by the ACEs (Amount(USD))</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61D8BA"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C41EAD"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16,849,580.00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9BB27"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30,738,469.00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ED74A6"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51,849,580.00</w:t>
                </w:r>
              </w:p>
            </w:tc>
          </w:tr>
          <w:tr w:rsidR="000C3959" w14:paraId="2DDE1E18"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EF922B"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Share of master’s and PhD graduates employed within 6 months of graduation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C7789A"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6A84E4"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78C33F"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70.00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E70602"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80.00</w:t>
                </w:r>
              </w:p>
            </w:tc>
          </w:tr>
          <w:tr w:rsidR="000C3959" w14:paraId="3EA66A1E"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354E5E"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host institutions of ACEs participating in the regional benchmarking initiative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0C4936"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616706"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BA12D2"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11.00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70BA43"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14.00</w:t>
                </w:r>
              </w:p>
            </w:tc>
          </w:tr>
          <w:tr w:rsidR="000C3959" w14:paraId="23D0B499"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1141C935"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2 - Fostering Regional Partnerships and Scholarships</w:t>
                </w:r>
                <w:r w:rsidR="001724F0">
                  <w:rPr>
                    <w:rFonts w:asciiTheme="minorHAnsi" w:eastAsia="Times New Roman" w:hAnsiTheme="minorHAnsi" w:cstheme="minorHAnsi"/>
                    <w:sz w:val="18"/>
                    <w:szCs w:val="18"/>
                  </w:rPr>
                  <w:t xml:space="preserve"> </w:t>
                </w:r>
              </w:p>
            </w:tc>
          </w:tr>
          <w:tr w:rsidR="000C3959" w14:paraId="1E0361E8"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AD09DB"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new master’s and undergraduate students enrolled in programs at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5FD9D8"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3511A8"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319DF"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120.00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345090"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300.00</w:t>
                </w:r>
              </w:p>
            </w:tc>
          </w:tr>
          <w:tr w:rsidR="000C3959" w14:paraId="0BCF0C43"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CFC09A"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new nationally or regionally accredited programs (master’s and undergraduate) at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1C73B6"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900DED"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72EA6E"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5.00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9853AE"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12.00</w:t>
                </w:r>
              </w:p>
            </w:tc>
          </w:tr>
          <w:tr w:rsidR="000C3959" w14:paraId="59A97D73"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1615D9"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faculty and students participating in academic exchanges within the region from and to the emerging centers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50DF73"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9932C5"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3D69F0"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42.00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15E2C5"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105.00</w:t>
                </w:r>
              </w:p>
            </w:tc>
          </w:tr>
          <w:tr w:rsidR="000C3959" w14:paraId="096CEBBF"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3E9578"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Share of undergraduate and master’s graduates of emerging centers employed within 6 months of graduating (Percentage)</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F8FDA0"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26C595"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76B289"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60.00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BD73D"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70.00</w:t>
                </w:r>
              </w:p>
            </w:tc>
          </w:tr>
          <w:tr w:rsidR="000C3959" w14:paraId="53D51BF4"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9CB4C9"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well-functioning regional networks established by the project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057EA"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C97E22"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894D3"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6.00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723E83"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9.00</w:t>
                </w:r>
              </w:p>
            </w:tc>
          </w:tr>
          <w:tr w:rsidR="000C3959" w14:paraId="05A142A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9E3CDA"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host institutions of emerging centers participating in the regional benchmarking initiative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914F8A"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A51A87"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F78C21"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2.00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C794B8"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3.00</w:t>
                </w:r>
              </w:p>
            </w:tc>
          </w:tr>
          <w:tr w:rsidR="000C3959" w14:paraId="1AE46150"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875C49"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newly enrolled RSIF PhD students supported through the ACE Impact governments' contributions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EC1EE7"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6A8193"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F9AF55"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38.00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C81BEE"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90.00</w:t>
                </w:r>
              </w:p>
            </w:tc>
          </w:tr>
          <w:tr w:rsidR="000C3959" w14:paraId="397C26E3" w14:textId="77777777" w:rsidTr="009B4A1A">
            <w:tblPrEx>
              <w:tblCellMar>
                <w:bottom w:w="72" w:type="dxa"/>
              </w:tblCellMar>
            </w:tblPrEx>
            <w:trPr>
              <w:trHeight w:val="20"/>
            </w:trPr>
            <w:tc>
              <w:tcPr>
                <w:tcW w:w="12402" w:type="dxa"/>
                <w:gridSpan w:val="5"/>
                <w:tcBorders>
                  <w:top w:val="single" w:sz="4" w:space="0" w:color="D9D9D9"/>
                  <w:left w:val="single" w:sz="4" w:space="0" w:color="D9D9D9"/>
                  <w:bottom w:val="single" w:sz="4" w:space="0" w:color="D9D9D9"/>
                  <w:right w:val="single" w:sz="4" w:space="0" w:color="D9D9D9"/>
                </w:tcBorders>
                <w:shd w:val="clear" w:color="auto" w:fill="F7F7F7"/>
                <w:vAlign w:val="center"/>
              </w:tcPr>
              <w:p w14:paraId="46760A76"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3 - Enhancing National and Regional Level Project Facilitation and M&amp;E</w:t>
                </w:r>
                <w:r w:rsidR="001724F0">
                  <w:rPr>
                    <w:rFonts w:asciiTheme="minorHAnsi" w:eastAsia="Times New Roman" w:hAnsiTheme="minorHAnsi" w:cstheme="minorHAnsi"/>
                    <w:sz w:val="18"/>
                    <w:szCs w:val="18"/>
                  </w:rPr>
                  <w:t xml:space="preserve"> </w:t>
                </w:r>
              </w:p>
            </w:tc>
          </w:tr>
          <w:tr w:rsidR="000C3959" w14:paraId="192B5C32"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EC9A05"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Number of Project Beneficiaries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DD9D91"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F27EF1"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FCD763"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8,000.00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DFEA46"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19,000.00</w:t>
                </w:r>
              </w:p>
            </w:tc>
          </w:tr>
          <w:tr w:rsidR="000C3959" w14:paraId="76992D02"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7C98B2"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lastRenderedPageBreak/>
                  <w:t>Level of satisfaction of the Second ACE Impact students (Citizen Engagement indicator and part of Grievance Redress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FAB6C9"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4319DC"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3.60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43C26B"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3.80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86773D"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4.00</w:t>
                </w:r>
              </w:p>
            </w:tc>
          </w:tr>
          <w:tr w:rsidR="000C3959" w14:paraId="7FAF7F8B"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609B5D"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Level of satisfaction of the ACEs and Steering Committee on the support given by the RFU (Citizen Engagement indicator and part of the Grievance Redress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51F85"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6F7F9"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4.00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63F04F"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4.10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06F346"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4.20</w:t>
                </w:r>
              </w:p>
            </w:tc>
          </w:tr>
          <w:tr w:rsidR="000C3959" w14:paraId="6B31AD86" w14:textId="77777777" w:rsidTr="009B4A1A">
            <w:tblPrEx>
              <w:tblCellMar>
                <w:bottom w:w="72" w:type="dxa"/>
              </w:tblCellMar>
            </w:tblPrEx>
            <w:trPr>
              <w:trHeight w:val="20"/>
            </w:trPr>
            <w:tc>
              <w:tcPr>
                <w:tcW w:w="333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BD03C4" w14:textId="77777777"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Level of satisfaction of ACEs with the support from the National Governments (Citizen engagement and part of the Griveance Mechanism)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462AE2" w14:textId="77777777" w:rsidR="004E1BEB" w:rsidRPr="00D97597" w:rsidRDefault="004E1BEB" w:rsidP="00E46684">
                <w:pPr>
                  <w:spacing w:before="40"/>
                  <w:rPr>
                    <w:rFonts w:asciiTheme="minorHAnsi" w:hAnsiTheme="minorHAnsi" w:cstheme="minorHAnsi"/>
                    <w:sz w:val="18"/>
                    <w:szCs w:val="18"/>
                  </w:rPr>
                </w:pPr>
              </w:p>
            </w:tc>
            <w:tc>
              <w:tcPr>
                <w:tcW w:w="2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E7C7D0" w14:textId="77777777" w:rsidR="004E1BEB" w:rsidRPr="00D97597" w:rsidRDefault="00B00100"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3.80</w:t>
                </w:r>
              </w:p>
            </w:tc>
            <w:tc>
              <w:tcPr>
                <w:tcW w:w="2808"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E95ABE" w14:textId="77777777" w:rsidR="004E1BEB" w:rsidRPr="00D97597" w:rsidRDefault="00B00100"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3.90</w:t>
                </w:r>
              </w:p>
            </w:tc>
            <w:tc>
              <w:tcPr>
                <w:tcW w:w="291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4AFF52" w14:textId="77777777" w:rsidR="004E1BEB" w:rsidRPr="00D97597" w:rsidRDefault="00B00100" w:rsidP="00E46684">
                <w:pPr>
                  <w:spacing w:before="40"/>
                  <w:rPr>
                    <w:rFonts w:asciiTheme="minorHAnsi" w:hAnsiTheme="minorHAnsi" w:cstheme="minorHAnsi"/>
                    <w:sz w:val="18"/>
                    <w:szCs w:val="18"/>
                  </w:rPr>
                </w:pPr>
                <w:r>
                  <w:rPr>
                    <w:rFonts w:asciiTheme="minorHAnsi" w:hAnsiTheme="minorHAnsi" w:cstheme="minorHAnsi"/>
                    <w:noProof/>
                    <w:sz w:val="18"/>
                    <w:szCs w:val="18"/>
                  </w:rPr>
                  <w:t>4.00</w:t>
                </w:r>
              </w:p>
            </w:tc>
          </w:tr>
        </w:tbl>
        <w:p w14:paraId="6BDAEB7B" w14:textId="77777777" w:rsidR="004E1BEB" w:rsidRDefault="004E1BEB" w:rsidP="00A340E5">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0C3959" w14:paraId="432CD0C3" w14:textId="77777777" w:rsidTr="00CE0EC3">
            <w:trPr>
              <w:trHeight w:val="576"/>
            </w:trPr>
            <w:tc>
              <w:tcPr>
                <w:tcW w:w="14096" w:type="dxa"/>
                <w:shd w:val="clear" w:color="auto" w:fill="F7F7F7"/>
              </w:tcPr>
              <w:p w14:paraId="4888CCFD" w14:textId="77777777" w:rsidR="00A340E5" w:rsidRDefault="00B00100" w:rsidP="00CE0EC3">
                <w:pPr>
                  <w:ind w:right="-418"/>
                  <w:rPr>
                    <w:rFonts w:asciiTheme="minorHAnsi" w:hAnsiTheme="minorHAnsi"/>
                    <w:b/>
                    <w:bCs/>
                    <w:color w:val="7F7F7F" w:themeColor="text1" w:themeTint="80"/>
                    <w:sz w:val="22"/>
                    <w:szCs w:val="22"/>
                  </w:rPr>
                </w:pPr>
                <w:r w:rsidRPr="006E7105">
                  <w:rPr>
                    <w:rFonts w:asciiTheme="minorHAnsi" w:hAnsiTheme="minorHAnsi"/>
                    <w:b/>
                    <w:bCs/>
                    <w:color w:val="F7F7F7"/>
                    <w:sz w:val="22"/>
                    <w:szCs w:val="22"/>
                  </w:rPr>
                  <w:t>IO Table SPACE</w:t>
                </w:r>
              </w:p>
            </w:tc>
          </w:tr>
        </w:tbl>
        <w:p w14:paraId="2951B44A" w14:textId="77777777" w:rsidR="00A340E5" w:rsidRDefault="00A340E5" w:rsidP="00A340E5">
          <w:pPr>
            <w:shd w:val="clear" w:color="auto" w:fill="F7F7F7"/>
            <w:spacing w:line="14" w:lineRule="exact"/>
            <w:ind w:left="-691" w:right="-418"/>
            <w:rPr>
              <w:rFonts w:asciiTheme="minorHAnsi" w:hAnsiTheme="minorHAnsi"/>
              <w:b/>
              <w:bCs/>
              <w:color w:val="7F7F7F" w:themeColor="text1" w:themeTint="80"/>
              <w:sz w:val="22"/>
              <w:szCs w:val="22"/>
            </w:rPr>
          </w:pPr>
        </w:p>
        <w:p w14:paraId="3E7E407E"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0C3959" w14:paraId="3054F8A6" w14:textId="77777777" w:rsidTr="00CE0EC3">
            <w:trPr>
              <w:trHeight w:val="576"/>
            </w:trPr>
            <w:tc>
              <w:tcPr>
                <w:tcW w:w="14096" w:type="dxa"/>
                <w:shd w:val="clear" w:color="auto" w:fill="F7F7F7"/>
              </w:tcPr>
              <w:p w14:paraId="0C7CF1CD" w14:textId="77777777" w:rsidR="00756789" w:rsidRDefault="00B00100" w:rsidP="00CE0EC3">
                <w:pPr>
                  <w:ind w:right="-418"/>
                  <w:rPr>
                    <w:rFonts w:asciiTheme="minorHAnsi" w:hAnsiTheme="minorHAnsi"/>
                    <w:b/>
                    <w:bCs/>
                    <w:color w:val="7F7F7F" w:themeColor="text1" w:themeTint="80"/>
                    <w:sz w:val="22"/>
                    <w:szCs w:val="22"/>
                  </w:rPr>
                </w:pPr>
                <w:r w:rsidRPr="00E3070C">
                  <w:rPr>
                    <w:rFonts w:asciiTheme="minorHAnsi" w:hAnsiTheme="minorHAnsi"/>
                    <w:b/>
                    <w:bCs/>
                    <w:color w:val="F7F7F7"/>
                    <w:sz w:val="22"/>
                    <w:szCs w:val="22"/>
                  </w:rPr>
                  <w:t>UL Table SPACE</w:t>
                </w:r>
              </w:p>
            </w:tc>
          </w:tr>
        </w:tbl>
        <w:p w14:paraId="46D3D477"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0C3959" w14:paraId="316BAF89"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478AC31B" w14:textId="77777777" w:rsidR="004E1BEB" w:rsidRDefault="00B00100"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p>
            </w:tc>
          </w:tr>
          <w:tr w:rsidR="000C3959" w14:paraId="4046AB7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39F49D" w14:textId="77777777" w:rsidR="004E1BEB" w:rsidRPr="00B30CEC" w:rsidRDefault="00B00100"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69D658"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50C75B"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FCE2A6"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8FC60F"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DF96E"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0C3959" w14:paraId="45362929"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2D6233"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students (National and Regional) enrolled in specialized master’s, PhD and short-term professional courses/programs in the ACEs (Number)</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1D3A88"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new number of African students (both national and regional students) and those that are enrolled in (i) master’s programs (ii) PhD programs who have successfully completed at least one semester/term at the ACEs and (iii) professional short courses. The term “Regional </w:t>
                </w:r>
                <w:r>
                  <w:rPr>
                    <w:rFonts w:ascii="Calibri" w:eastAsia="Times New Roman" w:hAnsi="Calibri"/>
                    <w:noProof/>
                    <w:color w:val="404040"/>
                    <w:sz w:val="22"/>
                    <w:szCs w:val="22"/>
                  </w:rPr>
                  <w:lastRenderedPageBreak/>
                  <w:t>students” within this framework refers to students studying at the ACEs from SSA countries outside of their ACE host country. ACEs can only count each student once during their entire enrollment at the center. PhD and master’s students cannot be counted as professional short-term students even if they enroll in these courses. Exchange students will count as long as they are enrolled full time for at least a semester. This indicator as shown in subsequent indicators below will also be disaggregated by gender.</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5B64EC"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3B3B92B1"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76BC9"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ACE enrolment records with information such as names, contact information, program of study, year in program, nationality, </w:t>
                </w:r>
                <w:r>
                  <w:rPr>
                    <w:rFonts w:ascii="Calibri" w:eastAsia="Times New Roman" w:hAnsi="Calibri"/>
                    <w:noProof/>
                    <w:color w:val="404040"/>
                    <w:sz w:val="22"/>
                    <w:szCs w:val="22"/>
                  </w:rPr>
                  <w:lastRenderedPageBreak/>
                  <w:t>etc.</w:t>
                </w:r>
              </w:p>
              <w:p w14:paraId="3B6EF5E8"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DC90BC"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Aggregation of number of students obtained from program/course registrations and submitted to the RFU through the Second ACE Impact project online data submission portal.</w:t>
                </w:r>
              </w:p>
              <w:p w14:paraId="6AA952C3"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D8F434"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2A1D6847"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40E4153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D5DAAB"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PhD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32A49E"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students who are enrolled in PhD programs and who have successfully completed at least one semester/term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E21AB7"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5627A5BC"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0E1389"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19103A60"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9C32EB"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regional PhD students obtained from program/course registrations and submitted to the RFU through the Second ACE Impact project online data submission portal</w:t>
                </w:r>
              </w:p>
              <w:p w14:paraId="695A2421"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29001F"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39F681F3"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6F0CE4F6"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0E4223"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master's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0BEED1"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students who are enrolled in master’s programs and who have successfully completed at least one semester/term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D580F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48C0A686"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C12EBC"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0B2AA3CA"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DA266A"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master’s students obtained from program/course registrations and submitted to the RFU through the Second ACE Impact project online data submission portal</w:t>
                </w:r>
              </w:p>
              <w:p w14:paraId="3500ACE4"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F56E62"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63989159"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0BD9911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8A534"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Regional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A6B533"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regional students who are enrolled in the specialized programs and who have successfully completed at least one semester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82424A"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6035E5C6"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BCD56B"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7D542057"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69ABD5"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regional students obtained from program registrations and submitted to the RFU through the Second ACE Impact project online data submission portal.</w:t>
                </w:r>
              </w:p>
              <w:p w14:paraId="33F1D888"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0C9E30"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5F1D8DE6"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6D9B0AB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9EEADB"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female students enrolled in specialized programs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A49771"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female students who are enrolled in specialized programs and who have successfully completed at least one semester/term at the ACEs (see parent indicator above).</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52B99E"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18A7CE00"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96832E"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413369DB"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70D0FF"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female PhD students obtained from program/course registrations and submitted to the RFU through the Second ACE Impact project online data submission portal.</w:t>
                </w:r>
              </w:p>
              <w:p w14:paraId="3F0EA9B1"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90CA3C"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3DAB3EF5"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293AFE6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F68317"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lastRenderedPageBreak/>
                  <w:t>Number students enrolled in professional short courses at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0FF22E"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new students who enroll in and complete professional short courses offered at the ACEs.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CAAD0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575D7322"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16CE06"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 enrolment records</w:t>
                </w:r>
              </w:p>
              <w:p w14:paraId="00EA9187"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DD973F"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Student course registrations and signatures submitted to the RFU through the Second ACE Impact project online data submission portal.</w:t>
                </w:r>
              </w:p>
              <w:p w14:paraId="6D00365C"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3250FF"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715A1DED"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0E28BC9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3E0E61"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ACE programs and ACE host institutions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BA8718"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master’s and PhD programs offered by the ACEs as well as the quality of the overall ACE host institution. The data collected under this indicator should indicate the specific program/level of the international accreditation and the accreditation agency used. The accreditation agency selected by the ACEs should be internationally recognized in its capacity and should be an agency satisfactory to the RFU and the World Bank. The accreditation agency will use its own standard methodology for assessing the ACEs and ACE host institutions.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DD4DC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6CFCBB22"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A3E5E9"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48B7FE7A"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AA5833"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03067A1E"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877F5B"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2B2D9137"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247D4AC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D74C30"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ACE programs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929FC9"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master’s and PhD programs accredited internationally by an agency satisfactory to the RFU and the World Bank. (see parent indicator above for more details).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08AD66"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70F0F18D"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6FA3B5"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63E84FC3"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48D317"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1ED6FEBC"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F742EC"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00CF1C4C"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5049CD1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AB8757" w14:textId="77777777" w:rsidR="00877167" w:rsidRDefault="00B00100" w:rsidP="00783D39">
                <w:pPr>
                  <w:shd w:val="clear" w:color="auto" w:fill="F7F7F7"/>
                  <w:ind w:left="300" w:right="-86"/>
                  <w:rPr>
                    <w:rFonts w:ascii="Calibri" w:eastAsia="Times New Roman" w:hAnsi="Calibri"/>
                    <w:noProof/>
                    <w:color w:val="auto"/>
                    <w:sz w:val="22"/>
                    <w:szCs w:val="22"/>
                  </w:rPr>
                </w:pPr>
                <w:r>
                  <w:rPr>
                    <w:rFonts w:ascii="Calibri" w:eastAsia="Calibri" w:hAnsi="Calibri" w:cs="Calibri"/>
                    <w:noProof/>
                    <w:sz w:val="22"/>
                    <w:szCs w:val="22"/>
                  </w:rPr>
                  <w:t>Number of ACE host Institutions that obtain international accreditation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741D63"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academic programs through international accreditation by an agency satisfactory to the RFU and the World Bank. (see parent indicator above for more details).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983C1B"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184682D2"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156FCE"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256F108C"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DA951D"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ACEs submit certificates and reports to the online data submission portal as part of progress reporting.</w:t>
                </w:r>
              </w:p>
              <w:p w14:paraId="4C975399"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6EFB28"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10A620ED"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2671785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4D862E"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ACE host institutions with a comprehensive strategic plan for regionalization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216D99"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provides the percentage of ACE host institutions that have put in place new or have revamped their strategic plans for regionalization in an effort to attract more regional students and partners to their ACE center. The strategic plan should include elements to strengthen the sustainability </w:t>
                </w:r>
                <w:r>
                  <w:rPr>
                    <w:rFonts w:ascii="Calibri" w:eastAsia="Times New Roman" w:hAnsi="Calibri"/>
                    <w:noProof/>
                    <w:color w:val="404040"/>
                    <w:sz w:val="22"/>
                    <w:szCs w:val="22"/>
                  </w:rPr>
                  <w:lastRenderedPageBreak/>
                  <w:t>of the centers and to also ensure there is support to core activities of the institutions beyond the lifetime of the project,</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66D15"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(for each participating ACE host institution)</w:t>
                </w:r>
              </w:p>
              <w:p w14:paraId="4643AB0D"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05E532"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Evaluation reports indicating the approval of the regional strategic plan submitted by the individual participating ACE host institutions.</w:t>
                </w:r>
              </w:p>
              <w:p w14:paraId="56366FFA"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72A83C"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the number of approved plans submitted in the Second ACE Impact online data submission portal</w:t>
                </w:r>
              </w:p>
              <w:p w14:paraId="26ACB42E"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890CE6"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ACE host institutions and RFU</w:t>
                </w:r>
              </w:p>
              <w:p w14:paraId="06C09DC6"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79D1B7E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373E8"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ACEs that have had substantial development impact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2693D"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development impact that the ACEs are having both nationally and regionally in terms of the extent of their contribution to their sector/industries. The indicator assesses the quality of the postgraduate graduates and the applied research of the ACEs. Impact reported will be on a 1-5 scale with evaluation criteria including: number of student internships; number of graduates hired in the sector; number of short courses delivered in response to sectoral stakeholder requests; evaluation of Sectoral Advisory Board annual reports and interviews with sectoral stakeholders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2C40D2"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Twice (at year 3 (year 2 for renewals) and year 4)</w:t>
                </w:r>
              </w:p>
              <w:p w14:paraId="28BF9547"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CE883A"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Evaluation report per ACE, developed from assessing the ACEs progress reports; interviews and surveys of relevant stakeholders</w:t>
                </w:r>
              </w:p>
              <w:p w14:paraId="064D0532"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CD06C3"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ACEs with evaluation scores greater than 3.5 (on the 1-5 scale)</w:t>
                </w:r>
              </w:p>
              <w:p w14:paraId="7B893822"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3B73A0"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35CFA3F5"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r w:rsidR="000C3959" w14:paraId="45891E14"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8836AF" w14:textId="77777777"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students and faculty participating in internships in relevant institutions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A6D2D4" w14:textId="77777777" w:rsidR="00E25985"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number of students and faculty participating in </w:t>
                </w:r>
                <w:r>
                  <w:rPr>
                    <w:rFonts w:ascii="Calibri" w:eastAsia="Times New Roman" w:hAnsi="Calibri"/>
                    <w:noProof/>
                    <w:color w:val="404040"/>
                    <w:sz w:val="22"/>
                    <w:szCs w:val="22"/>
                  </w:rPr>
                  <w:lastRenderedPageBreak/>
                  <w:t>internships in relevant institutions. This data will be disaggregated into: (i) students versus faculty; (ii) gender and (iii) thematic groupings of fields of study/research. Each ACE will establish a tracking mechanism and database to record information on all of its students and faculty that participate in internships.</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30794"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0D767649" w14:textId="77777777"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A486DE"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reports and </w:t>
                </w:r>
                <w:r>
                  <w:rPr>
                    <w:rFonts w:ascii="Calibri" w:eastAsia="Times New Roman" w:hAnsi="Calibri"/>
                    <w:noProof/>
                    <w:color w:val="404040"/>
                    <w:sz w:val="22"/>
                    <w:szCs w:val="22"/>
                  </w:rPr>
                  <w:lastRenderedPageBreak/>
                  <w:t>results of surveys of students and faculty participating in these exchanges</w:t>
                </w:r>
              </w:p>
              <w:p w14:paraId="06D6BCE8" w14:textId="77777777"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19C3FB"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numbers (of faculty and students) following </w:t>
                </w:r>
                <w:r>
                  <w:rPr>
                    <w:rFonts w:ascii="Calibri" w:eastAsia="Times New Roman" w:hAnsi="Calibri"/>
                    <w:noProof/>
                    <w:color w:val="404040"/>
                    <w:sz w:val="22"/>
                    <w:szCs w:val="22"/>
                  </w:rPr>
                  <w:lastRenderedPageBreak/>
                  <w:t>consolidation of data from ACEs progress reports and the results of the survey of students and faculty participating in these exchanges</w:t>
                </w:r>
              </w:p>
              <w:p w14:paraId="32805AC3" w14:textId="77777777"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26B7F2"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456B6EDE" w14:textId="77777777" w:rsidR="00E25985" w:rsidRPr="00783D39" w:rsidRDefault="00E25985" w:rsidP="002C3275">
                <w:pPr>
                  <w:keepNext/>
                  <w:shd w:val="clear" w:color="auto" w:fill="F7F7F7"/>
                  <w:ind w:right="-29"/>
                  <w:rPr>
                    <w:rFonts w:ascii="Calibri" w:eastAsia="Times New Roman" w:hAnsi="Calibri"/>
                    <w:color w:val="auto"/>
                    <w:sz w:val="22"/>
                    <w:szCs w:val="22"/>
                  </w:rPr>
                </w:pPr>
              </w:p>
            </w:tc>
          </w:tr>
        </w:tbl>
        <w:p w14:paraId="3853CBFE"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0C3959" w14:paraId="1720AD45" w14:textId="77777777" w:rsidTr="00CE0EC3">
            <w:trPr>
              <w:trHeight w:val="576"/>
            </w:trPr>
            <w:tc>
              <w:tcPr>
                <w:tcW w:w="14096" w:type="dxa"/>
                <w:shd w:val="clear" w:color="auto" w:fill="F7F7F7"/>
              </w:tcPr>
              <w:p w14:paraId="01C5AA3E" w14:textId="77777777" w:rsidR="00756789" w:rsidRDefault="00B00100" w:rsidP="00CE0EC3">
                <w:pPr>
                  <w:ind w:right="-418"/>
                  <w:rPr>
                    <w:rFonts w:asciiTheme="minorHAnsi" w:hAnsiTheme="minorHAnsi"/>
                    <w:b/>
                    <w:bCs/>
                    <w:color w:val="7F7F7F" w:themeColor="text1" w:themeTint="80"/>
                    <w:sz w:val="22"/>
                    <w:szCs w:val="22"/>
                  </w:rPr>
                </w:pPr>
                <w:r w:rsidRPr="002F66CF">
                  <w:rPr>
                    <w:rFonts w:asciiTheme="minorHAnsi" w:hAnsiTheme="minorHAnsi"/>
                    <w:b/>
                    <w:bCs/>
                    <w:color w:val="F7F7F7"/>
                    <w:sz w:val="22"/>
                    <w:szCs w:val="22"/>
                  </w:rPr>
                  <w:t>ME PDO Table SPACE</w:t>
                </w:r>
              </w:p>
            </w:tc>
          </w:tr>
        </w:tbl>
        <w:p w14:paraId="5BA3F201"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0C3959" w14:paraId="6ABD2134" w14:textId="77777777"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3B87FB36" w14:textId="77777777" w:rsidR="004E1BEB" w:rsidRDefault="00B00100"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p>
            </w:tc>
          </w:tr>
          <w:tr w:rsidR="000C3959" w14:paraId="65358A9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AFB8E1" w14:textId="77777777" w:rsidR="004E1BEB" w:rsidRPr="00B30CEC" w:rsidRDefault="00B00100"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548CA6"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A467FE"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362AC7"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13F447"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8F156C" w14:textId="77777777" w:rsidR="004E1BEB" w:rsidRPr="00B30CEC" w:rsidRDefault="00B00100"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0C3959" w14:paraId="38EE37D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1322E4"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female center directors or deputy directors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2E62B7"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measures the number of females leading as director or deputy director an ACE Impact center.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8DD0CF"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Once (beginning of project)</w:t>
                </w:r>
              </w:p>
              <w:p w14:paraId="0C90763C"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1497E4"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Profile reports from ACEs highlighting center team composition and submitted to ACE Impact online data portal.</w:t>
                </w:r>
              </w:p>
              <w:p w14:paraId="3A13D33B"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9B4A43"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centers with female center leaders indicated in the profile reports in the ACE Impact online data portal.</w:t>
                </w:r>
              </w:p>
              <w:p w14:paraId="517CBF49"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C33048"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10200F0E"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39A61B6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E1364F"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 xml:space="preserve">Number of ACE related research publications in internationally recognized </w:t>
                </w:r>
                <w:r>
                  <w:rPr>
                    <w:rFonts w:ascii="Calibri" w:eastAsia="Calibri" w:hAnsi="Calibri" w:cs="Calibri"/>
                    <w:noProof/>
                    <w:sz w:val="22"/>
                    <w:szCs w:val="22"/>
                  </w:rPr>
                  <w:lastRenderedPageBreak/>
                  <w:t>peer reviewed journals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ED2A33"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This indicator tracks the number of research </w:t>
                </w:r>
                <w:r>
                  <w:rPr>
                    <w:rFonts w:ascii="Calibri" w:eastAsia="Times New Roman" w:hAnsi="Calibri"/>
                    <w:noProof/>
                    <w:color w:val="404040"/>
                    <w:sz w:val="22"/>
                    <w:szCs w:val="22"/>
                  </w:rPr>
                  <w:lastRenderedPageBreak/>
                  <w:t>publications by ACE students and faculty and also their research collaboration with regional and international partners. As part of the ACE progress reporting, ACEs will submit to the ACE Impact online data portal the list of publications (title of article, name of journal and weblinks to the article). The list from each center will be validated by external experts. Each qualifying publication should have at least an ACE student or staff as a co-author and be related to the area of specialization of the ACE. The World Bank and the RFU will determine a list of journals that are acceptable.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78B487"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05B27C42"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55A1F5"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w:t>
                </w:r>
                <w:r>
                  <w:rPr>
                    <w:rFonts w:ascii="Calibri" w:eastAsia="Times New Roman" w:hAnsi="Calibri"/>
                    <w:noProof/>
                    <w:color w:val="404040"/>
                    <w:sz w:val="22"/>
                    <w:szCs w:val="22"/>
                  </w:rPr>
                  <w:lastRenderedPageBreak/>
                  <w:t>reports submitted to the ACE Impact online data portal</w:t>
                </w:r>
              </w:p>
              <w:p w14:paraId="0F32ED67"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CA4124"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qualifying </w:t>
                </w:r>
                <w:r>
                  <w:rPr>
                    <w:rFonts w:ascii="Calibri" w:eastAsia="Times New Roman" w:hAnsi="Calibri"/>
                    <w:noProof/>
                    <w:color w:val="404040"/>
                    <w:sz w:val="22"/>
                    <w:szCs w:val="22"/>
                  </w:rPr>
                  <w:lastRenderedPageBreak/>
                  <w:t>publications from the ACE Impact online data portal</w:t>
                </w:r>
              </w:p>
              <w:p w14:paraId="7D31C8CF"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F19905"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44883D57"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5546C70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772939"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 nationally or regionally accredited programs (master's and PhDs)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753683"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quality of programs by considering the number of ACE programs that have been newly accredited either nationally or regionally. The data collected under this indicator will indicate the </w:t>
                </w:r>
                <w:r>
                  <w:rPr>
                    <w:rFonts w:ascii="Calibri" w:eastAsia="Times New Roman" w:hAnsi="Calibri"/>
                    <w:noProof/>
                    <w:color w:val="404040"/>
                    <w:sz w:val="22"/>
                    <w:szCs w:val="22"/>
                  </w:rPr>
                  <w:lastRenderedPageBreak/>
                  <w:t>specific program/level of the national/regional accreditation and the accreditation agency used. The accreditation agency selected by the ACEs should be recognized in its capacity and need to be an agency satisfactory to the RFU and the World Bank. The accreditation agency will use its own standard methodology for assessing the ACEs. In the case where no national accreditation agency exists, arrangements can be made for existing agencies in neighboring countries to carry out the accreditation process.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B9326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24CE9792"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9977D5"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ACEs' and their host institutions’ records of certificates and reports issued by the accreditation agencies</w:t>
                </w:r>
              </w:p>
              <w:p w14:paraId="2E96FE45"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A57960"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Aggregation of number of approved certificates and reports submitted to the online data submission portal</w:t>
                </w:r>
              </w:p>
              <w:p w14:paraId="742E4FAF"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B3D780"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215F04C5"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3DFF403C"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4EC3CB"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Amount in externally generated revenue by the ACEs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BA1192"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amount underpinning this indicator includes externally generated revenue deposited into the ACE’s account from tuition fees, other student fees, joint research, research consultancies, fund raising and donations, or other external sources. These funds are for investments and operations of the ACE. It </w:t>
                </w:r>
                <w:r>
                  <w:rPr>
                    <w:rFonts w:ascii="Calibri" w:eastAsia="Times New Roman" w:hAnsi="Calibri"/>
                    <w:noProof/>
                    <w:color w:val="404040"/>
                    <w:sz w:val="22"/>
                    <w:szCs w:val="22"/>
                  </w:rPr>
                  <w:lastRenderedPageBreak/>
                  <w:t>excludes all non-competitive government education and research subventions, including research grants (sale of consultancy work to the government is accepted as externally generated revenue). Funds from other governments (including donor assistance), other donors and development partners qualify only if the selection processes are competitive.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40EB2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Biannually</w:t>
                </w:r>
              </w:p>
              <w:p w14:paraId="598AEEB8"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F4ECB9"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Results of the review of ACEs' Progress Report; email/letter evidence of award; financial statements.</w:t>
                </w:r>
              </w:p>
              <w:p w14:paraId="6C2A53E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E228A0"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amounts of eligible externally generated revenue based on the results of the review of the data and evidence submitted by the ACEs.</w:t>
                </w:r>
              </w:p>
              <w:p w14:paraId="353D5C44"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0963E3"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1949C45F"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163DAD45"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5021D5"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master’s and PhD graduates employed within 6 months of graduation</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2E884D"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percent of graduates from ACEs master’s and PhD programs that are able to find jobs in a related field within six months following their graduation. A graduate tracer study tool will be used to obtain this information and the results entered into the online data portal. This tracer study will be administered by the PASET Benchmarking initiative host institution.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2FB3FC"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5E18A55C"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8C99F4"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ACEs' progress reports and graduate tracer study results submitted to the ACE Impact online database portal.</w:t>
                </w:r>
              </w:p>
              <w:p w14:paraId="16FB1630"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8EDC52"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graduates per cohort and number of graduates finding jobs in their fields within six months of graduating by consolidating results from the progress reports and the tracer study.</w:t>
                </w:r>
              </w:p>
              <w:p w14:paraId="38A7081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ED1238"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73E0E853"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23008C7B"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2CDFF2"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host institutions of ACEs participating in the regional benchmarking initiative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35F"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indicator measures ACE host institutions commitment to investing in </w:t>
                </w:r>
                <w:r>
                  <w:rPr>
                    <w:rFonts w:ascii="Calibri" w:eastAsia="Times New Roman" w:hAnsi="Calibri"/>
                    <w:noProof/>
                    <w:color w:val="404040"/>
                    <w:sz w:val="22"/>
                    <w:szCs w:val="22"/>
                  </w:rPr>
                  <w:lastRenderedPageBreak/>
                  <w:t>data useful for strategic planning and also for assessing the performance of the university in relation to other similar universities. The regional benchmarking exercise (which is under PASET) will be administered by the regional host institution for the benchmarking initiative.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91F942"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every two years</w:t>
                </w:r>
              </w:p>
              <w:p w14:paraId="0D143BA9"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417E56"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ACEs' progress report and </w:t>
                </w:r>
                <w:r>
                  <w:rPr>
                    <w:rFonts w:ascii="Calibri" w:eastAsia="Times New Roman" w:hAnsi="Calibri"/>
                    <w:noProof/>
                    <w:color w:val="404040"/>
                    <w:sz w:val="22"/>
                    <w:szCs w:val="22"/>
                  </w:rPr>
                  <w:lastRenderedPageBreak/>
                  <w:t>list of qualifying ACE host institutions submitted by the benchmarking host institution.</w:t>
                </w:r>
              </w:p>
              <w:p w14:paraId="57988F12"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B5799D"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ACE host institutions that meet the criteria </w:t>
                </w:r>
                <w:r>
                  <w:rPr>
                    <w:rFonts w:ascii="Calibri" w:eastAsia="Times New Roman" w:hAnsi="Calibri"/>
                    <w:noProof/>
                    <w:color w:val="404040"/>
                    <w:sz w:val="22"/>
                    <w:szCs w:val="22"/>
                  </w:rPr>
                  <w:lastRenderedPageBreak/>
                  <w:t>set for this indicator based on the progress reports and list from the regional benchmarking host institution.</w:t>
                </w:r>
              </w:p>
              <w:p w14:paraId="570727DE"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915374"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ACEs and RFU</w:t>
                </w:r>
              </w:p>
              <w:p w14:paraId="0A3B60E3"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068E6F91"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19FE02"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 master’s and undergraduate students enrolled in programs at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327CD3"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students who are enrolled in (i) master's and (ii) undergraduate degree programs at the Emerging centers. Emerging centers can only count each student once during their entire enrollment at the center. PhD students are not the critical focus for these Emerging centers as these centers need to build a quality pipeline of students. Exchange students will count as long as they are enrolled full time for at least a semester. This indicator will be disaggregated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EB8C4A"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09719A13"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307E4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Emerging Centers' enrolment records</w:t>
                </w:r>
              </w:p>
              <w:p w14:paraId="6D6A4109"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4DFA25"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master’s and undergraduate students obtained from program/course registrations and submitted to the RFU through the ACE Impact project online data submission portal.</w:t>
                </w:r>
              </w:p>
              <w:p w14:paraId="6A822B4A"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C3AB86"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5397EDE6"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5C160222"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5ACD71"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new nationally or regionally accredited programs (master’s and undergraduate) at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8831A2"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programs by considering the number of emerging center  programs that have been newly accredited either nationally or regionally. The data collected under this indicator will indicate the specific program/level of the national/regional accreditation and the accreditation agency used. The accreditation agency selected by the emerging centers should be recognized in its capacity and needs to be an agency satisfactory to the RFU and the World Bank. The accreditation agency will use its own standard methodology for assessing the emerging center. In the case where no national accreditation agency exists, arrangements can be made for existing agencies in neighboring countries to carry out the accreditation process.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E4D59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07E1DA9F"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8CA90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Emerging centers’ records of certificates and reports issued by the accreditation agencies</w:t>
                </w:r>
              </w:p>
              <w:p w14:paraId="753E46C3"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2DAE88"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of approved certificates and reports submitted to the online data submission portal</w:t>
                </w:r>
              </w:p>
              <w:p w14:paraId="008D95D1"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B91086"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20BBB4DB"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3493C5F0"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5CC49E"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Number of faculty and students participating in academic exchanges within the region from and to the emerging centers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EFBB50"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number of faculty and students from the emerging centers who are hosted by ACEs or when ACEs send their faculty/students to the emerging centers in the region for a “period” of at least two weeks (for teaching or research collaboration). Emerging centers will submit in the online data portal the name and contact details of faculty and students that participate in these exchanges, period of exchange, country, location and focal points of the exchange in the ACE institutions.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F1C4B5"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491402A9"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B6DBFF"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Emerging centers’ progress reports and survey results of students and faculty submitted to the ACE Impact</w:t>
                </w:r>
              </w:p>
              <w:p w14:paraId="45228DDE"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A95B62"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numbers (of faculty and students) following consolidation of data from Emerging centers’ progress reports and the results of the survey of students and faculty participating in these exchanges.</w:t>
                </w:r>
              </w:p>
              <w:p w14:paraId="5123A15B"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F20955"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065CE397"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7D58C5A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D56DD"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Share of undergraduate and master’s graduates of emerging centers employed within 6 months of graduating</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9A2B7D"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This indicator measures the share of graduates from emerging centers’ undergraduate and master’s programs that are able to find jobs in a related field within six months after their graduation. A graduate tracer study tool will be used to obtain this information and the results </w:t>
                </w:r>
                <w:r>
                  <w:rPr>
                    <w:rFonts w:ascii="Calibri" w:eastAsia="Times New Roman" w:hAnsi="Calibri"/>
                    <w:noProof/>
                    <w:color w:val="404040"/>
                    <w:sz w:val="22"/>
                    <w:szCs w:val="22"/>
                  </w:rPr>
                  <w:lastRenderedPageBreak/>
                  <w:t>entered into the online data portal</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830DA8"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Annually</w:t>
                </w:r>
              </w:p>
              <w:p w14:paraId="33AFEF87"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84CD8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Emerging centers' progress report and graduate tracer study results submitted to the ACE Impact online </w:t>
                </w:r>
                <w:r>
                  <w:rPr>
                    <w:rFonts w:ascii="Calibri" w:eastAsia="Times New Roman" w:hAnsi="Calibri"/>
                    <w:noProof/>
                    <w:color w:val="404040"/>
                    <w:sz w:val="22"/>
                    <w:szCs w:val="22"/>
                  </w:rPr>
                  <w:lastRenderedPageBreak/>
                  <w:t>database portal</w:t>
                </w:r>
              </w:p>
              <w:p w14:paraId="24CCC84C"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2CDDF4"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Aggregation of number of graduates per cohort and number of graduates finding jobs in their fields within six months of graduating by consolidating results from the progress reports and the tracer study</w:t>
                </w:r>
              </w:p>
              <w:p w14:paraId="574BCB61"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C63E1B"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Emerging centers and RFU</w:t>
                </w:r>
              </w:p>
              <w:p w14:paraId="7D493A91"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40BA5A4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A4B1E6"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well-functioning regional networks established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49B0FA"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share of ACE networks that are functional. An independent expert committee will evaluate the success of regional activities for which the ACEs are taking the lead, including research collaborations, technical conferences, summer schools, faculty and student exchanges, faculty training, curriculum support development to weaker institutions within the network, influence on relevant regional sectoral institutions, etc.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173A4A"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Twice (at mid-term and beginning of year 5)</w:t>
                </w:r>
              </w:p>
              <w:p w14:paraId="4A24100F"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8EDDB"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Expert evaluation report per network (incorporates progress reports of the centers (ACEs and emerging), surveys and interviews of members (faculty, students, sector members) of the specific ACE networks</w:t>
                </w:r>
              </w:p>
              <w:p w14:paraId="7419E5A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8C954F"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well-functioning regional networks based on results in expert evaluation reports</w:t>
                </w:r>
              </w:p>
              <w:p w14:paraId="4C48B69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09B5D"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ACEs and RFU</w:t>
                </w:r>
              </w:p>
              <w:p w14:paraId="72A50B95"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14FD881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270986"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host institutions of emerging centers participating in the regional benchmarking initiative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A53372"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The indicator measures the emerging centers’ host institutions’ commitment to investing in data useful for strategic planning and also for assessing the performance of the university in relation to </w:t>
                </w:r>
                <w:r>
                  <w:rPr>
                    <w:rFonts w:ascii="Calibri" w:eastAsia="Times New Roman" w:hAnsi="Calibri"/>
                    <w:noProof/>
                    <w:color w:val="404040"/>
                    <w:sz w:val="22"/>
                    <w:szCs w:val="22"/>
                  </w:rPr>
                  <w:lastRenderedPageBreak/>
                  <w:t>other similar universities. Universities must submit complete data on at least 85% of the indicators  and also submit their intervention plan to improve their performance. The benchmarking initiative (which is under PASET) will be administered by the regional benchmarking host institution.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3671F"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Once every two years</w:t>
                </w:r>
              </w:p>
              <w:p w14:paraId="6587C768"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9D4FF"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 xml:space="preserve">Emerging centers' progress report and list of qualifying Emerging center host </w:t>
                </w:r>
                <w:r>
                  <w:rPr>
                    <w:rFonts w:ascii="Calibri" w:eastAsia="Times New Roman" w:hAnsi="Calibri"/>
                    <w:noProof/>
                    <w:color w:val="404040"/>
                    <w:sz w:val="22"/>
                    <w:szCs w:val="22"/>
                  </w:rPr>
                  <w:lastRenderedPageBreak/>
                  <w:t>institutions submitted by the benchmarking host institution.</w:t>
                </w:r>
              </w:p>
              <w:p w14:paraId="1F6D09E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22103A"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Aggregation of number of emerging centers’ host institutions that meet the criteria set for this indicator and based on the progress reports and list from the regional benchmarking </w:t>
                </w:r>
                <w:r>
                  <w:rPr>
                    <w:rFonts w:ascii="Calibri" w:eastAsia="Times New Roman" w:hAnsi="Calibri"/>
                    <w:noProof/>
                    <w:color w:val="404040"/>
                    <w:sz w:val="22"/>
                    <w:szCs w:val="22"/>
                  </w:rPr>
                  <w:lastRenderedPageBreak/>
                  <w:t>host institution</w:t>
                </w:r>
              </w:p>
              <w:p w14:paraId="76D56014"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D3C564"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Emerging centers and RFU</w:t>
                </w:r>
              </w:p>
              <w:p w14:paraId="41487D59"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5435CE1D"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5A9C24"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newly enrolled RSIF PhD students supported through the ACE Impact governments' contributions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24FD59"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number of RSIF students that are being sponsored with a PhD scholarship through the contributions of the ACE Impact governments. This includes only scholarship funds that were transferred through the ACE Impact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182B3B"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403F3F7D"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737C12"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RSIF project ISRs and reports from icipe (the RFU for the RSIF project)</w:t>
                </w:r>
              </w:p>
              <w:p w14:paraId="4A6B9A53"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0C4F8D"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Aggregation of number RSIF students that are being sponsored with a PhD scholarship through the contributions of the ACE Impact governments</w:t>
                </w:r>
              </w:p>
              <w:p w14:paraId="7C548F3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0622C4"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icipe and RFU</w:t>
                </w:r>
              </w:p>
              <w:p w14:paraId="2D709CA2"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0A2B44F7"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311184"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Number of Project Beneficiaries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9CCC6"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Sum of number of ACE students, ACE faculty and technical staff, private sector and governmental partners.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B176E9"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0A2B9E37"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616817"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Administration data</w:t>
                </w:r>
              </w:p>
              <w:p w14:paraId="21E31878"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2E6C77"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Reporting from ACEs and governments.</w:t>
                </w:r>
              </w:p>
              <w:p w14:paraId="3003E5E7"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978C23"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70E7DD8C"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318A52AE"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016A02"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the Second ACE Impact students (Citizen Engagement indicator and part of Grievance Redress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4CA400"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Average satisfaction level of ACE students on a scale from 0 to 5 surveying main aspect of education provision, including teaching </w:t>
                </w:r>
                <w:r>
                  <w:rPr>
                    <w:rFonts w:ascii="Calibri" w:eastAsia="Times New Roman" w:hAnsi="Calibri"/>
                    <w:noProof/>
                    <w:color w:val="404040"/>
                    <w:sz w:val="22"/>
                    <w:szCs w:val="22"/>
                  </w:rPr>
                  <w:lastRenderedPageBreak/>
                  <w:t>quality, facilities, and management of the studies.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3C3C3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Annual</w:t>
                </w:r>
              </w:p>
              <w:p w14:paraId="32DFB864"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B1B210"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Student survey.</w:t>
                </w:r>
              </w:p>
              <w:p w14:paraId="7B08F291"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4E8DF4"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Results of the student element of the ACE Impact stakeholders’ satisfaction on-line survey.</w:t>
                </w:r>
              </w:p>
              <w:p w14:paraId="5DA8850F"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056BDD"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RFU</w:t>
                </w:r>
              </w:p>
              <w:p w14:paraId="5C07C7D6"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7D1E8698"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2B34E"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the ACEs and Steering Committee on the support given by the RFU (Citizen Engagement indicator and part of the Grievance Redress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F585DC"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This indicator measures the quality of the services rendered by the RFU.</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1D308D"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Annually</w:t>
                </w:r>
              </w:p>
              <w:p w14:paraId="78DC4CCA"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7ACABC"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Results of ACE Impact stakeholders’ satisfaction on-line survey</w:t>
                </w:r>
              </w:p>
              <w:p w14:paraId="1FC050C3"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E700BD"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Obtain performance information of the RFU from the annual ACE Impact stakeholders satisfaction survey.</w:t>
                </w:r>
              </w:p>
              <w:p w14:paraId="4C141978"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21DD05"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4028ED25"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r w:rsidR="000C3959" w14:paraId="51707A9A" w14:textId="77777777"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1E737A" w14:textId="77777777"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Level of satisfaction of ACEs with the support from the National Governments (Citizen engagement and part of the Griveance Mechanism)</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40C559" w14:textId="77777777" w:rsidR="00783D39" w:rsidRPr="00783D39" w:rsidRDefault="00B00100"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The indicator measures the number of ACEs and emerging centers that report on at least 85 percent of the project indicators to the RFU in a timely manner.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DF9961"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Biannually</w:t>
                </w:r>
              </w:p>
              <w:p w14:paraId="060C2B55" w14:textId="77777777"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7108E" w14:textId="77777777" w:rsidR="000C3959" w:rsidRDefault="00B00100" w:rsidP="002C3275">
                <w:pPr>
                  <w:rPr>
                    <w:rFonts w:ascii="Calibri" w:eastAsia="Times New Roman" w:hAnsi="Calibri"/>
                    <w:noProof/>
                    <w:color w:val="404040"/>
                    <w:sz w:val="22"/>
                    <w:szCs w:val="22"/>
                  </w:rPr>
                </w:pPr>
                <w:r>
                  <w:rPr>
                    <w:rFonts w:ascii="Calibri" w:eastAsia="Times New Roman" w:hAnsi="Calibri"/>
                    <w:noProof/>
                    <w:color w:val="404040"/>
                    <w:sz w:val="22"/>
                    <w:szCs w:val="22"/>
                  </w:rPr>
                  <w:t>Results of ACE Impact stakeholders’ satisfaction on-line survey.</w:t>
                </w:r>
              </w:p>
              <w:p w14:paraId="0A72E5AA" w14:textId="77777777"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E16892" w14:textId="77777777" w:rsidR="000C3959" w:rsidRDefault="00B00100"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Obtain performance information of the National Governments from the annual ACE Impact stakeholders satisfaction survey.</w:t>
                </w:r>
              </w:p>
              <w:p w14:paraId="0675A3A0" w14:textId="77777777"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12EAE4" w14:textId="77777777" w:rsidR="000C3959" w:rsidRDefault="00B00100"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RFU</w:t>
                </w:r>
              </w:p>
              <w:p w14:paraId="72CA2EC0" w14:textId="77777777" w:rsidR="00783D39" w:rsidRPr="00783D39" w:rsidRDefault="00783D39" w:rsidP="002C3275">
                <w:pPr>
                  <w:keepNext/>
                  <w:shd w:val="clear" w:color="auto" w:fill="F7F7F7"/>
                  <w:ind w:right="-29"/>
                  <w:rPr>
                    <w:rFonts w:ascii="Calibri" w:eastAsia="Times New Roman" w:hAnsi="Calibri"/>
                    <w:color w:val="auto"/>
                    <w:sz w:val="22"/>
                    <w:szCs w:val="22"/>
                  </w:rPr>
                </w:pPr>
              </w:p>
            </w:tc>
          </w:tr>
        </w:tbl>
        <w:p w14:paraId="631C53B7" w14:textId="77777777"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4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0C3959" w14:paraId="1B3B0D9C" w14:textId="77777777" w:rsidTr="00CE0EC3">
            <w:trPr>
              <w:trHeight w:val="576"/>
            </w:trPr>
            <w:tc>
              <w:tcPr>
                <w:tcW w:w="14096" w:type="dxa"/>
                <w:shd w:val="clear" w:color="auto" w:fill="F7F7F7"/>
              </w:tcPr>
              <w:p w14:paraId="50C4714A" w14:textId="77777777" w:rsidR="00756789" w:rsidRDefault="00B00100" w:rsidP="00CE0EC3">
                <w:pPr>
                  <w:ind w:right="-418"/>
                  <w:rPr>
                    <w:rFonts w:asciiTheme="minorHAnsi" w:hAnsiTheme="minorHAnsi"/>
                    <w:b/>
                    <w:bCs/>
                    <w:color w:val="7F7F7F" w:themeColor="text1" w:themeTint="80"/>
                    <w:sz w:val="22"/>
                    <w:szCs w:val="22"/>
                  </w:rPr>
                </w:pPr>
                <w:r w:rsidRPr="00D30769">
                  <w:rPr>
                    <w:rFonts w:asciiTheme="minorHAnsi" w:hAnsiTheme="minorHAnsi"/>
                    <w:b/>
                    <w:bCs/>
                    <w:color w:val="F7F7F7"/>
                    <w:sz w:val="22"/>
                    <w:szCs w:val="22"/>
                  </w:rPr>
                  <w:t>ME IO Table SPACE</w:t>
                </w:r>
              </w:p>
            </w:tc>
          </w:tr>
        </w:tbl>
        <w:p w14:paraId="4385D876" w14:textId="77777777"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2134"/>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0C3959" w14:paraId="7B3A2332" w14:textId="77777777" w:rsidTr="00C04053">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DEEAF6"/>
                <w:vAlign w:val="center"/>
              </w:tcPr>
              <w:p w14:paraId="00CE08F4" w14:textId="77777777" w:rsidR="004E1BEB" w:rsidRPr="0099674D" w:rsidRDefault="00B00100" w:rsidP="00D93FC8">
                <w:pPr>
                  <w:keepNext/>
                  <w:ind w:right="-418"/>
                  <w:jc w:val="center"/>
                  <w:rPr>
                    <w:rFonts w:asciiTheme="minorHAnsi" w:hAnsiTheme="minorHAnsi" w:cstheme="minorHAnsi"/>
                    <w:b/>
                    <w:bCs/>
                    <w:color w:val="172D5F"/>
                    <w:sz w:val="22"/>
                    <w:szCs w:val="22"/>
                  </w:rPr>
                </w:pPr>
                <w:r w:rsidRPr="0099674D">
                  <w:rPr>
                    <w:rFonts w:asciiTheme="minorHAnsi" w:hAnsiTheme="minorHAnsi" w:cstheme="minorHAnsi"/>
                    <w:b/>
                    <w:bCs/>
                    <w:color w:val="172D5F"/>
                    <w:sz w:val="22"/>
                    <w:szCs w:val="22"/>
                  </w:rPr>
                  <w:t>Disbursement Linked Indicators Matrix</w:t>
                </w:r>
              </w:p>
            </w:tc>
          </w:tr>
        </w:tbl>
        <w:p w14:paraId="00653BF7"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353073B8" w14:textId="77777777" w:rsidTr="00793B4C">
            <w:trPr>
              <w:trHeight w:val="20"/>
            </w:trPr>
            <w:tc>
              <w:tcPr>
                <w:tcW w:w="2871" w:type="dxa"/>
                <w:tcBorders>
                  <w:top w:val="nil"/>
                  <w:left w:val="nil"/>
                  <w:right w:val="nil"/>
                </w:tcBorders>
                <w:shd w:val="clear" w:color="auto" w:fill="DEEBF6"/>
                <w:tcMar>
                  <w:bottom w:w="0" w:type="dxa"/>
                </w:tcMar>
                <w:vAlign w:val="center"/>
              </w:tcPr>
              <w:p w14:paraId="46BA290E"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6EC5CC03"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1F76BF57" w14:textId="77777777" w:rsidTr="00793B4C">
            <w:trPr>
              <w:trHeight w:val="288"/>
            </w:trPr>
            <w:tc>
              <w:tcPr>
                <w:tcW w:w="2871" w:type="dxa"/>
                <w:shd w:val="clear" w:color="auto" w:fill="DEEBF6"/>
                <w:tcMar>
                  <w:bottom w:w="0" w:type="dxa"/>
                </w:tcMar>
                <w:vAlign w:val="center"/>
              </w:tcPr>
              <w:p w14:paraId="1ED43196"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1</w:t>
                </w:r>
              </w:p>
            </w:tc>
            <w:tc>
              <w:tcPr>
                <w:tcW w:w="11259" w:type="dxa"/>
                <w:gridSpan w:val="4"/>
                <w:shd w:val="clear" w:color="auto" w:fill="DEEBF6"/>
                <w:tcMar>
                  <w:bottom w:w="0" w:type="dxa"/>
                </w:tcMar>
                <w:vAlign w:val="center"/>
              </w:tcPr>
              <w:p w14:paraId="4D7F15DE"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Institutional readiness</w:t>
                </w:r>
              </w:p>
            </w:tc>
          </w:tr>
          <w:tr w:rsidR="000C3959" w14:paraId="5BC8CB24" w14:textId="77777777" w:rsidTr="00793B4C">
            <w:trPr>
              <w:trHeight w:val="288"/>
            </w:trPr>
            <w:tc>
              <w:tcPr>
                <w:tcW w:w="2871" w:type="dxa"/>
                <w:shd w:val="clear" w:color="auto" w:fill="E7E6E6"/>
                <w:tcMar>
                  <w:bottom w:w="0" w:type="dxa"/>
                </w:tcMar>
                <w:vAlign w:val="center"/>
              </w:tcPr>
              <w:p w14:paraId="29973058"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28265B3D"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628700A2"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70304002"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061481EB"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2C1FC31B" w14:textId="77777777" w:rsidTr="00793B4C">
            <w:trPr>
              <w:trHeight w:val="288"/>
            </w:trPr>
            <w:tc>
              <w:tcPr>
                <w:tcW w:w="2871" w:type="dxa"/>
                <w:tcBorders>
                  <w:bottom w:val="single" w:sz="4" w:space="0" w:color="D9D9D9"/>
                </w:tcBorders>
                <w:shd w:val="clear" w:color="auto" w:fill="F7F7F7"/>
                <w:tcMar>
                  <w:bottom w:w="0" w:type="dxa"/>
                </w:tcMar>
                <w:vAlign w:val="center"/>
              </w:tcPr>
              <w:p w14:paraId="41261BD0"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6E05DE70"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No</w:t>
                </w:r>
              </w:p>
            </w:tc>
            <w:tc>
              <w:tcPr>
                <w:tcW w:w="1919" w:type="dxa"/>
                <w:tcBorders>
                  <w:bottom w:val="single" w:sz="4" w:space="0" w:color="D9D9D9"/>
                </w:tcBorders>
                <w:shd w:val="clear" w:color="auto" w:fill="F7F7F7"/>
                <w:tcMar>
                  <w:bottom w:w="0" w:type="dxa"/>
                </w:tcMar>
                <w:vAlign w:val="center"/>
              </w:tcPr>
              <w:p w14:paraId="723373C2"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3AECCA18"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7,923,333.00</w:t>
                </w:r>
              </w:p>
            </w:tc>
            <w:tc>
              <w:tcPr>
                <w:tcW w:w="3575" w:type="dxa"/>
                <w:tcBorders>
                  <w:bottom w:val="single" w:sz="4" w:space="0" w:color="D9D9D9"/>
                </w:tcBorders>
                <w:shd w:val="clear" w:color="auto" w:fill="F7F7F7"/>
                <w:tcMar>
                  <w:bottom w:w="0" w:type="dxa"/>
                </w:tcMar>
                <w:vAlign w:val="center"/>
              </w:tcPr>
              <w:p w14:paraId="2911D4DC"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11.00</w:t>
                </w:r>
              </w:p>
            </w:tc>
          </w:tr>
          <w:tr w:rsidR="000C3959" w14:paraId="79E2FAD3" w14:textId="77777777" w:rsidTr="00793B4C">
            <w:trPr>
              <w:trHeight w:val="288"/>
            </w:trPr>
            <w:tc>
              <w:tcPr>
                <w:tcW w:w="2871" w:type="dxa"/>
                <w:tcBorders>
                  <w:bottom w:val="nil"/>
                </w:tcBorders>
                <w:shd w:val="clear" w:color="auto" w:fill="E7E6E6"/>
                <w:tcMar>
                  <w:bottom w:w="0" w:type="dxa"/>
                </w:tcMar>
                <w:vAlign w:val="center"/>
              </w:tcPr>
              <w:p w14:paraId="598CABB6"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04A45B35"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304BBDEC"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64C1CD04"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3AD6B55B"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4B707D7F" w14:textId="77777777" w:rsidTr="00CE0EC3">
                  <w:tc>
                    <w:tcPr>
                      <w:tcW w:w="14093" w:type="dxa"/>
                    </w:tcPr>
                    <w:p w14:paraId="13BD71D5"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3FA9A989" w14:textId="77777777" w:rsidTr="00CE0EC3">
                        <w:tc>
                          <w:tcPr>
                            <w:tcW w:w="2859" w:type="dxa"/>
                          </w:tcPr>
                          <w:p w14:paraId="65C4B18C"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45DC3867"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2C6C9A84"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5D707E49"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AD9BFA3" w14:textId="77777777" w:rsidR="0022603A" w:rsidRPr="0070311B" w:rsidRDefault="0022603A" w:rsidP="00CE0EC3">
                      <w:pPr>
                        <w:spacing w:line="14" w:lineRule="exact"/>
                        <w:rPr>
                          <w:rFonts w:asciiTheme="minorHAnsi" w:hAnsiTheme="minorHAnsi" w:cstheme="minorHAnsi"/>
                          <w:bCs/>
                          <w:color w:val="404040"/>
                          <w:sz w:val="22"/>
                          <w:szCs w:val="22"/>
                        </w:rPr>
                      </w:pPr>
                    </w:p>
                    <w:p w14:paraId="3E99CC5F"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B99367C" w14:textId="77777777" w:rsidTr="00CE0EC3">
                        <w:tc>
                          <w:tcPr>
                            <w:tcW w:w="2859" w:type="dxa"/>
                          </w:tcPr>
                          <w:p w14:paraId="2D42319A"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5F75B9A9"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426064A2"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7,923,333.00</w:t>
                            </w:r>
                          </w:p>
                        </w:tc>
                        <w:tc>
                          <w:tcPr>
                            <w:tcW w:w="3548" w:type="dxa"/>
                          </w:tcPr>
                          <w:p w14:paraId="07016556"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1FCC0D43" w14:textId="77777777" w:rsidR="0022603A" w:rsidRPr="0070311B" w:rsidRDefault="0022603A" w:rsidP="00CE0EC3">
                      <w:pPr>
                        <w:spacing w:line="14" w:lineRule="exact"/>
                        <w:rPr>
                          <w:rFonts w:asciiTheme="minorHAnsi" w:hAnsiTheme="minorHAnsi" w:cstheme="minorHAnsi"/>
                          <w:bCs/>
                          <w:color w:val="404040"/>
                          <w:sz w:val="22"/>
                          <w:szCs w:val="22"/>
                        </w:rPr>
                      </w:pPr>
                    </w:p>
                    <w:p w14:paraId="7225917D"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5281B98" w14:textId="77777777" w:rsidTr="00CE0EC3">
                        <w:tc>
                          <w:tcPr>
                            <w:tcW w:w="2859" w:type="dxa"/>
                          </w:tcPr>
                          <w:p w14:paraId="264B538F"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32D16533"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26241D9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5290B978"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EB75861" w14:textId="77777777" w:rsidR="0022603A" w:rsidRPr="0070311B" w:rsidRDefault="0022603A" w:rsidP="00CE0EC3">
                      <w:pPr>
                        <w:spacing w:line="14" w:lineRule="exact"/>
                        <w:rPr>
                          <w:rFonts w:asciiTheme="minorHAnsi" w:hAnsiTheme="minorHAnsi" w:cstheme="minorHAnsi"/>
                          <w:bCs/>
                          <w:color w:val="404040"/>
                          <w:sz w:val="22"/>
                          <w:szCs w:val="22"/>
                        </w:rPr>
                      </w:pPr>
                    </w:p>
                    <w:p w14:paraId="1AC669FE"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4F6F8E8" w14:textId="77777777" w:rsidTr="00CE0EC3">
                        <w:tc>
                          <w:tcPr>
                            <w:tcW w:w="2859" w:type="dxa"/>
                          </w:tcPr>
                          <w:p w14:paraId="48DCE634"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Year 3</w:t>
                            </w:r>
                          </w:p>
                        </w:tc>
                        <w:tc>
                          <w:tcPr>
                            <w:tcW w:w="4622" w:type="dxa"/>
                          </w:tcPr>
                          <w:p w14:paraId="5D7823D1"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6502FB57"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3E712075"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1B78BEF" w14:textId="77777777" w:rsidR="0022603A" w:rsidRPr="0070311B" w:rsidRDefault="0022603A" w:rsidP="00CE0EC3">
                      <w:pPr>
                        <w:spacing w:line="14" w:lineRule="exact"/>
                        <w:rPr>
                          <w:rFonts w:asciiTheme="minorHAnsi" w:hAnsiTheme="minorHAnsi" w:cstheme="minorHAnsi"/>
                          <w:bCs/>
                          <w:color w:val="404040"/>
                          <w:sz w:val="22"/>
                          <w:szCs w:val="22"/>
                        </w:rPr>
                      </w:pPr>
                    </w:p>
                    <w:p w14:paraId="59803DBE"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E356A64" w14:textId="77777777" w:rsidTr="00CE0EC3">
                        <w:tc>
                          <w:tcPr>
                            <w:tcW w:w="2859" w:type="dxa"/>
                          </w:tcPr>
                          <w:p w14:paraId="27CD8DC6"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13C4A00D"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793CD242"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2D5B2F61"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023F431E" w14:textId="77777777" w:rsidR="0022603A" w:rsidRPr="0070311B" w:rsidRDefault="0022603A" w:rsidP="00CE0EC3">
                      <w:pPr>
                        <w:spacing w:line="14" w:lineRule="exact"/>
                        <w:rPr>
                          <w:rFonts w:asciiTheme="minorHAnsi" w:hAnsiTheme="minorHAnsi" w:cstheme="minorHAnsi"/>
                          <w:bCs/>
                          <w:color w:val="404040"/>
                          <w:sz w:val="22"/>
                          <w:szCs w:val="22"/>
                        </w:rPr>
                      </w:pPr>
                    </w:p>
                    <w:p w14:paraId="4FFE7FA2"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25498AF2" w14:textId="77777777" w:rsidTr="00CE0EC3">
                        <w:tc>
                          <w:tcPr>
                            <w:tcW w:w="2859" w:type="dxa"/>
                          </w:tcPr>
                          <w:p w14:paraId="71734A5C"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6EF89A77"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524AA890"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1531745B"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11642F1F"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358B44AF" w14:textId="77777777" w:rsidR="000C3959" w:rsidRDefault="000C3959"/>
            </w:tc>
          </w:tr>
        </w:tbl>
        <w:p w14:paraId="59F83E59"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237CB174"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5C6B6DB0" w14:textId="77777777" w:rsidTr="00793B4C">
            <w:trPr>
              <w:trHeight w:val="20"/>
            </w:trPr>
            <w:tc>
              <w:tcPr>
                <w:tcW w:w="2871" w:type="dxa"/>
                <w:tcBorders>
                  <w:top w:val="nil"/>
                  <w:left w:val="nil"/>
                  <w:right w:val="nil"/>
                </w:tcBorders>
                <w:shd w:val="clear" w:color="auto" w:fill="DEEBF6"/>
                <w:tcMar>
                  <w:bottom w:w="0" w:type="dxa"/>
                </w:tcMar>
                <w:vAlign w:val="center"/>
              </w:tcPr>
              <w:p w14:paraId="01B06FCF"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68BE024F"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2036453F" w14:textId="77777777" w:rsidTr="00793B4C">
            <w:trPr>
              <w:trHeight w:val="288"/>
            </w:trPr>
            <w:tc>
              <w:tcPr>
                <w:tcW w:w="2871" w:type="dxa"/>
                <w:shd w:val="clear" w:color="auto" w:fill="DEEBF6"/>
                <w:tcMar>
                  <w:bottom w:w="0" w:type="dxa"/>
                </w:tcMar>
                <w:vAlign w:val="center"/>
              </w:tcPr>
              <w:p w14:paraId="205BD361"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2</w:t>
                </w:r>
              </w:p>
            </w:tc>
            <w:tc>
              <w:tcPr>
                <w:tcW w:w="11259" w:type="dxa"/>
                <w:gridSpan w:val="4"/>
                <w:shd w:val="clear" w:color="auto" w:fill="DEEBF6"/>
                <w:tcMar>
                  <w:bottom w:w="0" w:type="dxa"/>
                </w:tcMar>
                <w:vAlign w:val="center"/>
              </w:tcPr>
              <w:p w14:paraId="7DC8ECED"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Development Impact of ACE Center</w:t>
                </w:r>
              </w:p>
            </w:tc>
          </w:tr>
          <w:tr w:rsidR="000C3959" w14:paraId="2D1EACDE" w14:textId="77777777" w:rsidTr="00793B4C">
            <w:trPr>
              <w:trHeight w:val="288"/>
            </w:trPr>
            <w:tc>
              <w:tcPr>
                <w:tcW w:w="2871" w:type="dxa"/>
                <w:shd w:val="clear" w:color="auto" w:fill="E7E6E6"/>
                <w:tcMar>
                  <w:bottom w:w="0" w:type="dxa"/>
                </w:tcMar>
                <w:vAlign w:val="center"/>
              </w:tcPr>
              <w:p w14:paraId="5D0B532F"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16830EFD"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3CE2BC61"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61619F1E"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79221F7B"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1CDB8D11" w14:textId="77777777" w:rsidTr="00793B4C">
            <w:trPr>
              <w:trHeight w:val="288"/>
            </w:trPr>
            <w:tc>
              <w:tcPr>
                <w:tcW w:w="2871" w:type="dxa"/>
                <w:tcBorders>
                  <w:bottom w:val="single" w:sz="4" w:space="0" w:color="D9D9D9"/>
                </w:tcBorders>
                <w:shd w:val="clear" w:color="auto" w:fill="F7F7F7"/>
                <w:tcMar>
                  <w:bottom w:w="0" w:type="dxa"/>
                </w:tcMar>
                <w:vAlign w:val="center"/>
              </w:tcPr>
              <w:p w14:paraId="0CDA8BCE"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3732186E"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17E00F73"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09BD804E"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3,617,778.00</w:t>
                </w:r>
              </w:p>
            </w:tc>
            <w:tc>
              <w:tcPr>
                <w:tcW w:w="3575" w:type="dxa"/>
                <w:tcBorders>
                  <w:bottom w:val="single" w:sz="4" w:space="0" w:color="D9D9D9"/>
                </w:tcBorders>
                <w:shd w:val="clear" w:color="auto" w:fill="F7F7F7"/>
                <w:tcMar>
                  <w:bottom w:w="0" w:type="dxa"/>
                </w:tcMar>
                <w:vAlign w:val="center"/>
              </w:tcPr>
              <w:p w14:paraId="45EFD56D"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4.00</w:t>
                </w:r>
              </w:p>
            </w:tc>
          </w:tr>
          <w:tr w:rsidR="000C3959" w14:paraId="34D929E7" w14:textId="77777777" w:rsidTr="00793B4C">
            <w:trPr>
              <w:trHeight w:val="288"/>
            </w:trPr>
            <w:tc>
              <w:tcPr>
                <w:tcW w:w="2871" w:type="dxa"/>
                <w:tcBorders>
                  <w:bottom w:val="nil"/>
                </w:tcBorders>
                <w:shd w:val="clear" w:color="auto" w:fill="E7E6E6"/>
                <w:tcMar>
                  <w:bottom w:w="0" w:type="dxa"/>
                </w:tcMar>
                <w:vAlign w:val="center"/>
              </w:tcPr>
              <w:p w14:paraId="2DBF902E"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290B07BC"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273474AA"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226C6E88"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24464794"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410B1580" w14:textId="77777777" w:rsidTr="00CE0EC3">
                  <w:tc>
                    <w:tcPr>
                      <w:tcW w:w="14093" w:type="dxa"/>
                    </w:tcPr>
                    <w:p w14:paraId="0A295C3C"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5624C0B" w14:textId="77777777" w:rsidTr="00CE0EC3">
                        <w:tc>
                          <w:tcPr>
                            <w:tcW w:w="2859" w:type="dxa"/>
                          </w:tcPr>
                          <w:p w14:paraId="6FC4310D"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549AB5F5"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4E436A1F"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0B4AF33E"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70C1684" w14:textId="77777777" w:rsidR="0022603A" w:rsidRPr="0070311B" w:rsidRDefault="0022603A" w:rsidP="00CE0EC3">
                      <w:pPr>
                        <w:spacing w:line="14" w:lineRule="exact"/>
                        <w:rPr>
                          <w:rFonts w:asciiTheme="minorHAnsi" w:hAnsiTheme="minorHAnsi" w:cstheme="minorHAnsi"/>
                          <w:bCs/>
                          <w:color w:val="404040"/>
                          <w:sz w:val="22"/>
                          <w:szCs w:val="22"/>
                        </w:rPr>
                      </w:pPr>
                    </w:p>
                    <w:p w14:paraId="65C89B98"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3E0C552E" w14:textId="77777777" w:rsidTr="00CE0EC3">
                        <w:tc>
                          <w:tcPr>
                            <w:tcW w:w="2859" w:type="dxa"/>
                          </w:tcPr>
                          <w:p w14:paraId="5C0607A9"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6E60B862"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0F8E6737"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651A53C3"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w:t>
                            </w:r>
                          </w:p>
                        </w:tc>
                      </w:tr>
                    </w:tbl>
                    <w:p w14:paraId="7A2C8A6B" w14:textId="77777777" w:rsidR="0022603A" w:rsidRPr="0070311B" w:rsidRDefault="0022603A" w:rsidP="00CE0EC3">
                      <w:pPr>
                        <w:spacing w:line="14" w:lineRule="exact"/>
                        <w:rPr>
                          <w:rFonts w:asciiTheme="minorHAnsi" w:hAnsiTheme="minorHAnsi" w:cstheme="minorHAnsi"/>
                          <w:bCs/>
                          <w:color w:val="404040"/>
                          <w:sz w:val="22"/>
                          <w:szCs w:val="22"/>
                        </w:rPr>
                      </w:pPr>
                    </w:p>
                    <w:p w14:paraId="19C71A5E"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7368176" w14:textId="77777777" w:rsidTr="00CE0EC3">
                        <w:tc>
                          <w:tcPr>
                            <w:tcW w:w="2859" w:type="dxa"/>
                          </w:tcPr>
                          <w:p w14:paraId="064B466B"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10D9282D"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20.50</w:t>
                            </w:r>
                          </w:p>
                        </w:tc>
                        <w:tc>
                          <w:tcPr>
                            <w:tcW w:w="3060" w:type="dxa"/>
                          </w:tcPr>
                          <w:p w14:paraId="75E70DC0"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753,333.00</w:t>
                            </w:r>
                          </w:p>
                        </w:tc>
                        <w:tc>
                          <w:tcPr>
                            <w:tcW w:w="3548" w:type="dxa"/>
                          </w:tcPr>
                          <w:p w14:paraId="3C0782ED"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51114AA8" w14:textId="77777777" w:rsidR="0022603A" w:rsidRPr="0070311B" w:rsidRDefault="0022603A" w:rsidP="00CE0EC3">
                      <w:pPr>
                        <w:spacing w:line="14" w:lineRule="exact"/>
                        <w:rPr>
                          <w:rFonts w:asciiTheme="minorHAnsi" w:hAnsiTheme="minorHAnsi" w:cstheme="minorHAnsi"/>
                          <w:bCs/>
                          <w:color w:val="404040"/>
                          <w:sz w:val="22"/>
                          <w:szCs w:val="22"/>
                        </w:rPr>
                      </w:pPr>
                    </w:p>
                    <w:p w14:paraId="1F69F11D"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3BEF0F3D" w14:textId="77777777" w:rsidTr="00CE0EC3">
                        <w:tc>
                          <w:tcPr>
                            <w:tcW w:w="2859" w:type="dxa"/>
                          </w:tcPr>
                          <w:p w14:paraId="3E53B675"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2C8B86F0"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50.00</w:t>
                            </w:r>
                          </w:p>
                        </w:tc>
                        <w:tc>
                          <w:tcPr>
                            <w:tcW w:w="3060" w:type="dxa"/>
                          </w:tcPr>
                          <w:p w14:paraId="7FC47642"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1,055,556.00</w:t>
                            </w:r>
                          </w:p>
                        </w:tc>
                        <w:tc>
                          <w:tcPr>
                            <w:tcW w:w="3548" w:type="dxa"/>
                          </w:tcPr>
                          <w:p w14:paraId="2EF9B059"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5D2866E2" w14:textId="77777777" w:rsidR="0022603A" w:rsidRPr="0070311B" w:rsidRDefault="0022603A" w:rsidP="00CE0EC3">
                      <w:pPr>
                        <w:spacing w:line="14" w:lineRule="exact"/>
                        <w:rPr>
                          <w:rFonts w:asciiTheme="minorHAnsi" w:hAnsiTheme="minorHAnsi" w:cstheme="minorHAnsi"/>
                          <w:bCs/>
                          <w:color w:val="404040"/>
                          <w:sz w:val="22"/>
                          <w:szCs w:val="22"/>
                        </w:rPr>
                      </w:pPr>
                    </w:p>
                    <w:p w14:paraId="71FFD021"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283C6B0" w14:textId="77777777" w:rsidTr="00CE0EC3">
                        <w:tc>
                          <w:tcPr>
                            <w:tcW w:w="2859" w:type="dxa"/>
                          </w:tcPr>
                          <w:p w14:paraId="7DE06EA2"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26012561"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1503BCB4"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1,808,889.00</w:t>
                            </w:r>
                          </w:p>
                        </w:tc>
                        <w:tc>
                          <w:tcPr>
                            <w:tcW w:w="3548" w:type="dxa"/>
                          </w:tcPr>
                          <w:p w14:paraId="4B6AFD49"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746A40BA" w14:textId="77777777" w:rsidR="0022603A" w:rsidRPr="0070311B" w:rsidRDefault="0022603A" w:rsidP="00CE0EC3">
                      <w:pPr>
                        <w:spacing w:line="14" w:lineRule="exact"/>
                        <w:rPr>
                          <w:rFonts w:asciiTheme="minorHAnsi" w:hAnsiTheme="minorHAnsi" w:cstheme="minorHAnsi"/>
                          <w:bCs/>
                          <w:color w:val="404040"/>
                          <w:sz w:val="22"/>
                          <w:szCs w:val="22"/>
                        </w:rPr>
                      </w:pPr>
                    </w:p>
                    <w:p w14:paraId="2B4203E7"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2987456E" w14:textId="77777777" w:rsidTr="00CE0EC3">
                        <w:tc>
                          <w:tcPr>
                            <w:tcW w:w="2859" w:type="dxa"/>
                          </w:tcPr>
                          <w:p w14:paraId="1E9C70CA"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729FADE0"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72DE68ED"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0.00</w:t>
                            </w:r>
                          </w:p>
                        </w:tc>
                        <w:tc>
                          <w:tcPr>
                            <w:tcW w:w="3548" w:type="dxa"/>
                          </w:tcPr>
                          <w:p w14:paraId="596C445B"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457F55CB"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6144B7A6" w14:textId="77777777" w:rsidR="000C3959" w:rsidRDefault="000C3959"/>
            </w:tc>
          </w:tr>
        </w:tbl>
        <w:p w14:paraId="3734BE4D"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7D755906"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17D25EFD" w14:textId="77777777" w:rsidTr="00793B4C">
            <w:trPr>
              <w:trHeight w:val="20"/>
            </w:trPr>
            <w:tc>
              <w:tcPr>
                <w:tcW w:w="2871" w:type="dxa"/>
                <w:tcBorders>
                  <w:top w:val="nil"/>
                  <w:left w:val="nil"/>
                  <w:right w:val="nil"/>
                </w:tcBorders>
                <w:shd w:val="clear" w:color="auto" w:fill="DEEBF6"/>
                <w:tcMar>
                  <w:bottom w:w="0" w:type="dxa"/>
                </w:tcMar>
                <w:vAlign w:val="center"/>
              </w:tcPr>
              <w:p w14:paraId="19E53F35"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0AB689D5"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666CE9B2" w14:textId="77777777" w:rsidTr="00793B4C">
            <w:trPr>
              <w:trHeight w:val="288"/>
            </w:trPr>
            <w:tc>
              <w:tcPr>
                <w:tcW w:w="2871" w:type="dxa"/>
                <w:shd w:val="clear" w:color="auto" w:fill="DEEBF6"/>
                <w:tcMar>
                  <w:bottom w:w="0" w:type="dxa"/>
                </w:tcMar>
                <w:vAlign w:val="center"/>
              </w:tcPr>
              <w:p w14:paraId="7C92C2A2"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3</w:t>
                </w:r>
              </w:p>
            </w:tc>
            <w:tc>
              <w:tcPr>
                <w:tcW w:w="11259" w:type="dxa"/>
                <w:gridSpan w:val="4"/>
                <w:shd w:val="clear" w:color="auto" w:fill="DEEBF6"/>
                <w:tcMar>
                  <w:bottom w:w="0" w:type="dxa"/>
                </w:tcMar>
                <w:vAlign w:val="center"/>
              </w:tcPr>
              <w:p w14:paraId="2541BFEF"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Quantity of Students (with focus on gender and regionalization)</w:t>
                </w:r>
              </w:p>
            </w:tc>
          </w:tr>
          <w:tr w:rsidR="000C3959" w14:paraId="154983EA" w14:textId="77777777" w:rsidTr="00793B4C">
            <w:trPr>
              <w:trHeight w:val="288"/>
            </w:trPr>
            <w:tc>
              <w:tcPr>
                <w:tcW w:w="2871" w:type="dxa"/>
                <w:shd w:val="clear" w:color="auto" w:fill="E7E6E6"/>
                <w:tcMar>
                  <w:bottom w:w="0" w:type="dxa"/>
                </w:tcMar>
                <w:vAlign w:val="center"/>
              </w:tcPr>
              <w:p w14:paraId="7B4E4281"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045A3DD6"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1502EEAC"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2C8AEB3E"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686F6A2F"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638CB0DF" w14:textId="77777777" w:rsidTr="00793B4C">
            <w:trPr>
              <w:trHeight w:val="288"/>
            </w:trPr>
            <w:tc>
              <w:tcPr>
                <w:tcW w:w="2871" w:type="dxa"/>
                <w:tcBorders>
                  <w:bottom w:val="single" w:sz="4" w:space="0" w:color="D9D9D9"/>
                </w:tcBorders>
                <w:shd w:val="clear" w:color="auto" w:fill="F7F7F7"/>
                <w:tcMar>
                  <w:bottom w:w="0" w:type="dxa"/>
                </w:tcMar>
                <w:vAlign w:val="center"/>
              </w:tcPr>
              <w:p w14:paraId="40565EA1"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4C793049"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603E4CA4"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510F0D8A"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16,528,333.00</w:t>
                </w:r>
              </w:p>
            </w:tc>
            <w:tc>
              <w:tcPr>
                <w:tcW w:w="3575" w:type="dxa"/>
                <w:tcBorders>
                  <w:bottom w:val="single" w:sz="4" w:space="0" w:color="D9D9D9"/>
                </w:tcBorders>
                <w:shd w:val="clear" w:color="auto" w:fill="F7F7F7"/>
                <w:tcMar>
                  <w:bottom w:w="0" w:type="dxa"/>
                </w:tcMar>
                <w:vAlign w:val="center"/>
              </w:tcPr>
              <w:p w14:paraId="4987386E"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16.00</w:t>
                </w:r>
              </w:p>
            </w:tc>
          </w:tr>
          <w:tr w:rsidR="000C3959" w14:paraId="1CF21EF5" w14:textId="77777777" w:rsidTr="00793B4C">
            <w:trPr>
              <w:trHeight w:val="288"/>
            </w:trPr>
            <w:tc>
              <w:tcPr>
                <w:tcW w:w="2871" w:type="dxa"/>
                <w:tcBorders>
                  <w:bottom w:val="nil"/>
                </w:tcBorders>
                <w:shd w:val="clear" w:color="auto" w:fill="E7E6E6"/>
                <w:tcMar>
                  <w:bottom w:w="0" w:type="dxa"/>
                </w:tcMar>
                <w:vAlign w:val="center"/>
              </w:tcPr>
              <w:p w14:paraId="276A3DD8"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31D35159"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12E4A0EC"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67FE2C30"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4BD8B343"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08921EDE" w14:textId="77777777" w:rsidTr="00CE0EC3">
                  <w:tc>
                    <w:tcPr>
                      <w:tcW w:w="14093" w:type="dxa"/>
                    </w:tcPr>
                    <w:p w14:paraId="0F9A579A"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EDF9EFC" w14:textId="77777777" w:rsidTr="00CE0EC3">
                        <w:tc>
                          <w:tcPr>
                            <w:tcW w:w="2859" w:type="dxa"/>
                          </w:tcPr>
                          <w:p w14:paraId="2F1F6412"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624ED80F"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05C3A945"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3E416C2C"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13E322EF" w14:textId="77777777" w:rsidR="0022603A" w:rsidRPr="0070311B" w:rsidRDefault="0022603A" w:rsidP="00CE0EC3">
                      <w:pPr>
                        <w:spacing w:line="14" w:lineRule="exact"/>
                        <w:rPr>
                          <w:rFonts w:asciiTheme="minorHAnsi" w:hAnsiTheme="minorHAnsi" w:cstheme="minorHAnsi"/>
                          <w:bCs/>
                          <w:color w:val="404040"/>
                          <w:sz w:val="22"/>
                          <w:szCs w:val="22"/>
                        </w:rPr>
                      </w:pPr>
                    </w:p>
                    <w:p w14:paraId="0BBFE832"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F4DCE04" w14:textId="77777777" w:rsidTr="00CE0EC3">
                        <w:tc>
                          <w:tcPr>
                            <w:tcW w:w="2859" w:type="dxa"/>
                          </w:tcPr>
                          <w:p w14:paraId="5C3B7092"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Year 1</w:t>
                            </w:r>
                          </w:p>
                        </w:tc>
                        <w:tc>
                          <w:tcPr>
                            <w:tcW w:w="4622" w:type="dxa"/>
                          </w:tcPr>
                          <w:p w14:paraId="6F5A89E5"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12.00</w:t>
                            </w:r>
                          </w:p>
                        </w:tc>
                        <w:tc>
                          <w:tcPr>
                            <w:tcW w:w="3060" w:type="dxa"/>
                          </w:tcPr>
                          <w:p w14:paraId="7F6915DE"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1,963,622.00</w:t>
                            </w:r>
                          </w:p>
                        </w:tc>
                        <w:tc>
                          <w:tcPr>
                            <w:tcW w:w="3548" w:type="dxa"/>
                          </w:tcPr>
                          <w:p w14:paraId="7D78D344"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 below</w:t>
                            </w:r>
                          </w:p>
                        </w:tc>
                      </w:tr>
                    </w:tbl>
                    <w:p w14:paraId="06E5421A" w14:textId="77777777" w:rsidR="0022603A" w:rsidRPr="0070311B" w:rsidRDefault="0022603A" w:rsidP="00CE0EC3">
                      <w:pPr>
                        <w:spacing w:line="14" w:lineRule="exact"/>
                        <w:rPr>
                          <w:rFonts w:asciiTheme="minorHAnsi" w:hAnsiTheme="minorHAnsi" w:cstheme="minorHAnsi"/>
                          <w:bCs/>
                          <w:color w:val="404040"/>
                          <w:sz w:val="22"/>
                          <w:szCs w:val="22"/>
                        </w:rPr>
                      </w:pPr>
                    </w:p>
                    <w:p w14:paraId="2425A056"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3F311BE" w14:textId="77777777" w:rsidTr="00CE0EC3">
                        <w:tc>
                          <w:tcPr>
                            <w:tcW w:w="2859" w:type="dxa"/>
                          </w:tcPr>
                          <w:p w14:paraId="5284C242"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4A1D2E99"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29.00</w:t>
                            </w:r>
                          </w:p>
                        </w:tc>
                        <w:tc>
                          <w:tcPr>
                            <w:tcW w:w="3060" w:type="dxa"/>
                          </w:tcPr>
                          <w:p w14:paraId="5C918E81"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2,920,722.00</w:t>
                            </w:r>
                          </w:p>
                        </w:tc>
                        <w:tc>
                          <w:tcPr>
                            <w:tcW w:w="3548" w:type="dxa"/>
                          </w:tcPr>
                          <w:p w14:paraId="5714CC6B"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2EFC7CF1" w14:textId="77777777" w:rsidR="0022603A" w:rsidRPr="0070311B" w:rsidRDefault="0022603A" w:rsidP="00CE0EC3">
                      <w:pPr>
                        <w:spacing w:line="14" w:lineRule="exact"/>
                        <w:rPr>
                          <w:rFonts w:asciiTheme="minorHAnsi" w:hAnsiTheme="minorHAnsi" w:cstheme="minorHAnsi"/>
                          <w:bCs/>
                          <w:color w:val="404040"/>
                          <w:sz w:val="22"/>
                          <w:szCs w:val="22"/>
                        </w:rPr>
                      </w:pPr>
                    </w:p>
                    <w:p w14:paraId="2751F801"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3406CECE" w14:textId="77777777" w:rsidTr="00CE0EC3">
                        <w:tc>
                          <w:tcPr>
                            <w:tcW w:w="2859" w:type="dxa"/>
                          </w:tcPr>
                          <w:p w14:paraId="0EA3F8A9"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43872B02"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52.00</w:t>
                            </w:r>
                          </w:p>
                        </w:tc>
                        <w:tc>
                          <w:tcPr>
                            <w:tcW w:w="3060" w:type="dxa"/>
                          </w:tcPr>
                          <w:p w14:paraId="3389CDB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3,637,478.00</w:t>
                            </w:r>
                          </w:p>
                        </w:tc>
                        <w:tc>
                          <w:tcPr>
                            <w:tcW w:w="3548" w:type="dxa"/>
                          </w:tcPr>
                          <w:p w14:paraId="48A66F40"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0438858A" w14:textId="77777777" w:rsidR="0022603A" w:rsidRPr="0070311B" w:rsidRDefault="0022603A" w:rsidP="00CE0EC3">
                      <w:pPr>
                        <w:spacing w:line="14" w:lineRule="exact"/>
                        <w:rPr>
                          <w:rFonts w:asciiTheme="minorHAnsi" w:hAnsiTheme="minorHAnsi" w:cstheme="minorHAnsi"/>
                          <w:bCs/>
                          <w:color w:val="404040"/>
                          <w:sz w:val="22"/>
                          <w:szCs w:val="22"/>
                        </w:rPr>
                      </w:pPr>
                    </w:p>
                    <w:p w14:paraId="0767A44D"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D42F44B" w14:textId="77777777" w:rsidTr="00CE0EC3">
                        <w:tc>
                          <w:tcPr>
                            <w:tcW w:w="2859" w:type="dxa"/>
                          </w:tcPr>
                          <w:p w14:paraId="2E16D50C"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3CF7F43E"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75.00</w:t>
                            </w:r>
                          </w:p>
                        </w:tc>
                        <w:tc>
                          <w:tcPr>
                            <w:tcW w:w="3060" w:type="dxa"/>
                          </w:tcPr>
                          <w:p w14:paraId="0F61C1E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3,902,367.00</w:t>
                            </w:r>
                          </w:p>
                        </w:tc>
                        <w:tc>
                          <w:tcPr>
                            <w:tcW w:w="3548" w:type="dxa"/>
                          </w:tcPr>
                          <w:p w14:paraId="34593494"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CA2DBFA" w14:textId="77777777" w:rsidR="0022603A" w:rsidRPr="0070311B" w:rsidRDefault="0022603A" w:rsidP="00CE0EC3">
                      <w:pPr>
                        <w:spacing w:line="14" w:lineRule="exact"/>
                        <w:rPr>
                          <w:rFonts w:asciiTheme="minorHAnsi" w:hAnsiTheme="minorHAnsi" w:cstheme="minorHAnsi"/>
                          <w:bCs/>
                          <w:color w:val="404040"/>
                          <w:sz w:val="22"/>
                          <w:szCs w:val="22"/>
                        </w:rPr>
                      </w:pPr>
                    </w:p>
                    <w:p w14:paraId="3EDDF3E4"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1606871" w14:textId="77777777" w:rsidTr="00CE0EC3">
                        <w:tc>
                          <w:tcPr>
                            <w:tcW w:w="2859" w:type="dxa"/>
                          </w:tcPr>
                          <w:p w14:paraId="63E24539"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7A867BE9"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144CA28B"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4,104,144.00</w:t>
                            </w:r>
                          </w:p>
                        </w:tc>
                        <w:tc>
                          <w:tcPr>
                            <w:tcW w:w="3548" w:type="dxa"/>
                          </w:tcPr>
                          <w:p w14:paraId="5B045C93"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7A93863F"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68B6E76A" w14:textId="77777777" w:rsidR="000C3959" w:rsidRDefault="000C3959"/>
            </w:tc>
          </w:tr>
        </w:tbl>
        <w:p w14:paraId="5361DE71"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6C9F6B5E"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7ED8AC64" w14:textId="77777777" w:rsidTr="00793B4C">
            <w:trPr>
              <w:trHeight w:val="20"/>
            </w:trPr>
            <w:tc>
              <w:tcPr>
                <w:tcW w:w="2871" w:type="dxa"/>
                <w:tcBorders>
                  <w:top w:val="nil"/>
                  <w:left w:val="nil"/>
                  <w:right w:val="nil"/>
                </w:tcBorders>
                <w:shd w:val="clear" w:color="auto" w:fill="DEEBF6"/>
                <w:tcMar>
                  <w:bottom w:w="0" w:type="dxa"/>
                </w:tcMar>
                <w:vAlign w:val="center"/>
              </w:tcPr>
              <w:p w14:paraId="3AE6D894"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450F811A"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0BC68C7F" w14:textId="77777777" w:rsidTr="00793B4C">
            <w:trPr>
              <w:trHeight w:val="288"/>
            </w:trPr>
            <w:tc>
              <w:tcPr>
                <w:tcW w:w="2871" w:type="dxa"/>
                <w:shd w:val="clear" w:color="auto" w:fill="DEEBF6"/>
                <w:tcMar>
                  <w:bottom w:w="0" w:type="dxa"/>
                </w:tcMar>
                <w:vAlign w:val="center"/>
              </w:tcPr>
              <w:p w14:paraId="595A7263"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4</w:t>
                </w:r>
              </w:p>
            </w:tc>
            <w:tc>
              <w:tcPr>
                <w:tcW w:w="11259" w:type="dxa"/>
                <w:gridSpan w:val="4"/>
                <w:shd w:val="clear" w:color="auto" w:fill="DEEBF6"/>
                <w:tcMar>
                  <w:bottom w:w="0" w:type="dxa"/>
                </w:tcMar>
                <w:vAlign w:val="center"/>
              </w:tcPr>
              <w:p w14:paraId="7DE315C1"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Quality of Education and Research (through international accreditation, research publications and improved teaching and research infrastructure)</w:t>
                </w:r>
              </w:p>
            </w:tc>
          </w:tr>
          <w:tr w:rsidR="000C3959" w14:paraId="407FCD59" w14:textId="77777777" w:rsidTr="00793B4C">
            <w:trPr>
              <w:trHeight w:val="288"/>
            </w:trPr>
            <w:tc>
              <w:tcPr>
                <w:tcW w:w="2871" w:type="dxa"/>
                <w:shd w:val="clear" w:color="auto" w:fill="E7E6E6"/>
                <w:tcMar>
                  <w:bottom w:w="0" w:type="dxa"/>
                </w:tcMar>
                <w:vAlign w:val="center"/>
              </w:tcPr>
              <w:p w14:paraId="5B088F85"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7276C1AC"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50F0D3F3"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420003D8"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15A044E5"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63FE2802" w14:textId="77777777" w:rsidTr="00793B4C">
            <w:trPr>
              <w:trHeight w:val="288"/>
            </w:trPr>
            <w:tc>
              <w:tcPr>
                <w:tcW w:w="2871" w:type="dxa"/>
                <w:tcBorders>
                  <w:bottom w:val="single" w:sz="4" w:space="0" w:color="D9D9D9"/>
                </w:tcBorders>
                <w:shd w:val="clear" w:color="auto" w:fill="F7F7F7"/>
                <w:tcMar>
                  <w:bottom w:w="0" w:type="dxa"/>
                </w:tcMar>
                <w:vAlign w:val="center"/>
              </w:tcPr>
              <w:p w14:paraId="01F5A61A"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47F1F3F5"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2828E6E8"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442F2826"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29,962,467.00</w:t>
                </w:r>
              </w:p>
            </w:tc>
            <w:tc>
              <w:tcPr>
                <w:tcW w:w="3575" w:type="dxa"/>
                <w:tcBorders>
                  <w:bottom w:val="single" w:sz="4" w:space="0" w:color="D9D9D9"/>
                </w:tcBorders>
                <w:shd w:val="clear" w:color="auto" w:fill="F7F7F7"/>
                <w:tcMar>
                  <w:bottom w:w="0" w:type="dxa"/>
                </w:tcMar>
                <w:vAlign w:val="center"/>
              </w:tcPr>
              <w:p w14:paraId="602419C9"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33.00</w:t>
                </w:r>
              </w:p>
            </w:tc>
          </w:tr>
          <w:tr w:rsidR="000C3959" w14:paraId="7CAD9006" w14:textId="77777777" w:rsidTr="00793B4C">
            <w:trPr>
              <w:trHeight w:val="288"/>
            </w:trPr>
            <w:tc>
              <w:tcPr>
                <w:tcW w:w="2871" w:type="dxa"/>
                <w:tcBorders>
                  <w:bottom w:val="nil"/>
                </w:tcBorders>
                <w:shd w:val="clear" w:color="auto" w:fill="E7E6E6"/>
                <w:tcMar>
                  <w:bottom w:w="0" w:type="dxa"/>
                </w:tcMar>
                <w:vAlign w:val="center"/>
              </w:tcPr>
              <w:p w14:paraId="2851B576"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61AB3673"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0054B7AB"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4D16BF16"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01356A31"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0F7C82FA" w14:textId="77777777" w:rsidTr="00CE0EC3">
                  <w:tc>
                    <w:tcPr>
                      <w:tcW w:w="14093" w:type="dxa"/>
                    </w:tcPr>
                    <w:p w14:paraId="297B2706"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8E4346F" w14:textId="77777777" w:rsidTr="00CE0EC3">
                        <w:tc>
                          <w:tcPr>
                            <w:tcW w:w="2859" w:type="dxa"/>
                          </w:tcPr>
                          <w:p w14:paraId="7494D9EF"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0D798DFA"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0B4875E2"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75DF0C35"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5BC3E72" w14:textId="77777777" w:rsidR="0022603A" w:rsidRPr="0070311B" w:rsidRDefault="0022603A" w:rsidP="00CE0EC3">
                      <w:pPr>
                        <w:spacing w:line="14" w:lineRule="exact"/>
                        <w:rPr>
                          <w:rFonts w:asciiTheme="minorHAnsi" w:hAnsiTheme="minorHAnsi" w:cstheme="minorHAnsi"/>
                          <w:bCs/>
                          <w:color w:val="404040"/>
                          <w:sz w:val="22"/>
                          <w:szCs w:val="22"/>
                        </w:rPr>
                      </w:pPr>
                    </w:p>
                    <w:p w14:paraId="11B47721"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CB5A6B7" w14:textId="77777777" w:rsidTr="00CE0EC3">
                        <w:tc>
                          <w:tcPr>
                            <w:tcW w:w="2859" w:type="dxa"/>
                          </w:tcPr>
                          <w:p w14:paraId="534AED0D"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7C74F12C"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6.00</w:t>
                            </w:r>
                          </w:p>
                        </w:tc>
                        <w:tc>
                          <w:tcPr>
                            <w:tcW w:w="3060" w:type="dxa"/>
                          </w:tcPr>
                          <w:p w14:paraId="2D5522F1"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1,479,733.00</w:t>
                            </w:r>
                          </w:p>
                        </w:tc>
                        <w:tc>
                          <w:tcPr>
                            <w:tcW w:w="3548" w:type="dxa"/>
                          </w:tcPr>
                          <w:p w14:paraId="362A3811"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 below</w:t>
                            </w:r>
                          </w:p>
                        </w:tc>
                      </w:tr>
                    </w:tbl>
                    <w:p w14:paraId="2FC97959" w14:textId="77777777" w:rsidR="0022603A" w:rsidRPr="0070311B" w:rsidRDefault="0022603A" w:rsidP="00CE0EC3">
                      <w:pPr>
                        <w:spacing w:line="14" w:lineRule="exact"/>
                        <w:rPr>
                          <w:rFonts w:asciiTheme="minorHAnsi" w:hAnsiTheme="minorHAnsi" w:cstheme="minorHAnsi"/>
                          <w:bCs/>
                          <w:color w:val="404040"/>
                          <w:sz w:val="22"/>
                          <w:szCs w:val="22"/>
                        </w:rPr>
                      </w:pPr>
                    </w:p>
                    <w:p w14:paraId="5F410E04"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7070ECA5" w14:textId="77777777" w:rsidTr="00CE0EC3">
                        <w:tc>
                          <w:tcPr>
                            <w:tcW w:w="2859" w:type="dxa"/>
                          </w:tcPr>
                          <w:p w14:paraId="5DC3A29E"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35426835"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18.00</w:t>
                            </w:r>
                          </w:p>
                        </w:tc>
                        <w:tc>
                          <w:tcPr>
                            <w:tcW w:w="3060" w:type="dxa"/>
                          </w:tcPr>
                          <w:p w14:paraId="4FA486CE"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3,353,956.00</w:t>
                            </w:r>
                          </w:p>
                        </w:tc>
                        <w:tc>
                          <w:tcPr>
                            <w:tcW w:w="3548" w:type="dxa"/>
                          </w:tcPr>
                          <w:p w14:paraId="75D46699"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73379E4" w14:textId="77777777" w:rsidR="0022603A" w:rsidRPr="0070311B" w:rsidRDefault="0022603A" w:rsidP="00CE0EC3">
                      <w:pPr>
                        <w:spacing w:line="14" w:lineRule="exact"/>
                        <w:rPr>
                          <w:rFonts w:asciiTheme="minorHAnsi" w:hAnsiTheme="minorHAnsi" w:cstheme="minorHAnsi"/>
                          <w:bCs/>
                          <w:color w:val="404040"/>
                          <w:sz w:val="22"/>
                          <w:szCs w:val="22"/>
                        </w:rPr>
                      </w:pPr>
                    </w:p>
                    <w:p w14:paraId="4CD7F4B9"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F846C7E" w14:textId="77777777" w:rsidTr="00CE0EC3">
                        <w:tc>
                          <w:tcPr>
                            <w:tcW w:w="2859" w:type="dxa"/>
                          </w:tcPr>
                          <w:p w14:paraId="13D42F55"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4E28865A"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56.00</w:t>
                            </w:r>
                          </w:p>
                        </w:tc>
                        <w:tc>
                          <w:tcPr>
                            <w:tcW w:w="3060" w:type="dxa"/>
                          </w:tcPr>
                          <w:p w14:paraId="03B70690"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11,936,556.00</w:t>
                            </w:r>
                          </w:p>
                        </w:tc>
                        <w:tc>
                          <w:tcPr>
                            <w:tcW w:w="3548" w:type="dxa"/>
                          </w:tcPr>
                          <w:p w14:paraId="1F8369F4"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642CFC0" w14:textId="77777777" w:rsidR="0022603A" w:rsidRPr="0070311B" w:rsidRDefault="0022603A" w:rsidP="00CE0EC3">
                      <w:pPr>
                        <w:spacing w:line="14" w:lineRule="exact"/>
                        <w:rPr>
                          <w:rFonts w:asciiTheme="minorHAnsi" w:hAnsiTheme="minorHAnsi" w:cstheme="minorHAnsi"/>
                          <w:bCs/>
                          <w:color w:val="404040"/>
                          <w:sz w:val="22"/>
                          <w:szCs w:val="22"/>
                        </w:rPr>
                      </w:pPr>
                    </w:p>
                    <w:p w14:paraId="2C28D883"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AFE7469" w14:textId="77777777" w:rsidTr="00CE0EC3">
                        <w:tc>
                          <w:tcPr>
                            <w:tcW w:w="2859" w:type="dxa"/>
                          </w:tcPr>
                          <w:p w14:paraId="3606D250"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3EBF0DCC"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81.00</w:t>
                            </w:r>
                          </w:p>
                        </w:tc>
                        <w:tc>
                          <w:tcPr>
                            <w:tcW w:w="3060" w:type="dxa"/>
                          </w:tcPr>
                          <w:p w14:paraId="42811091"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7,369,889.00</w:t>
                            </w:r>
                          </w:p>
                        </w:tc>
                        <w:tc>
                          <w:tcPr>
                            <w:tcW w:w="3548" w:type="dxa"/>
                          </w:tcPr>
                          <w:p w14:paraId="6C657320"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5EC49544" w14:textId="77777777" w:rsidR="0022603A" w:rsidRPr="0070311B" w:rsidRDefault="0022603A" w:rsidP="00CE0EC3">
                      <w:pPr>
                        <w:spacing w:line="14" w:lineRule="exact"/>
                        <w:rPr>
                          <w:rFonts w:asciiTheme="minorHAnsi" w:hAnsiTheme="minorHAnsi" w:cstheme="minorHAnsi"/>
                          <w:bCs/>
                          <w:color w:val="404040"/>
                          <w:sz w:val="22"/>
                          <w:szCs w:val="22"/>
                        </w:rPr>
                      </w:pPr>
                    </w:p>
                    <w:p w14:paraId="369F4997"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E5A262C" w14:textId="77777777" w:rsidTr="00CE0EC3">
                        <w:tc>
                          <w:tcPr>
                            <w:tcW w:w="2859" w:type="dxa"/>
                          </w:tcPr>
                          <w:p w14:paraId="17D6F150"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2BF43A2B"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53684EA0"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5,822,333.00</w:t>
                            </w:r>
                          </w:p>
                        </w:tc>
                        <w:tc>
                          <w:tcPr>
                            <w:tcW w:w="3548" w:type="dxa"/>
                          </w:tcPr>
                          <w:p w14:paraId="639D2325"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037736C3"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36B963C6" w14:textId="77777777" w:rsidR="000C3959" w:rsidRDefault="000C3959"/>
            </w:tc>
          </w:tr>
        </w:tbl>
        <w:p w14:paraId="7937834F"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61B55FAA"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37F86FA4" w14:textId="77777777" w:rsidTr="00793B4C">
            <w:trPr>
              <w:trHeight w:val="20"/>
            </w:trPr>
            <w:tc>
              <w:tcPr>
                <w:tcW w:w="2871" w:type="dxa"/>
                <w:tcBorders>
                  <w:top w:val="nil"/>
                  <w:left w:val="nil"/>
                  <w:right w:val="nil"/>
                </w:tcBorders>
                <w:shd w:val="clear" w:color="auto" w:fill="DEEBF6"/>
                <w:tcMar>
                  <w:bottom w:w="0" w:type="dxa"/>
                </w:tcMar>
                <w:vAlign w:val="center"/>
              </w:tcPr>
              <w:p w14:paraId="0623ECC8"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2B3F56FA"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495D58F5" w14:textId="77777777" w:rsidTr="00793B4C">
            <w:trPr>
              <w:trHeight w:val="288"/>
            </w:trPr>
            <w:tc>
              <w:tcPr>
                <w:tcW w:w="2871" w:type="dxa"/>
                <w:shd w:val="clear" w:color="auto" w:fill="DEEBF6"/>
                <w:tcMar>
                  <w:bottom w:w="0" w:type="dxa"/>
                </w:tcMar>
                <w:vAlign w:val="center"/>
              </w:tcPr>
              <w:p w14:paraId="50DFB09B"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5</w:t>
                </w:r>
              </w:p>
            </w:tc>
            <w:tc>
              <w:tcPr>
                <w:tcW w:w="11259" w:type="dxa"/>
                <w:gridSpan w:val="4"/>
                <w:shd w:val="clear" w:color="auto" w:fill="DEEBF6"/>
                <w:tcMar>
                  <w:bottom w:w="0" w:type="dxa"/>
                </w:tcMar>
                <w:vAlign w:val="center"/>
              </w:tcPr>
              <w:p w14:paraId="308715D5"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Relevance of Education and Research (through externally generated revenue, internships, and entrepreneurship)</w:t>
                </w:r>
              </w:p>
            </w:tc>
          </w:tr>
          <w:tr w:rsidR="000C3959" w14:paraId="5E3120AC" w14:textId="77777777" w:rsidTr="00793B4C">
            <w:trPr>
              <w:trHeight w:val="288"/>
            </w:trPr>
            <w:tc>
              <w:tcPr>
                <w:tcW w:w="2871" w:type="dxa"/>
                <w:shd w:val="clear" w:color="auto" w:fill="E7E6E6"/>
                <w:tcMar>
                  <w:bottom w:w="0" w:type="dxa"/>
                </w:tcMar>
                <w:vAlign w:val="center"/>
              </w:tcPr>
              <w:p w14:paraId="1D2A7AE9"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01B9F033"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554086CE"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2780621C"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03408B6A"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6A1E333B" w14:textId="77777777" w:rsidTr="00793B4C">
            <w:trPr>
              <w:trHeight w:val="288"/>
            </w:trPr>
            <w:tc>
              <w:tcPr>
                <w:tcW w:w="2871" w:type="dxa"/>
                <w:tcBorders>
                  <w:bottom w:val="single" w:sz="4" w:space="0" w:color="D9D9D9"/>
                </w:tcBorders>
                <w:shd w:val="clear" w:color="auto" w:fill="F7F7F7"/>
                <w:tcMar>
                  <w:bottom w:w="0" w:type="dxa"/>
                </w:tcMar>
                <w:vAlign w:val="center"/>
              </w:tcPr>
              <w:p w14:paraId="1DBF450C"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4DC8B0AE"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272EDC74"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4BCC0E6E"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20,083,756.00</w:t>
                </w:r>
              </w:p>
            </w:tc>
            <w:tc>
              <w:tcPr>
                <w:tcW w:w="3575" w:type="dxa"/>
                <w:tcBorders>
                  <w:bottom w:val="single" w:sz="4" w:space="0" w:color="D9D9D9"/>
                </w:tcBorders>
                <w:shd w:val="clear" w:color="auto" w:fill="F7F7F7"/>
                <w:tcMar>
                  <w:bottom w:w="0" w:type="dxa"/>
                </w:tcMar>
                <w:vAlign w:val="center"/>
              </w:tcPr>
              <w:p w14:paraId="6E5265F4"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22.00</w:t>
                </w:r>
              </w:p>
            </w:tc>
          </w:tr>
          <w:tr w:rsidR="000C3959" w14:paraId="46A49338" w14:textId="77777777" w:rsidTr="00793B4C">
            <w:trPr>
              <w:trHeight w:val="288"/>
            </w:trPr>
            <w:tc>
              <w:tcPr>
                <w:tcW w:w="2871" w:type="dxa"/>
                <w:tcBorders>
                  <w:bottom w:val="nil"/>
                </w:tcBorders>
                <w:shd w:val="clear" w:color="auto" w:fill="E7E6E6"/>
                <w:tcMar>
                  <w:bottom w:w="0" w:type="dxa"/>
                </w:tcMar>
                <w:vAlign w:val="center"/>
              </w:tcPr>
              <w:p w14:paraId="23A0465C"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56B80ECA"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6E1C2D47"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4A01EB16"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30CC0627"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6D516972" w14:textId="77777777" w:rsidTr="00CE0EC3">
                  <w:tc>
                    <w:tcPr>
                      <w:tcW w:w="14093" w:type="dxa"/>
                    </w:tcPr>
                    <w:p w14:paraId="32B09839"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4C0A2EDA" w14:textId="77777777" w:rsidTr="00CE0EC3">
                        <w:tc>
                          <w:tcPr>
                            <w:tcW w:w="2859" w:type="dxa"/>
                          </w:tcPr>
                          <w:p w14:paraId="3BCC841F"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2FF562B1"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73D7FA70"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3FAF883C"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DB43EDB" w14:textId="77777777" w:rsidR="0022603A" w:rsidRPr="0070311B" w:rsidRDefault="0022603A" w:rsidP="00CE0EC3">
                      <w:pPr>
                        <w:spacing w:line="14" w:lineRule="exact"/>
                        <w:rPr>
                          <w:rFonts w:asciiTheme="minorHAnsi" w:hAnsiTheme="minorHAnsi" w:cstheme="minorHAnsi"/>
                          <w:bCs/>
                          <w:color w:val="404040"/>
                          <w:sz w:val="22"/>
                          <w:szCs w:val="22"/>
                        </w:rPr>
                      </w:pPr>
                    </w:p>
                    <w:p w14:paraId="46DC3358"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7F336400" w14:textId="77777777" w:rsidTr="00CE0EC3">
                        <w:tc>
                          <w:tcPr>
                            <w:tcW w:w="2859" w:type="dxa"/>
                          </w:tcPr>
                          <w:p w14:paraId="08AAA45E"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1570651F"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7.00</w:t>
                            </w:r>
                          </w:p>
                        </w:tc>
                        <w:tc>
                          <w:tcPr>
                            <w:tcW w:w="3060" w:type="dxa"/>
                          </w:tcPr>
                          <w:p w14:paraId="13E407DE"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1,440,667.00</w:t>
                            </w:r>
                          </w:p>
                        </w:tc>
                        <w:tc>
                          <w:tcPr>
                            <w:tcW w:w="3548" w:type="dxa"/>
                          </w:tcPr>
                          <w:p w14:paraId="2E0E8C91"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71903F38" w14:textId="77777777" w:rsidR="0022603A" w:rsidRPr="0070311B" w:rsidRDefault="0022603A" w:rsidP="00CE0EC3">
                      <w:pPr>
                        <w:spacing w:line="14" w:lineRule="exact"/>
                        <w:rPr>
                          <w:rFonts w:asciiTheme="minorHAnsi" w:hAnsiTheme="minorHAnsi" w:cstheme="minorHAnsi"/>
                          <w:bCs/>
                          <w:color w:val="404040"/>
                          <w:sz w:val="22"/>
                          <w:szCs w:val="22"/>
                        </w:rPr>
                      </w:pPr>
                    </w:p>
                    <w:p w14:paraId="45D644D9"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6B15038" w14:textId="77777777" w:rsidTr="00CE0EC3">
                        <w:tc>
                          <w:tcPr>
                            <w:tcW w:w="2859" w:type="dxa"/>
                          </w:tcPr>
                          <w:p w14:paraId="481C1C43"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79751199"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24.00</w:t>
                            </w:r>
                          </w:p>
                        </w:tc>
                        <w:tc>
                          <w:tcPr>
                            <w:tcW w:w="3060" w:type="dxa"/>
                          </w:tcPr>
                          <w:p w14:paraId="1B3123EE"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3,386,778.00</w:t>
                            </w:r>
                          </w:p>
                        </w:tc>
                        <w:tc>
                          <w:tcPr>
                            <w:tcW w:w="3548" w:type="dxa"/>
                          </w:tcPr>
                          <w:p w14:paraId="473C12FD"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3B5F6C28" w14:textId="77777777" w:rsidR="0022603A" w:rsidRPr="0070311B" w:rsidRDefault="0022603A" w:rsidP="00CE0EC3">
                      <w:pPr>
                        <w:spacing w:line="14" w:lineRule="exact"/>
                        <w:rPr>
                          <w:rFonts w:asciiTheme="minorHAnsi" w:hAnsiTheme="minorHAnsi" w:cstheme="minorHAnsi"/>
                          <w:bCs/>
                          <w:color w:val="404040"/>
                          <w:sz w:val="22"/>
                          <w:szCs w:val="22"/>
                        </w:rPr>
                      </w:pPr>
                    </w:p>
                    <w:p w14:paraId="56C4FF04"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4A7F189E" w14:textId="77777777" w:rsidTr="00CE0EC3">
                        <w:tc>
                          <w:tcPr>
                            <w:tcW w:w="2859" w:type="dxa"/>
                          </w:tcPr>
                          <w:p w14:paraId="5E78170A"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4018CBA0"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53.00</w:t>
                            </w:r>
                          </w:p>
                        </w:tc>
                        <w:tc>
                          <w:tcPr>
                            <w:tcW w:w="3060" w:type="dxa"/>
                          </w:tcPr>
                          <w:p w14:paraId="12488FA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5,746,667.00</w:t>
                            </w:r>
                          </w:p>
                        </w:tc>
                        <w:tc>
                          <w:tcPr>
                            <w:tcW w:w="3548" w:type="dxa"/>
                          </w:tcPr>
                          <w:p w14:paraId="04BC6519"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08E04982" w14:textId="77777777" w:rsidR="0022603A" w:rsidRPr="0070311B" w:rsidRDefault="0022603A" w:rsidP="00CE0EC3">
                      <w:pPr>
                        <w:spacing w:line="14" w:lineRule="exact"/>
                        <w:rPr>
                          <w:rFonts w:asciiTheme="minorHAnsi" w:hAnsiTheme="minorHAnsi" w:cstheme="minorHAnsi"/>
                          <w:bCs/>
                          <w:color w:val="404040"/>
                          <w:sz w:val="22"/>
                          <w:szCs w:val="22"/>
                        </w:rPr>
                      </w:pPr>
                    </w:p>
                    <w:p w14:paraId="1F70A71E"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1E69A5E" w14:textId="77777777" w:rsidTr="00CE0EC3">
                        <w:tc>
                          <w:tcPr>
                            <w:tcW w:w="2859" w:type="dxa"/>
                          </w:tcPr>
                          <w:p w14:paraId="3FC7E7CA"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73140B91"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78.00</w:t>
                            </w:r>
                          </w:p>
                        </w:tc>
                        <w:tc>
                          <w:tcPr>
                            <w:tcW w:w="3060" w:type="dxa"/>
                          </w:tcPr>
                          <w:p w14:paraId="630CBC0D"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5,047,222.00</w:t>
                            </w:r>
                          </w:p>
                        </w:tc>
                        <w:tc>
                          <w:tcPr>
                            <w:tcW w:w="3548" w:type="dxa"/>
                          </w:tcPr>
                          <w:p w14:paraId="7A971AA8"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56BCBB06" w14:textId="77777777" w:rsidR="0022603A" w:rsidRPr="0070311B" w:rsidRDefault="0022603A" w:rsidP="00CE0EC3">
                      <w:pPr>
                        <w:spacing w:line="14" w:lineRule="exact"/>
                        <w:rPr>
                          <w:rFonts w:asciiTheme="minorHAnsi" w:hAnsiTheme="minorHAnsi" w:cstheme="minorHAnsi"/>
                          <w:bCs/>
                          <w:color w:val="404040"/>
                          <w:sz w:val="22"/>
                          <w:szCs w:val="22"/>
                        </w:rPr>
                      </w:pPr>
                    </w:p>
                    <w:p w14:paraId="215FBBD5"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1E2D59CA" w14:textId="77777777" w:rsidTr="00CE0EC3">
                        <w:tc>
                          <w:tcPr>
                            <w:tcW w:w="2859" w:type="dxa"/>
                          </w:tcPr>
                          <w:p w14:paraId="70B5AE5F"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04EF641B"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6EE0215E"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4,462,422.00</w:t>
                            </w:r>
                          </w:p>
                        </w:tc>
                        <w:tc>
                          <w:tcPr>
                            <w:tcW w:w="3548" w:type="dxa"/>
                          </w:tcPr>
                          <w:p w14:paraId="276D10E1"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4CDA49E3"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67472E67" w14:textId="77777777" w:rsidR="000C3959" w:rsidRDefault="000C3959"/>
            </w:tc>
          </w:tr>
        </w:tbl>
        <w:p w14:paraId="1E14CCC1"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1EFFBFA3"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1F47C880" w14:textId="77777777" w:rsidTr="00793B4C">
            <w:trPr>
              <w:trHeight w:val="20"/>
            </w:trPr>
            <w:tc>
              <w:tcPr>
                <w:tcW w:w="2871" w:type="dxa"/>
                <w:tcBorders>
                  <w:top w:val="nil"/>
                  <w:left w:val="nil"/>
                  <w:right w:val="nil"/>
                </w:tcBorders>
                <w:shd w:val="clear" w:color="auto" w:fill="DEEBF6"/>
                <w:tcMar>
                  <w:bottom w:w="0" w:type="dxa"/>
                </w:tcMar>
                <w:vAlign w:val="center"/>
              </w:tcPr>
              <w:p w14:paraId="54679A8B"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25A0A788"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3B0A9255" w14:textId="77777777" w:rsidTr="00793B4C">
            <w:trPr>
              <w:trHeight w:val="288"/>
            </w:trPr>
            <w:tc>
              <w:tcPr>
                <w:tcW w:w="2871" w:type="dxa"/>
                <w:shd w:val="clear" w:color="auto" w:fill="DEEBF6"/>
                <w:tcMar>
                  <w:bottom w:w="0" w:type="dxa"/>
                </w:tcMar>
                <w:vAlign w:val="center"/>
              </w:tcPr>
              <w:p w14:paraId="1FE3A3E7"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6</w:t>
                </w:r>
              </w:p>
            </w:tc>
            <w:tc>
              <w:tcPr>
                <w:tcW w:w="11259" w:type="dxa"/>
                <w:gridSpan w:val="4"/>
                <w:shd w:val="clear" w:color="auto" w:fill="DEEBF6"/>
                <w:tcMar>
                  <w:bottom w:w="0" w:type="dxa"/>
                </w:tcMar>
                <w:vAlign w:val="center"/>
              </w:tcPr>
              <w:p w14:paraId="7B13A0BE"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Timeliness and quality of fiduciary management</w:t>
                </w:r>
              </w:p>
            </w:tc>
          </w:tr>
          <w:tr w:rsidR="000C3959" w14:paraId="6C6E53AE" w14:textId="77777777" w:rsidTr="00793B4C">
            <w:trPr>
              <w:trHeight w:val="288"/>
            </w:trPr>
            <w:tc>
              <w:tcPr>
                <w:tcW w:w="2871" w:type="dxa"/>
                <w:shd w:val="clear" w:color="auto" w:fill="E7E6E6"/>
                <w:tcMar>
                  <w:bottom w:w="0" w:type="dxa"/>
                </w:tcMar>
                <w:vAlign w:val="center"/>
              </w:tcPr>
              <w:p w14:paraId="1F9CA3B8"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57417F57"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06BF20F9"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6D60A74D"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2FFF33AD"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01E83967" w14:textId="77777777" w:rsidTr="00793B4C">
            <w:trPr>
              <w:trHeight w:val="288"/>
            </w:trPr>
            <w:tc>
              <w:tcPr>
                <w:tcW w:w="2871" w:type="dxa"/>
                <w:tcBorders>
                  <w:bottom w:val="single" w:sz="4" w:space="0" w:color="D9D9D9"/>
                </w:tcBorders>
                <w:shd w:val="clear" w:color="auto" w:fill="F7F7F7"/>
                <w:tcMar>
                  <w:bottom w:w="0" w:type="dxa"/>
                </w:tcMar>
                <w:vAlign w:val="center"/>
              </w:tcPr>
              <w:p w14:paraId="5F8D2043"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441B9377"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70F50FFF"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0473ACB1"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4,797,666.00</w:t>
                </w:r>
              </w:p>
            </w:tc>
            <w:tc>
              <w:tcPr>
                <w:tcW w:w="3575" w:type="dxa"/>
                <w:tcBorders>
                  <w:bottom w:val="single" w:sz="4" w:space="0" w:color="D9D9D9"/>
                </w:tcBorders>
                <w:shd w:val="clear" w:color="auto" w:fill="F7F7F7"/>
                <w:tcMar>
                  <w:bottom w:w="0" w:type="dxa"/>
                </w:tcMar>
                <w:vAlign w:val="center"/>
              </w:tcPr>
              <w:p w14:paraId="64B4A9F0"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7.00</w:t>
                </w:r>
              </w:p>
            </w:tc>
          </w:tr>
          <w:tr w:rsidR="000C3959" w14:paraId="212FDCB6" w14:textId="77777777" w:rsidTr="00793B4C">
            <w:trPr>
              <w:trHeight w:val="288"/>
            </w:trPr>
            <w:tc>
              <w:tcPr>
                <w:tcW w:w="2871" w:type="dxa"/>
                <w:tcBorders>
                  <w:bottom w:val="nil"/>
                </w:tcBorders>
                <w:shd w:val="clear" w:color="auto" w:fill="E7E6E6"/>
                <w:tcMar>
                  <w:bottom w:w="0" w:type="dxa"/>
                </w:tcMar>
                <w:vAlign w:val="center"/>
              </w:tcPr>
              <w:p w14:paraId="44EED665"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19A3C074"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3A1AF1DD"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36BD8F51"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20B734B0"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1F118AB2" w14:textId="77777777" w:rsidTr="00CE0EC3">
                  <w:tc>
                    <w:tcPr>
                      <w:tcW w:w="14093" w:type="dxa"/>
                    </w:tcPr>
                    <w:p w14:paraId="4432F421"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22B4076" w14:textId="77777777" w:rsidTr="00CE0EC3">
                        <w:tc>
                          <w:tcPr>
                            <w:tcW w:w="2859" w:type="dxa"/>
                          </w:tcPr>
                          <w:p w14:paraId="71CC70CC"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4B104802"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4AA73EFB"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0D27FD40"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054E241" w14:textId="77777777" w:rsidR="0022603A" w:rsidRPr="0070311B" w:rsidRDefault="0022603A" w:rsidP="00CE0EC3">
                      <w:pPr>
                        <w:spacing w:line="14" w:lineRule="exact"/>
                        <w:rPr>
                          <w:rFonts w:asciiTheme="minorHAnsi" w:hAnsiTheme="minorHAnsi" w:cstheme="minorHAnsi"/>
                          <w:bCs/>
                          <w:color w:val="404040"/>
                          <w:sz w:val="22"/>
                          <w:szCs w:val="22"/>
                        </w:rPr>
                      </w:pPr>
                    </w:p>
                    <w:p w14:paraId="3378CD54"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BDAA697" w14:textId="77777777" w:rsidTr="00CE0EC3">
                        <w:tc>
                          <w:tcPr>
                            <w:tcW w:w="2859" w:type="dxa"/>
                          </w:tcPr>
                          <w:p w14:paraId="3C69D0B4"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42786447"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13.00</w:t>
                            </w:r>
                          </w:p>
                        </w:tc>
                        <w:tc>
                          <w:tcPr>
                            <w:tcW w:w="3060" w:type="dxa"/>
                          </w:tcPr>
                          <w:p w14:paraId="1FABDE4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619,667.00</w:t>
                            </w:r>
                          </w:p>
                        </w:tc>
                        <w:tc>
                          <w:tcPr>
                            <w:tcW w:w="3548" w:type="dxa"/>
                          </w:tcPr>
                          <w:p w14:paraId="1F7BCFAB"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3E35D608" w14:textId="77777777" w:rsidR="0022603A" w:rsidRPr="0070311B" w:rsidRDefault="0022603A" w:rsidP="00CE0EC3">
                      <w:pPr>
                        <w:spacing w:line="14" w:lineRule="exact"/>
                        <w:rPr>
                          <w:rFonts w:asciiTheme="minorHAnsi" w:hAnsiTheme="minorHAnsi" w:cstheme="minorHAnsi"/>
                          <w:bCs/>
                          <w:color w:val="404040"/>
                          <w:sz w:val="22"/>
                          <w:szCs w:val="22"/>
                        </w:rPr>
                      </w:pPr>
                    </w:p>
                    <w:p w14:paraId="3260CF64"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B722007" w14:textId="77777777" w:rsidTr="00CE0EC3">
                        <w:tc>
                          <w:tcPr>
                            <w:tcW w:w="2859" w:type="dxa"/>
                          </w:tcPr>
                          <w:p w14:paraId="47010B0A"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0E116510"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36.00</w:t>
                            </w:r>
                          </w:p>
                        </w:tc>
                        <w:tc>
                          <w:tcPr>
                            <w:tcW w:w="3060" w:type="dxa"/>
                          </w:tcPr>
                          <w:p w14:paraId="4C5ED5E7"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1,109,333.00</w:t>
                            </w:r>
                          </w:p>
                        </w:tc>
                        <w:tc>
                          <w:tcPr>
                            <w:tcW w:w="3548" w:type="dxa"/>
                          </w:tcPr>
                          <w:p w14:paraId="6D40D682"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14438E7A" w14:textId="77777777" w:rsidR="0022603A" w:rsidRPr="0070311B" w:rsidRDefault="0022603A" w:rsidP="00CE0EC3">
                      <w:pPr>
                        <w:spacing w:line="14" w:lineRule="exact"/>
                        <w:rPr>
                          <w:rFonts w:asciiTheme="minorHAnsi" w:hAnsiTheme="minorHAnsi" w:cstheme="minorHAnsi"/>
                          <w:bCs/>
                          <w:color w:val="404040"/>
                          <w:sz w:val="22"/>
                          <w:szCs w:val="22"/>
                        </w:rPr>
                      </w:pPr>
                    </w:p>
                    <w:p w14:paraId="7EBDA161"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2844BBD0" w14:textId="77777777" w:rsidTr="00CE0EC3">
                        <w:tc>
                          <w:tcPr>
                            <w:tcW w:w="2859" w:type="dxa"/>
                          </w:tcPr>
                          <w:p w14:paraId="4BE4F5E2"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29B9AB75"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55.00</w:t>
                            </w:r>
                          </w:p>
                        </w:tc>
                        <w:tc>
                          <w:tcPr>
                            <w:tcW w:w="3060" w:type="dxa"/>
                          </w:tcPr>
                          <w:p w14:paraId="52F35E80"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916,000.00</w:t>
                            </w:r>
                          </w:p>
                        </w:tc>
                        <w:tc>
                          <w:tcPr>
                            <w:tcW w:w="3548" w:type="dxa"/>
                          </w:tcPr>
                          <w:p w14:paraId="5D7D3AC7"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FE5D408" w14:textId="77777777" w:rsidR="0022603A" w:rsidRPr="0070311B" w:rsidRDefault="0022603A" w:rsidP="00CE0EC3">
                      <w:pPr>
                        <w:spacing w:line="14" w:lineRule="exact"/>
                        <w:rPr>
                          <w:rFonts w:asciiTheme="minorHAnsi" w:hAnsiTheme="minorHAnsi" w:cstheme="minorHAnsi"/>
                          <w:bCs/>
                          <w:color w:val="404040"/>
                          <w:sz w:val="22"/>
                          <w:szCs w:val="22"/>
                        </w:rPr>
                      </w:pPr>
                    </w:p>
                    <w:p w14:paraId="5F041CF5"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79C0251" w14:textId="77777777" w:rsidTr="00CE0EC3">
                        <w:tc>
                          <w:tcPr>
                            <w:tcW w:w="2859" w:type="dxa"/>
                          </w:tcPr>
                          <w:p w14:paraId="3BD7CC21"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lastRenderedPageBreak/>
                              <w:t>Year 4</w:t>
                            </w:r>
                          </w:p>
                        </w:tc>
                        <w:tc>
                          <w:tcPr>
                            <w:tcW w:w="4622" w:type="dxa"/>
                          </w:tcPr>
                          <w:p w14:paraId="60BEE1C2"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77.00</w:t>
                            </w:r>
                          </w:p>
                        </w:tc>
                        <w:tc>
                          <w:tcPr>
                            <w:tcW w:w="3060" w:type="dxa"/>
                          </w:tcPr>
                          <w:p w14:paraId="15E7AC2A"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1,088,333.00</w:t>
                            </w:r>
                          </w:p>
                        </w:tc>
                        <w:tc>
                          <w:tcPr>
                            <w:tcW w:w="3548" w:type="dxa"/>
                          </w:tcPr>
                          <w:p w14:paraId="73C4952E"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1711B9F7" w14:textId="77777777" w:rsidR="0022603A" w:rsidRPr="0070311B" w:rsidRDefault="0022603A" w:rsidP="00CE0EC3">
                      <w:pPr>
                        <w:spacing w:line="14" w:lineRule="exact"/>
                        <w:rPr>
                          <w:rFonts w:asciiTheme="minorHAnsi" w:hAnsiTheme="minorHAnsi" w:cstheme="minorHAnsi"/>
                          <w:bCs/>
                          <w:color w:val="404040"/>
                          <w:sz w:val="22"/>
                          <w:szCs w:val="22"/>
                        </w:rPr>
                      </w:pPr>
                    </w:p>
                    <w:p w14:paraId="1E17F8B9"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6B4339A" w14:textId="77777777" w:rsidTr="00CE0EC3">
                        <w:tc>
                          <w:tcPr>
                            <w:tcW w:w="2859" w:type="dxa"/>
                          </w:tcPr>
                          <w:p w14:paraId="18AD8955"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547A373A"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6FA5927F"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1,064,333.00</w:t>
                            </w:r>
                          </w:p>
                        </w:tc>
                        <w:tc>
                          <w:tcPr>
                            <w:tcW w:w="3548" w:type="dxa"/>
                          </w:tcPr>
                          <w:p w14:paraId="3DF1F797"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4A2C42F5"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7F029265" w14:textId="77777777" w:rsidR="000C3959" w:rsidRDefault="000C3959"/>
            </w:tc>
          </w:tr>
        </w:tbl>
        <w:p w14:paraId="2F6D117D"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0644C22E" w14:textId="77777777" w:rsidR="004E1BEB" w:rsidRPr="000440C0" w:rsidRDefault="004E1BEB" w:rsidP="00D93FC8">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871"/>
            <w:gridCol w:w="2702"/>
            <w:gridCol w:w="1919"/>
            <w:gridCol w:w="3063"/>
            <w:gridCol w:w="3575"/>
          </w:tblGrid>
          <w:tr w:rsidR="000C3959" w14:paraId="44BAB6A6" w14:textId="77777777" w:rsidTr="00793B4C">
            <w:trPr>
              <w:trHeight w:val="20"/>
            </w:trPr>
            <w:tc>
              <w:tcPr>
                <w:tcW w:w="2871" w:type="dxa"/>
                <w:tcBorders>
                  <w:top w:val="nil"/>
                  <w:left w:val="nil"/>
                  <w:right w:val="nil"/>
                </w:tcBorders>
                <w:shd w:val="clear" w:color="auto" w:fill="DEEBF6"/>
                <w:tcMar>
                  <w:bottom w:w="0" w:type="dxa"/>
                </w:tcMar>
                <w:vAlign w:val="center"/>
              </w:tcPr>
              <w:p w14:paraId="16DA030E" w14:textId="77777777" w:rsidR="00793B4C" w:rsidRPr="00793B4C" w:rsidRDefault="00B00100" w:rsidP="00793B4C">
                <w:pPr>
                  <w:keepNext/>
                  <w:spacing w:line="14" w:lineRule="exact"/>
                  <w:ind w:left="86"/>
                  <w:rPr>
                    <w:rFonts w:asciiTheme="minorHAnsi" w:hAnsiTheme="minorHAnsi" w:cstheme="minorHAnsi"/>
                    <w:b/>
                    <w:bCs/>
                    <w:color w:val="DEEAF7"/>
                    <w:sz w:val="2"/>
                    <w:szCs w:val="2"/>
                  </w:rPr>
                </w:pPr>
                <w:r w:rsidRPr="00793B4C">
                  <w:rPr>
                    <w:rFonts w:asciiTheme="minorHAnsi" w:hAnsiTheme="minorHAnsi" w:cstheme="minorHAnsi"/>
                    <w:b/>
                    <w:bCs/>
                    <w:color w:val="DEEAF7"/>
                    <w:sz w:val="2"/>
                    <w:szCs w:val="2"/>
                  </w:rPr>
                  <w:t>DLI_TBL_MATRIX</w:t>
                </w:r>
              </w:p>
            </w:tc>
            <w:tc>
              <w:tcPr>
                <w:tcW w:w="11259" w:type="dxa"/>
                <w:gridSpan w:val="4"/>
                <w:tcBorders>
                  <w:top w:val="nil"/>
                  <w:left w:val="nil"/>
                  <w:right w:val="nil"/>
                </w:tcBorders>
                <w:shd w:val="clear" w:color="auto" w:fill="DEEBF6"/>
                <w:tcMar>
                  <w:bottom w:w="0" w:type="dxa"/>
                </w:tcMar>
                <w:vAlign w:val="center"/>
              </w:tcPr>
              <w:p w14:paraId="44B3E73C" w14:textId="77777777" w:rsidR="00793B4C" w:rsidRPr="00793B4C" w:rsidRDefault="00793B4C" w:rsidP="00793B4C">
                <w:pPr>
                  <w:keepNext/>
                  <w:spacing w:line="14" w:lineRule="exact"/>
                  <w:ind w:left="86" w:right="81"/>
                  <w:rPr>
                    <w:rFonts w:asciiTheme="minorHAnsi" w:hAnsiTheme="minorHAnsi" w:cstheme="minorHAnsi"/>
                    <w:sz w:val="2"/>
                    <w:szCs w:val="2"/>
                  </w:rPr>
                </w:pPr>
              </w:p>
            </w:tc>
          </w:tr>
          <w:tr w:rsidR="000C3959" w14:paraId="16894058" w14:textId="77777777" w:rsidTr="00793B4C">
            <w:trPr>
              <w:trHeight w:val="288"/>
            </w:trPr>
            <w:tc>
              <w:tcPr>
                <w:tcW w:w="2871" w:type="dxa"/>
                <w:shd w:val="clear" w:color="auto" w:fill="DEEBF6"/>
                <w:tcMar>
                  <w:bottom w:w="0" w:type="dxa"/>
                </w:tcMar>
                <w:vAlign w:val="center"/>
              </w:tcPr>
              <w:p w14:paraId="49FDCD94" w14:textId="77777777" w:rsidR="0022603A" w:rsidRPr="0070311B" w:rsidRDefault="00B00100" w:rsidP="00D93FC8">
                <w:pPr>
                  <w:keepNext/>
                  <w:spacing w:before="100" w:after="100"/>
                  <w:ind w:left="90"/>
                  <w:rPr>
                    <w:rFonts w:asciiTheme="minorHAnsi" w:hAnsiTheme="minorHAnsi" w:cstheme="minorHAnsi"/>
                    <w:sz w:val="22"/>
                    <w:szCs w:val="22"/>
                  </w:rPr>
                </w:pPr>
                <w:r w:rsidRPr="0070311B">
                  <w:rPr>
                    <w:rFonts w:asciiTheme="minorHAnsi" w:hAnsiTheme="minorHAnsi" w:cstheme="minorHAnsi"/>
                    <w:b/>
                    <w:bCs/>
                    <w:color w:val="404040"/>
                    <w:sz w:val="22"/>
                    <w:szCs w:val="22"/>
                  </w:rPr>
                  <w:t xml:space="preserve">DLI </w:t>
                </w:r>
                <w:r w:rsidRPr="0070311B">
                  <w:rPr>
                    <w:rFonts w:asciiTheme="minorHAnsi" w:hAnsiTheme="minorHAnsi" w:cstheme="minorHAnsi"/>
                    <w:b/>
                    <w:bCs/>
                    <w:noProof/>
                    <w:color w:val="404040"/>
                    <w:sz w:val="22"/>
                    <w:szCs w:val="22"/>
                  </w:rPr>
                  <w:t>7</w:t>
                </w:r>
              </w:p>
            </w:tc>
            <w:tc>
              <w:tcPr>
                <w:tcW w:w="11259" w:type="dxa"/>
                <w:gridSpan w:val="4"/>
                <w:shd w:val="clear" w:color="auto" w:fill="DEEBF6"/>
                <w:tcMar>
                  <w:bottom w:w="0" w:type="dxa"/>
                </w:tcMar>
                <w:vAlign w:val="center"/>
              </w:tcPr>
              <w:p w14:paraId="28C4875A" w14:textId="77777777" w:rsidR="0022603A" w:rsidRPr="0070311B" w:rsidRDefault="00B00100" w:rsidP="00D93FC8">
                <w:pPr>
                  <w:keepNext/>
                  <w:spacing w:before="100" w:after="100"/>
                  <w:ind w:left="90" w:right="81"/>
                  <w:rPr>
                    <w:rFonts w:asciiTheme="minorHAnsi" w:hAnsiTheme="minorHAnsi" w:cstheme="minorHAnsi"/>
                    <w:sz w:val="22"/>
                    <w:szCs w:val="22"/>
                  </w:rPr>
                </w:pPr>
                <w:r w:rsidRPr="0070311B">
                  <w:rPr>
                    <w:rFonts w:asciiTheme="minorHAnsi" w:hAnsiTheme="minorHAnsi" w:cstheme="minorHAnsi"/>
                    <w:noProof/>
                    <w:sz w:val="22"/>
                    <w:szCs w:val="22"/>
                  </w:rPr>
                  <w:t>Institutional Impact</w:t>
                </w:r>
              </w:p>
            </w:tc>
          </w:tr>
          <w:tr w:rsidR="000C3959" w14:paraId="59C15A33" w14:textId="77777777" w:rsidTr="00793B4C">
            <w:trPr>
              <w:trHeight w:val="288"/>
            </w:trPr>
            <w:tc>
              <w:tcPr>
                <w:tcW w:w="2871" w:type="dxa"/>
                <w:shd w:val="clear" w:color="auto" w:fill="E7E6E6"/>
                <w:tcMar>
                  <w:bottom w:w="0" w:type="dxa"/>
                </w:tcMar>
                <w:vAlign w:val="center"/>
              </w:tcPr>
              <w:p w14:paraId="2A762FBC"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Type of DLI</w:t>
                </w:r>
              </w:p>
            </w:tc>
            <w:tc>
              <w:tcPr>
                <w:tcW w:w="2702" w:type="dxa"/>
                <w:shd w:val="clear" w:color="auto" w:fill="E7E6E6"/>
                <w:tcMar>
                  <w:bottom w:w="0" w:type="dxa"/>
                </w:tcMar>
                <w:vAlign w:val="center"/>
              </w:tcPr>
              <w:p w14:paraId="131208E1"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Scalability</w:t>
                </w:r>
              </w:p>
            </w:tc>
            <w:tc>
              <w:tcPr>
                <w:tcW w:w="1919" w:type="dxa"/>
                <w:shd w:val="clear" w:color="auto" w:fill="E7E6E6"/>
                <w:tcMar>
                  <w:bottom w:w="0" w:type="dxa"/>
                </w:tcMar>
                <w:vAlign w:val="center"/>
              </w:tcPr>
              <w:p w14:paraId="35EB6174" w14:textId="77777777" w:rsidR="0022603A" w:rsidRPr="0070311B" w:rsidRDefault="00B00100" w:rsidP="00D93FC8">
                <w:pPr>
                  <w:keepNext/>
                  <w:spacing w:before="100" w:after="100"/>
                  <w:ind w:left="90"/>
                  <w:rPr>
                    <w:rFonts w:asciiTheme="minorHAnsi" w:hAnsiTheme="minorHAnsi" w:cstheme="minorHAnsi"/>
                    <w:noProof/>
                    <w:sz w:val="22"/>
                    <w:szCs w:val="22"/>
                  </w:rPr>
                </w:pPr>
                <w:r w:rsidRPr="0070311B">
                  <w:rPr>
                    <w:rFonts w:asciiTheme="minorHAnsi" w:hAnsiTheme="minorHAnsi" w:cstheme="minorHAnsi"/>
                    <w:b/>
                    <w:bCs/>
                    <w:color w:val="404040"/>
                    <w:sz w:val="22"/>
                    <w:szCs w:val="22"/>
                  </w:rPr>
                  <w:t>Unit of Measure</w:t>
                </w:r>
              </w:p>
            </w:tc>
            <w:tc>
              <w:tcPr>
                <w:tcW w:w="3063" w:type="dxa"/>
                <w:shd w:val="clear" w:color="auto" w:fill="E7E6E6"/>
                <w:tcMar>
                  <w:bottom w:w="0" w:type="dxa"/>
                </w:tcMar>
                <w:vAlign w:val="center"/>
              </w:tcPr>
              <w:p w14:paraId="22065E15"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Total Allocated Amount (USD)</w:t>
                </w:r>
              </w:p>
            </w:tc>
            <w:tc>
              <w:tcPr>
                <w:tcW w:w="3575" w:type="dxa"/>
                <w:shd w:val="clear" w:color="auto" w:fill="E7E6E6"/>
                <w:tcMar>
                  <w:bottom w:w="0" w:type="dxa"/>
                </w:tcMar>
                <w:vAlign w:val="center"/>
              </w:tcPr>
              <w:p w14:paraId="69541548"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b/>
                    <w:bCs/>
                    <w:color w:val="404040"/>
                    <w:sz w:val="22"/>
                    <w:szCs w:val="22"/>
                  </w:rPr>
                  <w:t>As % of Total Financing Amount</w:t>
                </w:r>
              </w:p>
            </w:tc>
          </w:tr>
          <w:tr w:rsidR="000C3959" w14:paraId="142D60DD" w14:textId="77777777" w:rsidTr="00793B4C">
            <w:trPr>
              <w:trHeight w:val="288"/>
            </w:trPr>
            <w:tc>
              <w:tcPr>
                <w:tcW w:w="2871" w:type="dxa"/>
                <w:tcBorders>
                  <w:bottom w:val="single" w:sz="4" w:space="0" w:color="D9D9D9"/>
                </w:tcBorders>
                <w:shd w:val="clear" w:color="auto" w:fill="F7F7F7"/>
                <w:tcMar>
                  <w:bottom w:w="0" w:type="dxa"/>
                </w:tcMar>
                <w:vAlign w:val="center"/>
              </w:tcPr>
              <w:p w14:paraId="69AE37B5"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Output</w:t>
                </w:r>
              </w:p>
            </w:tc>
            <w:tc>
              <w:tcPr>
                <w:tcW w:w="2702" w:type="dxa"/>
                <w:tcBorders>
                  <w:bottom w:val="single" w:sz="4" w:space="0" w:color="D9D9D9"/>
                </w:tcBorders>
                <w:shd w:val="clear" w:color="auto" w:fill="F7F7F7"/>
                <w:tcMar>
                  <w:bottom w:w="0" w:type="dxa"/>
                </w:tcMar>
                <w:vAlign w:val="center"/>
              </w:tcPr>
              <w:p w14:paraId="5B9C0B25"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Yes</w:t>
                </w:r>
              </w:p>
            </w:tc>
            <w:tc>
              <w:tcPr>
                <w:tcW w:w="1919" w:type="dxa"/>
                <w:tcBorders>
                  <w:bottom w:val="single" w:sz="4" w:space="0" w:color="D9D9D9"/>
                </w:tcBorders>
                <w:shd w:val="clear" w:color="auto" w:fill="F7F7F7"/>
                <w:tcMar>
                  <w:bottom w:w="0" w:type="dxa"/>
                </w:tcMar>
                <w:vAlign w:val="center"/>
              </w:tcPr>
              <w:p w14:paraId="0C6475F8" w14:textId="77777777" w:rsidR="0022603A" w:rsidRPr="0070311B" w:rsidRDefault="00B00100" w:rsidP="00D93FC8">
                <w:pPr>
                  <w:keepNext/>
                  <w:spacing w:before="100" w:after="100"/>
                  <w:ind w:left="90" w:right="90"/>
                  <w:rPr>
                    <w:rFonts w:asciiTheme="minorHAnsi" w:hAnsiTheme="minorHAnsi" w:cstheme="minorHAnsi"/>
                    <w:noProof/>
                    <w:sz w:val="22"/>
                    <w:szCs w:val="22"/>
                  </w:rPr>
                </w:pPr>
                <w:r w:rsidRPr="0070311B">
                  <w:rPr>
                    <w:rFonts w:asciiTheme="minorHAnsi" w:hAnsiTheme="minorHAnsi" w:cstheme="minorHAnsi"/>
                    <w:noProof/>
                    <w:sz w:val="22"/>
                    <w:szCs w:val="22"/>
                  </w:rPr>
                  <w:t>Percentage</w:t>
                </w:r>
              </w:p>
            </w:tc>
            <w:tc>
              <w:tcPr>
                <w:tcW w:w="3063" w:type="dxa"/>
                <w:tcBorders>
                  <w:bottom w:val="single" w:sz="4" w:space="0" w:color="D9D9D9"/>
                </w:tcBorders>
                <w:shd w:val="clear" w:color="auto" w:fill="F7F7F7"/>
                <w:tcMar>
                  <w:bottom w:w="0" w:type="dxa"/>
                </w:tcMar>
                <w:vAlign w:val="center"/>
              </w:tcPr>
              <w:p w14:paraId="050E5150" w14:textId="77777777" w:rsidR="0022603A" w:rsidRPr="0070311B" w:rsidRDefault="00B00100" w:rsidP="00D93FC8">
                <w:pPr>
                  <w:keepNext/>
                  <w:spacing w:before="100" w:after="100"/>
                  <w:ind w:left="90" w:right="90"/>
                  <w:jc w:val="right"/>
                  <w:rPr>
                    <w:rFonts w:asciiTheme="minorHAnsi" w:hAnsiTheme="minorHAnsi" w:cstheme="minorHAnsi"/>
                    <w:noProof/>
                    <w:sz w:val="22"/>
                    <w:szCs w:val="22"/>
                  </w:rPr>
                </w:pPr>
                <w:r w:rsidRPr="0070311B">
                  <w:rPr>
                    <w:rFonts w:asciiTheme="minorHAnsi" w:hAnsiTheme="minorHAnsi" w:cstheme="minorHAnsi"/>
                    <w:noProof/>
                    <w:sz w:val="22"/>
                    <w:szCs w:val="22"/>
                  </w:rPr>
                  <w:t>13,886,668.00</w:t>
                </w:r>
              </w:p>
            </w:tc>
            <w:tc>
              <w:tcPr>
                <w:tcW w:w="3575" w:type="dxa"/>
                <w:tcBorders>
                  <w:bottom w:val="single" w:sz="4" w:space="0" w:color="D9D9D9"/>
                </w:tcBorders>
                <w:shd w:val="clear" w:color="auto" w:fill="F7F7F7"/>
                <w:tcMar>
                  <w:bottom w:w="0" w:type="dxa"/>
                </w:tcMar>
                <w:vAlign w:val="center"/>
              </w:tcPr>
              <w:p w14:paraId="11520F9B" w14:textId="77777777" w:rsidR="0022603A" w:rsidRPr="0070311B" w:rsidRDefault="00B00100" w:rsidP="00D93FC8">
                <w:pPr>
                  <w:keepNext/>
                  <w:spacing w:before="100" w:after="100"/>
                  <w:ind w:left="90" w:right="180"/>
                  <w:rPr>
                    <w:rFonts w:asciiTheme="minorHAnsi" w:hAnsiTheme="minorHAnsi" w:cstheme="minorHAnsi"/>
                    <w:noProof/>
                    <w:sz w:val="22"/>
                    <w:szCs w:val="22"/>
                  </w:rPr>
                </w:pPr>
                <w:r>
                  <w:rPr>
                    <w:rFonts w:asciiTheme="minorHAnsi" w:hAnsiTheme="minorHAnsi" w:cstheme="minorHAnsi"/>
                    <w:noProof/>
                    <w:sz w:val="22"/>
                    <w:szCs w:val="22"/>
                  </w:rPr>
                  <w:t>8.00</w:t>
                </w:r>
              </w:p>
            </w:tc>
          </w:tr>
          <w:tr w:rsidR="000C3959" w14:paraId="78766DFD" w14:textId="77777777" w:rsidTr="00793B4C">
            <w:trPr>
              <w:trHeight w:val="288"/>
            </w:trPr>
            <w:tc>
              <w:tcPr>
                <w:tcW w:w="2871" w:type="dxa"/>
                <w:tcBorders>
                  <w:bottom w:val="nil"/>
                </w:tcBorders>
                <w:shd w:val="clear" w:color="auto" w:fill="E7E6E6"/>
                <w:tcMar>
                  <w:bottom w:w="0" w:type="dxa"/>
                </w:tcMar>
                <w:vAlign w:val="center"/>
              </w:tcPr>
              <w:p w14:paraId="2BE9B090"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Period</w:t>
                </w:r>
              </w:p>
            </w:tc>
            <w:tc>
              <w:tcPr>
                <w:tcW w:w="4621" w:type="dxa"/>
                <w:gridSpan w:val="2"/>
                <w:tcBorders>
                  <w:bottom w:val="nil"/>
                </w:tcBorders>
                <w:shd w:val="clear" w:color="auto" w:fill="E7E6E6"/>
                <w:tcMar>
                  <w:bottom w:w="0" w:type="dxa"/>
                </w:tcMar>
                <w:vAlign w:val="center"/>
              </w:tcPr>
              <w:p w14:paraId="3F275995"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Value</w:t>
                </w:r>
              </w:p>
            </w:tc>
            <w:tc>
              <w:tcPr>
                <w:tcW w:w="3063" w:type="dxa"/>
                <w:tcBorders>
                  <w:bottom w:val="nil"/>
                </w:tcBorders>
                <w:shd w:val="clear" w:color="auto" w:fill="E7E6E6"/>
                <w:tcMar>
                  <w:bottom w:w="0" w:type="dxa"/>
                </w:tcMar>
                <w:vAlign w:val="center"/>
              </w:tcPr>
              <w:p w14:paraId="63A477BA" w14:textId="77777777" w:rsidR="0022603A" w:rsidRPr="0070311B" w:rsidRDefault="00B00100" w:rsidP="00CE0EC3">
                <w:pPr>
                  <w:ind w:left="90" w:right="90"/>
                  <w:jc w:val="right"/>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Allocated Amount (USD)</w:t>
                </w:r>
              </w:p>
            </w:tc>
            <w:tc>
              <w:tcPr>
                <w:tcW w:w="3575" w:type="dxa"/>
                <w:tcBorders>
                  <w:bottom w:val="nil"/>
                </w:tcBorders>
                <w:shd w:val="clear" w:color="auto" w:fill="E7E6E6"/>
                <w:tcMar>
                  <w:bottom w:w="0" w:type="dxa"/>
                </w:tcMar>
                <w:vAlign w:val="center"/>
              </w:tcPr>
              <w:p w14:paraId="3792092A" w14:textId="77777777" w:rsidR="0022603A" w:rsidRPr="0070311B" w:rsidRDefault="00B00100" w:rsidP="00CE0EC3">
                <w:pPr>
                  <w:ind w:left="90"/>
                  <w:rPr>
                    <w:rFonts w:asciiTheme="minorHAnsi" w:hAnsiTheme="minorHAnsi" w:cstheme="minorHAnsi"/>
                    <w:b/>
                    <w:bCs/>
                    <w:color w:val="404040"/>
                    <w:sz w:val="22"/>
                    <w:szCs w:val="22"/>
                  </w:rPr>
                </w:pPr>
                <w:r w:rsidRPr="0070311B">
                  <w:rPr>
                    <w:rFonts w:asciiTheme="minorHAnsi" w:hAnsiTheme="minorHAnsi" w:cstheme="minorHAnsi"/>
                    <w:b/>
                    <w:bCs/>
                    <w:color w:val="404040"/>
                    <w:sz w:val="22"/>
                    <w:szCs w:val="22"/>
                  </w:rPr>
                  <w:t>Formula</w:t>
                </w:r>
              </w:p>
            </w:tc>
          </w:tr>
          <w:tr w:rsidR="000C3959" w14:paraId="7F8EFA80" w14:textId="77777777" w:rsidTr="00793B4C">
            <w:trPr>
              <w:trHeight w:val="288"/>
            </w:trPr>
            <w:tc>
              <w:tcPr>
                <w:tcW w:w="14130" w:type="dxa"/>
                <w:gridSpan w:val="5"/>
                <w:tcBorders>
                  <w:top w:val="nil"/>
                </w:tcBorders>
                <w:shd w:val="clear" w:color="auto" w:fill="F7F7F7"/>
                <w:tcMar>
                  <w:bottom w:w="0" w:type="dxa"/>
                </w:tcMar>
                <w:vAlign w:val="center"/>
              </w:tcPr>
              <w:tbl>
                <w:tblPr>
                  <w:tblStyle w:val="TableGrid21134"/>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93"/>
                </w:tblGrid>
                <w:tr w:rsidR="000C3959" w14:paraId="6ECF7213" w14:textId="77777777" w:rsidTr="00CE0EC3">
                  <w:tc>
                    <w:tcPr>
                      <w:tcW w:w="14093" w:type="dxa"/>
                    </w:tcPr>
                    <w:p w14:paraId="72668C07"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415F7B7A" w14:textId="77777777" w:rsidTr="00CE0EC3">
                        <w:tc>
                          <w:tcPr>
                            <w:tcW w:w="2859" w:type="dxa"/>
                          </w:tcPr>
                          <w:p w14:paraId="6316D1F7"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Baseline</w:t>
                            </w:r>
                          </w:p>
                        </w:tc>
                        <w:tc>
                          <w:tcPr>
                            <w:tcW w:w="4622" w:type="dxa"/>
                          </w:tcPr>
                          <w:p w14:paraId="7D81E072"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7A8C6EF2" w14:textId="77777777" w:rsidR="0022603A" w:rsidRPr="0070311B" w:rsidRDefault="0022603A" w:rsidP="00CE0EC3">
                            <w:pPr>
                              <w:spacing w:before="100" w:after="100"/>
                              <w:ind w:left="90" w:right="85"/>
                              <w:jc w:val="right"/>
                              <w:rPr>
                                <w:rFonts w:asciiTheme="minorHAnsi" w:hAnsiTheme="minorHAnsi" w:cstheme="minorHAnsi"/>
                                <w:bCs/>
                                <w:color w:val="404040"/>
                                <w:sz w:val="22"/>
                                <w:szCs w:val="22"/>
                              </w:rPr>
                            </w:pPr>
                          </w:p>
                        </w:tc>
                        <w:tc>
                          <w:tcPr>
                            <w:tcW w:w="3548" w:type="dxa"/>
                          </w:tcPr>
                          <w:p w14:paraId="78892BBA"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0710C95F" w14:textId="77777777" w:rsidR="0022603A" w:rsidRPr="0070311B" w:rsidRDefault="0022603A" w:rsidP="00CE0EC3">
                      <w:pPr>
                        <w:spacing w:line="14" w:lineRule="exact"/>
                        <w:rPr>
                          <w:rFonts w:asciiTheme="minorHAnsi" w:hAnsiTheme="minorHAnsi" w:cstheme="minorHAnsi"/>
                          <w:bCs/>
                          <w:color w:val="404040"/>
                          <w:sz w:val="22"/>
                          <w:szCs w:val="22"/>
                        </w:rPr>
                      </w:pPr>
                    </w:p>
                    <w:p w14:paraId="2A09F105"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C47B52F" w14:textId="77777777" w:rsidTr="00CE0EC3">
                        <w:tc>
                          <w:tcPr>
                            <w:tcW w:w="2859" w:type="dxa"/>
                          </w:tcPr>
                          <w:p w14:paraId="5A70066F"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1</w:t>
                            </w:r>
                          </w:p>
                        </w:tc>
                        <w:tc>
                          <w:tcPr>
                            <w:tcW w:w="4622" w:type="dxa"/>
                          </w:tcPr>
                          <w:p w14:paraId="16B3C451"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0.00</w:t>
                            </w:r>
                          </w:p>
                        </w:tc>
                        <w:tc>
                          <w:tcPr>
                            <w:tcW w:w="3060" w:type="dxa"/>
                          </w:tcPr>
                          <w:p w14:paraId="097F11C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988,889.00</w:t>
                            </w:r>
                          </w:p>
                        </w:tc>
                        <w:tc>
                          <w:tcPr>
                            <w:tcW w:w="3548" w:type="dxa"/>
                          </w:tcPr>
                          <w:p w14:paraId="6ADA85B1" w14:textId="77777777" w:rsidR="0022603A" w:rsidRPr="0070311B" w:rsidRDefault="00B00100" w:rsidP="00CE0EC3">
                            <w:pPr>
                              <w:spacing w:before="100" w:after="100"/>
                              <w:ind w:left="90" w:right="175"/>
                              <w:rPr>
                                <w:rFonts w:asciiTheme="minorHAnsi" w:hAnsiTheme="minorHAnsi" w:cstheme="minorHAnsi"/>
                                <w:bCs/>
                                <w:color w:val="404040"/>
                                <w:sz w:val="22"/>
                                <w:szCs w:val="22"/>
                              </w:rPr>
                            </w:pPr>
                            <w:r>
                              <w:rPr>
                                <w:rFonts w:asciiTheme="minorHAnsi" w:hAnsiTheme="minorHAnsi" w:cstheme="minorHAnsi"/>
                                <w:bCs/>
                                <w:noProof/>
                                <w:color w:val="404040"/>
                                <w:sz w:val="22"/>
                                <w:szCs w:val="22"/>
                              </w:rPr>
                              <w:t>See verification protocol table</w:t>
                            </w:r>
                          </w:p>
                        </w:tc>
                      </w:tr>
                    </w:tbl>
                    <w:p w14:paraId="45FEBCD7" w14:textId="77777777" w:rsidR="0022603A" w:rsidRPr="0070311B" w:rsidRDefault="0022603A" w:rsidP="00CE0EC3">
                      <w:pPr>
                        <w:spacing w:line="14" w:lineRule="exact"/>
                        <w:rPr>
                          <w:rFonts w:asciiTheme="minorHAnsi" w:hAnsiTheme="minorHAnsi" w:cstheme="minorHAnsi"/>
                          <w:bCs/>
                          <w:color w:val="404040"/>
                          <w:sz w:val="22"/>
                          <w:szCs w:val="22"/>
                        </w:rPr>
                      </w:pPr>
                    </w:p>
                    <w:p w14:paraId="589F6C1B"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0E6BDF25" w14:textId="77777777" w:rsidTr="00CE0EC3">
                        <w:tc>
                          <w:tcPr>
                            <w:tcW w:w="2859" w:type="dxa"/>
                          </w:tcPr>
                          <w:p w14:paraId="77032624"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2</w:t>
                            </w:r>
                          </w:p>
                        </w:tc>
                        <w:tc>
                          <w:tcPr>
                            <w:tcW w:w="4622" w:type="dxa"/>
                          </w:tcPr>
                          <w:p w14:paraId="4EDB2737"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17.00</w:t>
                            </w:r>
                          </w:p>
                        </w:tc>
                        <w:tc>
                          <w:tcPr>
                            <w:tcW w:w="3060" w:type="dxa"/>
                          </w:tcPr>
                          <w:p w14:paraId="487C57CD"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2,748,889.00</w:t>
                            </w:r>
                          </w:p>
                        </w:tc>
                        <w:tc>
                          <w:tcPr>
                            <w:tcW w:w="3548" w:type="dxa"/>
                          </w:tcPr>
                          <w:p w14:paraId="65411FBF"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5B5C527A" w14:textId="77777777" w:rsidR="0022603A" w:rsidRPr="0070311B" w:rsidRDefault="0022603A" w:rsidP="00CE0EC3">
                      <w:pPr>
                        <w:spacing w:line="14" w:lineRule="exact"/>
                        <w:rPr>
                          <w:rFonts w:asciiTheme="minorHAnsi" w:hAnsiTheme="minorHAnsi" w:cstheme="minorHAnsi"/>
                          <w:bCs/>
                          <w:color w:val="404040"/>
                          <w:sz w:val="22"/>
                          <w:szCs w:val="22"/>
                        </w:rPr>
                      </w:pPr>
                    </w:p>
                    <w:p w14:paraId="7FD4E975"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57FDEABC" w14:textId="77777777" w:rsidTr="00CE0EC3">
                        <w:tc>
                          <w:tcPr>
                            <w:tcW w:w="2859" w:type="dxa"/>
                          </w:tcPr>
                          <w:p w14:paraId="260D3739"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3</w:t>
                            </w:r>
                          </w:p>
                        </w:tc>
                        <w:tc>
                          <w:tcPr>
                            <w:tcW w:w="4622" w:type="dxa"/>
                          </w:tcPr>
                          <w:p w14:paraId="640C5A26"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29.00</w:t>
                            </w:r>
                          </w:p>
                        </w:tc>
                        <w:tc>
                          <w:tcPr>
                            <w:tcW w:w="3060" w:type="dxa"/>
                          </w:tcPr>
                          <w:p w14:paraId="48EB58D8"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2,285,556.00</w:t>
                            </w:r>
                          </w:p>
                        </w:tc>
                        <w:tc>
                          <w:tcPr>
                            <w:tcW w:w="3548" w:type="dxa"/>
                          </w:tcPr>
                          <w:p w14:paraId="07BC25AC"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4323116D" w14:textId="77777777" w:rsidR="0022603A" w:rsidRPr="0070311B" w:rsidRDefault="0022603A" w:rsidP="00CE0EC3">
                      <w:pPr>
                        <w:spacing w:line="14" w:lineRule="exact"/>
                        <w:rPr>
                          <w:rFonts w:asciiTheme="minorHAnsi" w:hAnsiTheme="minorHAnsi" w:cstheme="minorHAnsi"/>
                          <w:bCs/>
                          <w:color w:val="404040"/>
                          <w:sz w:val="22"/>
                          <w:szCs w:val="22"/>
                        </w:rPr>
                      </w:pPr>
                    </w:p>
                    <w:p w14:paraId="3360685A"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6D1A36AF" w14:textId="77777777" w:rsidTr="00CE0EC3">
                        <w:tc>
                          <w:tcPr>
                            <w:tcW w:w="2859" w:type="dxa"/>
                          </w:tcPr>
                          <w:p w14:paraId="149011CD"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4</w:t>
                            </w:r>
                          </w:p>
                        </w:tc>
                        <w:tc>
                          <w:tcPr>
                            <w:tcW w:w="4622" w:type="dxa"/>
                          </w:tcPr>
                          <w:p w14:paraId="7607956C"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56.00</w:t>
                            </w:r>
                          </w:p>
                        </w:tc>
                        <w:tc>
                          <w:tcPr>
                            <w:tcW w:w="3060" w:type="dxa"/>
                          </w:tcPr>
                          <w:p w14:paraId="1BFC5A08"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3,276,667.00</w:t>
                            </w:r>
                          </w:p>
                        </w:tc>
                        <w:tc>
                          <w:tcPr>
                            <w:tcW w:w="3548" w:type="dxa"/>
                          </w:tcPr>
                          <w:p w14:paraId="3B1699E2"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21B0D1A2" w14:textId="77777777" w:rsidR="0022603A" w:rsidRPr="0070311B" w:rsidRDefault="0022603A" w:rsidP="00CE0EC3">
                      <w:pPr>
                        <w:spacing w:line="14" w:lineRule="exact"/>
                        <w:rPr>
                          <w:rFonts w:asciiTheme="minorHAnsi" w:hAnsiTheme="minorHAnsi" w:cstheme="minorHAnsi"/>
                          <w:bCs/>
                          <w:color w:val="404040"/>
                          <w:sz w:val="22"/>
                          <w:szCs w:val="22"/>
                        </w:rPr>
                      </w:pPr>
                    </w:p>
                    <w:p w14:paraId="176709A6" w14:textId="77777777" w:rsidR="0022603A" w:rsidRPr="0070311B" w:rsidRDefault="0022603A" w:rsidP="00CE0EC3">
                      <w:pPr>
                        <w:spacing w:line="14" w:lineRule="exact"/>
                        <w:rPr>
                          <w:rFonts w:asciiTheme="minorHAnsi" w:hAnsiTheme="minorHAnsi" w:cstheme="minorHAnsi"/>
                          <w:bCs/>
                          <w:color w:val="404040"/>
                          <w:sz w:val="22"/>
                          <w:szCs w:val="22"/>
                        </w:rPr>
                      </w:pPr>
                    </w:p>
                    <w:tbl>
                      <w:tblPr>
                        <w:tblStyle w:val="TableGrid21134"/>
                        <w:tblW w:w="14089" w:type="dxa"/>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2859"/>
                        <w:gridCol w:w="4622"/>
                        <w:gridCol w:w="3060"/>
                        <w:gridCol w:w="3548"/>
                      </w:tblGrid>
                      <w:tr w:rsidR="000C3959" w14:paraId="2F8D80EC" w14:textId="77777777" w:rsidTr="00CE0EC3">
                        <w:tc>
                          <w:tcPr>
                            <w:tcW w:w="2859" w:type="dxa"/>
                          </w:tcPr>
                          <w:p w14:paraId="66E9D7F4" w14:textId="77777777" w:rsidR="0022603A" w:rsidRPr="0070311B" w:rsidRDefault="00B00100" w:rsidP="00CE0EC3">
                            <w:pPr>
                              <w:spacing w:before="100" w:after="100"/>
                              <w:ind w:left="85" w:right="97"/>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Year 5</w:t>
                            </w:r>
                          </w:p>
                        </w:tc>
                        <w:tc>
                          <w:tcPr>
                            <w:tcW w:w="4622" w:type="dxa"/>
                          </w:tcPr>
                          <w:p w14:paraId="340EA3C0" w14:textId="77777777" w:rsidR="0022603A" w:rsidRPr="0070311B" w:rsidRDefault="00B00100" w:rsidP="00CE0EC3">
                            <w:pPr>
                              <w:spacing w:before="100" w:after="100"/>
                              <w:ind w:left="78" w:right="85"/>
                              <w:rPr>
                                <w:rFonts w:asciiTheme="minorHAnsi" w:hAnsiTheme="minorHAnsi" w:cstheme="minorHAnsi"/>
                                <w:bCs/>
                                <w:color w:val="404040"/>
                                <w:sz w:val="22"/>
                                <w:szCs w:val="22"/>
                              </w:rPr>
                            </w:pPr>
                            <w:r>
                              <w:rPr>
                                <w:rFonts w:asciiTheme="minorHAnsi" w:hAnsiTheme="minorHAnsi" w:cstheme="minorHAnsi"/>
                                <w:bCs/>
                                <w:noProof/>
                                <w:color w:val="404040"/>
                                <w:sz w:val="22"/>
                                <w:szCs w:val="22"/>
                              </w:rPr>
                              <w:t>100.00</w:t>
                            </w:r>
                          </w:p>
                        </w:tc>
                        <w:tc>
                          <w:tcPr>
                            <w:tcW w:w="3060" w:type="dxa"/>
                          </w:tcPr>
                          <w:p w14:paraId="30ACDD1C" w14:textId="77777777" w:rsidR="0022603A" w:rsidRPr="0070311B" w:rsidRDefault="00B00100" w:rsidP="00CE0EC3">
                            <w:pPr>
                              <w:spacing w:before="100" w:after="100"/>
                              <w:ind w:left="90" w:right="85"/>
                              <w:jc w:val="right"/>
                              <w:rPr>
                                <w:rFonts w:asciiTheme="minorHAnsi" w:hAnsiTheme="minorHAnsi" w:cstheme="minorHAnsi"/>
                                <w:bCs/>
                                <w:color w:val="404040"/>
                                <w:sz w:val="22"/>
                                <w:szCs w:val="22"/>
                              </w:rPr>
                            </w:pPr>
                            <w:r w:rsidRPr="0070311B">
                              <w:rPr>
                                <w:rFonts w:asciiTheme="minorHAnsi" w:hAnsiTheme="minorHAnsi" w:cstheme="minorHAnsi"/>
                                <w:bCs/>
                                <w:noProof/>
                                <w:color w:val="404040"/>
                                <w:sz w:val="22"/>
                                <w:szCs w:val="22"/>
                              </w:rPr>
                              <w:t>4,586,667.00</w:t>
                            </w:r>
                          </w:p>
                        </w:tc>
                        <w:tc>
                          <w:tcPr>
                            <w:tcW w:w="3548" w:type="dxa"/>
                          </w:tcPr>
                          <w:p w14:paraId="72AB4546" w14:textId="77777777" w:rsidR="0022603A" w:rsidRPr="0070311B" w:rsidRDefault="0022603A" w:rsidP="00CE0EC3">
                            <w:pPr>
                              <w:spacing w:before="100" w:after="100"/>
                              <w:ind w:left="90" w:right="175"/>
                              <w:rPr>
                                <w:rFonts w:asciiTheme="minorHAnsi" w:hAnsiTheme="minorHAnsi" w:cstheme="minorHAnsi"/>
                                <w:bCs/>
                                <w:color w:val="404040"/>
                                <w:sz w:val="22"/>
                                <w:szCs w:val="22"/>
                              </w:rPr>
                            </w:pPr>
                          </w:p>
                        </w:tc>
                      </w:tr>
                    </w:tbl>
                    <w:p w14:paraId="6297A630" w14:textId="77777777" w:rsidR="0022603A" w:rsidRPr="0070311B" w:rsidRDefault="0022603A" w:rsidP="00CE0EC3">
                      <w:pPr>
                        <w:spacing w:line="14" w:lineRule="exact"/>
                        <w:rPr>
                          <w:rFonts w:asciiTheme="minorHAnsi" w:hAnsiTheme="minorHAnsi" w:cstheme="minorHAnsi"/>
                          <w:bCs/>
                          <w:color w:val="404040"/>
                          <w:sz w:val="22"/>
                          <w:szCs w:val="22"/>
                        </w:rPr>
                      </w:pPr>
                    </w:p>
                  </w:tc>
                </w:tr>
              </w:tbl>
              <w:p w14:paraId="27583FA9" w14:textId="77777777" w:rsidR="000C3959" w:rsidRDefault="000C3959"/>
            </w:tc>
          </w:tr>
        </w:tbl>
        <w:p w14:paraId="2B2D04FA" w14:textId="77777777" w:rsidR="0022603A" w:rsidRPr="000440C0" w:rsidRDefault="0022603A" w:rsidP="000440C0">
          <w:pPr>
            <w:shd w:val="clear" w:color="auto" w:fill="F7F7F7"/>
            <w:spacing w:line="14" w:lineRule="exact"/>
            <w:ind w:left="-691" w:right="-418"/>
            <w:rPr>
              <w:rFonts w:asciiTheme="minorHAnsi" w:hAnsiTheme="minorHAnsi"/>
              <w:b/>
              <w:bCs/>
              <w:color w:val="7F7F7F" w:themeColor="text1" w:themeTint="80"/>
              <w:sz w:val="2"/>
              <w:szCs w:val="2"/>
            </w:rPr>
          </w:pPr>
        </w:p>
        <w:p w14:paraId="7924A3B0" w14:textId="77777777" w:rsidR="0022603A" w:rsidRDefault="0022603A" w:rsidP="00AE7A13">
          <w:pPr>
            <w:shd w:val="clear" w:color="auto" w:fill="F7F7F7"/>
            <w:ind w:left="-691" w:right="-418"/>
            <w:rPr>
              <w:rFonts w:asciiTheme="minorHAnsi" w:hAnsiTheme="minorHAnsi"/>
              <w:b/>
              <w:bCs/>
              <w:color w:val="7F7F7F" w:themeColor="text1" w:themeTint="80"/>
              <w:sz w:val="22"/>
              <w:szCs w:val="22"/>
            </w:rPr>
          </w:pPr>
        </w:p>
        <w:p w14:paraId="0DA891F9" w14:textId="77777777" w:rsidR="00E46D6F" w:rsidRDefault="00E46D6F" w:rsidP="00AE7A13">
          <w:pPr>
            <w:shd w:val="clear" w:color="auto" w:fill="F7F7F7"/>
            <w:ind w:left="-691" w:right="-418"/>
            <w:rPr>
              <w:rFonts w:asciiTheme="minorHAnsi" w:hAnsiTheme="minorHAnsi"/>
              <w:b/>
              <w:bCs/>
              <w:color w:val="7F7F7F" w:themeColor="text1" w:themeTint="80"/>
              <w:sz w:val="22"/>
              <w:szCs w:val="22"/>
            </w:rPr>
          </w:pPr>
        </w:p>
        <w:p w14:paraId="16F4BAD3" w14:textId="77777777" w:rsidR="00E46D6F" w:rsidRDefault="00E46D6F" w:rsidP="00AE7A13">
          <w:pPr>
            <w:shd w:val="clear" w:color="auto" w:fill="F7F7F7"/>
            <w:ind w:left="-691" w:right="-418"/>
            <w:rPr>
              <w:rFonts w:asciiTheme="minorHAnsi" w:hAnsiTheme="minorHAnsi"/>
              <w:b/>
              <w:bCs/>
              <w:color w:val="7F7F7F" w:themeColor="text1" w:themeTint="80"/>
              <w:sz w:val="22"/>
              <w:szCs w:val="22"/>
            </w:rPr>
          </w:pPr>
        </w:p>
        <w:tbl>
          <w:tblPr>
            <w:tblStyle w:val="TableGrid2234"/>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26"/>
          </w:tblGrid>
          <w:tr w:rsidR="000C3959" w14:paraId="0C338519" w14:textId="77777777" w:rsidTr="00C04053">
            <w:trPr>
              <w:trHeight w:val="432"/>
            </w:trPr>
            <w:tc>
              <w:tcPr>
                <w:tcW w:w="14126" w:type="dxa"/>
                <w:tcBorders>
                  <w:top w:val="single" w:sz="4" w:space="0" w:color="D9D9D9"/>
                  <w:left w:val="single" w:sz="4" w:space="0" w:color="D9D9D9"/>
                  <w:bottom w:val="single" w:sz="4" w:space="0" w:color="D9D9D9"/>
                  <w:right w:val="single" w:sz="4" w:space="0" w:color="D9D9D9"/>
                </w:tcBorders>
                <w:shd w:val="clear" w:color="auto" w:fill="DEEAF6"/>
                <w:vAlign w:val="center"/>
              </w:tcPr>
              <w:p w14:paraId="45B0016D" w14:textId="77777777" w:rsidR="009C7193" w:rsidRPr="00AB30AA" w:rsidRDefault="00B00100" w:rsidP="00DE4873">
                <w:pPr>
                  <w:keepNext/>
                  <w:ind w:right="-418"/>
                  <w:jc w:val="center"/>
                  <w:rPr>
                    <w:b/>
                    <w:bCs/>
                    <w:color w:val="172D5F"/>
                    <w:sz w:val="22"/>
                    <w:szCs w:val="22"/>
                  </w:rPr>
                </w:pPr>
                <w:r w:rsidRPr="00AB30AA">
                  <w:rPr>
                    <w:rFonts w:ascii="Calibri" w:eastAsia="Times New Roman" w:hAnsi="Calibri" w:cs="Times New Roman"/>
                    <w:b/>
                    <w:color w:val="002060"/>
                    <w:sz w:val="22"/>
                    <w:szCs w:val="22"/>
                  </w:rPr>
                  <w:t>Verification Protocol Table: Disbursement Linked Indicators</w:t>
                </w:r>
              </w:p>
            </w:tc>
          </w:tr>
        </w:tbl>
        <w:p w14:paraId="2F85C309"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105893FA" w14:textId="77777777" w:rsidTr="00793B4C">
            <w:trPr>
              <w:trHeight w:val="20"/>
            </w:trPr>
            <w:tc>
              <w:tcPr>
                <w:tcW w:w="2790" w:type="dxa"/>
                <w:tcBorders>
                  <w:top w:val="nil"/>
                  <w:left w:val="nil"/>
                  <w:bottom w:val="single" w:sz="4" w:space="0" w:color="D9D9D9"/>
                  <w:right w:val="nil"/>
                </w:tcBorders>
                <w:shd w:val="clear" w:color="auto" w:fill="DEEAF6"/>
                <w:vAlign w:val="center"/>
              </w:tcPr>
              <w:p w14:paraId="3997F787"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15FFC5EB"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2E811021"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31319BDD"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1</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5735300C"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Institutional readiness</w:t>
                </w:r>
              </w:p>
            </w:tc>
          </w:tr>
          <w:tr w:rsidR="000C3959" w14:paraId="3CEE222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8549EAD"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15820C6" w14:textId="77777777" w:rsidR="0084080A" w:rsidRPr="00D35DD0" w:rsidRDefault="00B00100" w:rsidP="00CE0EC3">
                <w:pPr>
                  <w:spacing w:line="256" w:lineRule="auto"/>
                  <w:rPr>
                    <w:rFonts w:eastAsia="Calibri"/>
                    <w:sz w:val="20"/>
                    <w:szCs w:val="20"/>
                  </w:rPr>
                </w:pPr>
                <w:r>
                  <w:rPr>
                    <w:rFonts w:ascii="Calibri" w:hAnsi="Calibri"/>
                    <w:noProof/>
                    <w:sz w:val="22"/>
                    <w:szCs w:val="22"/>
                  </w:rPr>
                  <w:t xml:space="preserve">• DLR# 1.1: Basic Readiness: Financing agreement is effective; Approved Implementation Plan and Procurement and Financial Management Manuals. Core center staff designated, including a non-staff student representation • DLR# 1.2: Full Readiness: At least one leading center team member possesses a project management certification; Center’s website is </w:t>
                </w:r>
                <w:r>
                  <w:rPr>
                    <w:rFonts w:ascii="Calibri" w:hAnsi="Calibri"/>
                    <w:noProof/>
                    <w:sz w:val="22"/>
                    <w:szCs w:val="22"/>
                  </w:rPr>
                  <w:lastRenderedPageBreak/>
                  <w:t>functional, with student handbook on website; sectoral advisory board (SAB) constituted and has endorsed the Implementation Plan.</w:t>
                </w:r>
              </w:p>
            </w:tc>
          </w:tr>
          <w:tr w:rsidR="000C3959" w14:paraId="5365D6B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6A1CE73"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lastRenderedPageBreak/>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879CACC" w14:textId="77777777" w:rsidR="0084080A" w:rsidRDefault="00B00100" w:rsidP="00CE0EC3">
                <w:pPr>
                  <w:spacing w:line="256" w:lineRule="auto"/>
                  <w:rPr>
                    <w:rFonts w:eastAsia="Calibri"/>
                    <w:b/>
                    <w:sz w:val="20"/>
                    <w:szCs w:val="20"/>
                  </w:rPr>
                </w:pPr>
                <w:r>
                  <w:rPr>
                    <w:rFonts w:ascii="Calibri" w:hAnsi="Calibri"/>
                    <w:noProof/>
                    <w:sz w:val="22"/>
                    <w:szCs w:val="22"/>
                  </w:rPr>
                  <w:t>Centers’ progress reports and websites (documents including: FM/procurement manuals, student handbooks, Implementation plans)</w:t>
                </w:r>
              </w:p>
            </w:tc>
          </w:tr>
          <w:tr w:rsidR="000C3959" w14:paraId="2539C11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4EB05D2"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74B0CE0"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w:t>
                </w:r>
              </w:p>
            </w:tc>
          </w:tr>
          <w:tr w:rsidR="000C3959" w14:paraId="09E8841E"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3B0A542"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AC0A707"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Disbursed when center submits evidence of achievement to RFU including:</w:t>
                </w:r>
              </w:p>
              <w:p w14:paraId="6BD4670C" w14:textId="77777777" w:rsidR="000C3959" w:rsidRDefault="00B00100" w:rsidP="00CE0EC3">
                <w:pPr>
                  <w:numPr>
                    <w:ilvl w:val="0"/>
                    <w:numId w:val="7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1.1:Basic readiness: Financing Agreement is effective; The RFU has approved of the center’s Implementation Plan and the Procurement and Financial Management Manuals.  Official designation of the core team members (Center leader, Deputy Center leader, FM responsible, procurement responsible, M&amp;E responsible and sectoral liaison). Further, the Center has designated a non-staff student representative to the RFU.</w:t>
                </w:r>
              </w:p>
              <w:p w14:paraId="4E821758" w14:textId="77777777" w:rsidR="000C3959" w:rsidRDefault="00B00100" w:rsidP="00CE0EC3">
                <w:pPr>
                  <w:numPr>
                    <w:ilvl w:val="0"/>
                    <w:numId w:val="7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1.2:  Full readiness: Project Management certification for at least one leading team member; Functional center website (a link to the center’s website); Student handbook on the website with policies for sexual harassment and scholarships; and Sectoral Advisory Board (SAB) constituted and its endorsement of the Implementation Plan.</w:t>
                </w:r>
              </w:p>
              <w:p w14:paraId="6FC658AB"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The value of this DLI varies between countries from US$300,000 equivalent to US$450,000 equivalent per milestone. The country specific value is in the Financing Agreement.</w:t>
                </w:r>
              </w:p>
              <w:p w14:paraId="27447FD3" w14:textId="77777777" w:rsidR="0084080A" w:rsidRDefault="0084080A" w:rsidP="00CE0EC3">
                <w:pPr>
                  <w:spacing w:line="256" w:lineRule="auto"/>
                  <w:rPr>
                    <w:rFonts w:eastAsia="Calibri"/>
                    <w:b/>
                    <w:sz w:val="20"/>
                    <w:szCs w:val="20"/>
                  </w:rPr>
                </w:pPr>
              </w:p>
            </w:tc>
          </w:tr>
        </w:tbl>
        <w:p w14:paraId="38212ACC"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6B739AEA"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4CE6E5D8" w14:textId="77777777" w:rsidTr="00793B4C">
            <w:trPr>
              <w:trHeight w:val="20"/>
            </w:trPr>
            <w:tc>
              <w:tcPr>
                <w:tcW w:w="2790" w:type="dxa"/>
                <w:tcBorders>
                  <w:top w:val="nil"/>
                  <w:left w:val="nil"/>
                  <w:bottom w:val="single" w:sz="4" w:space="0" w:color="D9D9D9"/>
                  <w:right w:val="nil"/>
                </w:tcBorders>
                <w:shd w:val="clear" w:color="auto" w:fill="DEEAF6"/>
                <w:vAlign w:val="center"/>
              </w:tcPr>
              <w:p w14:paraId="4D0AF5CC"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38847770"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0C1CCDBF"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510C675C"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2</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3E610BB"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Development Impact of ACE Center</w:t>
                </w:r>
              </w:p>
            </w:tc>
          </w:tr>
          <w:tr w:rsidR="000C3959" w14:paraId="4B7EAB93"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80DDCDF"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6DF3199" w14:textId="77777777" w:rsidR="0084080A" w:rsidRPr="00D35DD0" w:rsidRDefault="00B00100" w:rsidP="00CE0EC3">
                <w:pPr>
                  <w:spacing w:line="256" w:lineRule="auto"/>
                  <w:rPr>
                    <w:rFonts w:eastAsia="Calibri"/>
                    <w:sz w:val="20"/>
                    <w:szCs w:val="20"/>
                  </w:rPr>
                </w:pPr>
                <w:r>
                  <w:rPr>
                    <w:rFonts w:ascii="Calibri" w:hAnsi="Calibri"/>
                    <w:noProof/>
                    <w:sz w:val="22"/>
                    <w:szCs w:val="22"/>
                  </w:rPr>
                  <w:t>• DLR#2: Independent, external evaluation of the development impact of the ACE Impact center conducted in Year 3 and beginning of Year 4. (Renewal centers will however have their assessment in Year 2 and Year 4)</w:t>
                </w:r>
              </w:p>
            </w:tc>
          </w:tr>
          <w:tr w:rsidR="000C3959" w14:paraId="13BB505E"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588FCF2"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35CA1E4" w14:textId="77777777" w:rsidR="0084080A" w:rsidRDefault="00B00100" w:rsidP="00CE0EC3">
                <w:pPr>
                  <w:spacing w:line="256" w:lineRule="auto"/>
                  <w:rPr>
                    <w:rFonts w:eastAsia="Calibri"/>
                    <w:b/>
                    <w:sz w:val="20"/>
                    <w:szCs w:val="20"/>
                  </w:rPr>
                </w:pPr>
                <w:r>
                  <w:rPr>
                    <w:rFonts w:ascii="Calibri" w:hAnsi="Calibri"/>
                    <w:noProof/>
                    <w:sz w:val="22"/>
                    <w:szCs w:val="22"/>
                  </w:rPr>
                  <w:t>Centers’ progress reports; SAB reports; and Interviews</w:t>
                </w:r>
              </w:p>
            </w:tc>
          </w:tr>
          <w:tr w:rsidR="000C3959" w14:paraId="1FEF368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406E3E4"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7616F14"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RFU/External Evaluators</w:t>
                </w:r>
              </w:p>
            </w:tc>
          </w:tr>
          <w:tr w:rsidR="000C3959" w14:paraId="370BF1FF"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70B6781"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B8E9BE0"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 xml:space="preserve">Independent, external evaluation of the development impact of the ACE center conducted during Year 3 (Year 2 for renewals) and end of Year 4 of project implementation.  External evaluators assess and score development impact of the center. In Year 3, score is based upon progress towards development impact. In Year 4, score is based upon development impact. The criteria for evaluation will include: (i) Relevance and impact of graduates on society, including the share of graduates hired in the target sector and feedback from key employers; (ii) relevance and impact of research on society; (iii) progress on DLIs; (iv) SAB annual reports; and (v) interviews with center graduates and sectoral stakeholders. The detailed </w:t>
                </w:r>
                <w:r>
                  <w:rPr>
                    <w:rFonts w:ascii="Calibri" w:eastAsia="Calibri" w:hAnsi="Calibri" w:cs="Times New Roman"/>
                    <w:noProof/>
                    <w:sz w:val="22"/>
                    <w:szCs w:val="22"/>
                  </w:rPr>
                  <w:lastRenderedPageBreak/>
                  <w:t>scoring rubrics will be defined in the Regional Operations Manual.</w:t>
                </w:r>
              </w:p>
              <w:p w14:paraId="38FEBC50"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The value of this DLI varies between countries from US$25,000 equivalent to US$35,000 equivalent per point in the score (point scale 1 to 5). The country specific value is in the Financing Agreement.</w:t>
                </w:r>
              </w:p>
              <w:p w14:paraId="1F8B1E09" w14:textId="77777777" w:rsidR="0084080A" w:rsidRDefault="0084080A" w:rsidP="00CE0EC3">
                <w:pPr>
                  <w:spacing w:line="256" w:lineRule="auto"/>
                  <w:rPr>
                    <w:rFonts w:eastAsia="Calibri"/>
                    <w:b/>
                    <w:sz w:val="20"/>
                    <w:szCs w:val="20"/>
                  </w:rPr>
                </w:pPr>
              </w:p>
            </w:tc>
          </w:tr>
        </w:tbl>
        <w:p w14:paraId="604F9C5A"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692E04EE"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428356C4" w14:textId="77777777" w:rsidTr="00793B4C">
            <w:trPr>
              <w:trHeight w:val="20"/>
            </w:trPr>
            <w:tc>
              <w:tcPr>
                <w:tcW w:w="2790" w:type="dxa"/>
                <w:tcBorders>
                  <w:top w:val="nil"/>
                  <w:left w:val="nil"/>
                  <w:bottom w:val="single" w:sz="4" w:space="0" w:color="D9D9D9"/>
                  <w:right w:val="nil"/>
                </w:tcBorders>
                <w:shd w:val="clear" w:color="auto" w:fill="DEEAF6"/>
                <w:vAlign w:val="center"/>
              </w:tcPr>
              <w:p w14:paraId="25800F4E"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3CD7EBF1"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33259C91"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3A46B5A"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3</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5B746D8"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Quantity of Students (with focus on gender and regionalization)</w:t>
                </w:r>
              </w:p>
            </w:tc>
          </w:tr>
          <w:tr w:rsidR="000C3959" w14:paraId="5A3378C8"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44F4472F"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A5BAE1D" w14:textId="77777777" w:rsidR="0084080A" w:rsidRPr="00D35DD0" w:rsidRDefault="00B00100" w:rsidP="00CE0EC3">
                <w:pPr>
                  <w:spacing w:line="256" w:lineRule="auto"/>
                  <w:rPr>
                    <w:rFonts w:eastAsia="Calibri"/>
                    <w:sz w:val="20"/>
                    <w:szCs w:val="20"/>
                  </w:rPr>
                </w:pPr>
                <w:r>
                  <w:rPr>
                    <w:rFonts w:ascii="Calibri" w:hAnsi="Calibri"/>
                    <w:noProof/>
                    <w:sz w:val="22"/>
                    <w:szCs w:val="22"/>
                  </w:rPr>
                  <w:t>• DLR#3.1: New eligible PhD students • DLR#3.2: New eligible master’s students • DLR#3.3: New eligible professional short-term students • DLR#3.4: New eligible first degree students (for select CoEngg &amp; Emerging centers)</w:t>
                </w:r>
              </w:p>
            </w:tc>
          </w:tr>
          <w:tr w:rsidR="000C3959" w14:paraId="1C21E1E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3AD803A"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21CF64E" w14:textId="77777777" w:rsidR="0084080A" w:rsidRDefault="00B00100" w:rsidP="00CE0EC3">
                <w:pPr>
                  <w:spacing w:line="256" w:lineRule="auto"/>
                  <w:rPr>
                    <w:rFonts w:eastAsia="Calibri"/>
                    <w:b/>
                    <w:sz w:val="20"/>
                    <w:szCs w:val="20"/>
                  </w:rPr>
                </w:pPr>
                <w:r>
                  <w:rPr>
                    <w:rFonts w:ascii="Calibri" w:hAnsi="Calibri"/>
                    <w:noProof/>
                    <w:sz w:val="22"/>
                    <w:szCs w:val="22"/>
                  </w:rPr>
                  <w:t>Centers’ enrolment reports; progress reports; and student surveys</w:t>
                </w:r>
              </w:p>
            </w:tc>
          </w:tr>
          <w:tr w:rsidR="000C3959" w14:paraId="44469B7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AE362E2"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0555263"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External verifier</w:t>
                </w:r>
              </w:p>
            </w:tc>
          </w:tr>
          <w:tr w:rsidR="000C3959" w14:paraId="691752B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63C64B70"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948FE86" w14:textId="77777777" w:rsidR="000C3959" w:rsidRDefault="00B00100" w:rsidP="00CE0EC3">
                <w:pPr>
                  <w:numPr>
                    <w:ilvl w:val="0"/>
                    <w:numId w:val="3"/>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Centers submit report with names and contacts of students to RFU. RFU submits information to external verifier. Verifier contacts students to validate list Center submits enrolment and progress reports with names and contacts of students to RFU. RFU submits information to external verifier. Verifier contacts students to validate list.</w:t>
                </w:r>
              </w:p>
              <w:p w14:paraId="105937AB" w14:textId="77777777" w:rsidR="000C3959" w:rsidRDefault="00B00100" w:rsidP="00CE0EC3">
                <w:pPr>
                  <w:numPr>
                    <w:ilvl w:val="0"/>
                    <w:numId w:val="3"/>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Number of new eligible doctoral and master’s degree students as well as short-term professional students of whom at least 30 percent combined must be regional students. For select institutions receiving support to CoEngg and emerging centers, first degree students are eligible as well. The 30 percent requirement on regional students does not apply to emerging centers. The project operational manual and the approved. Implementation Plan will define what constitutes an eligible student for each type of center and degree level.</w:t>
                </w:r>
              </w:p>
              <w:p w14:paraId="49B95E8E" w14:textId="77777777" w:rsidR="000C3959" w:rsidRDefault="00B00100" w:rsidP="00CE0EC3">
                <w:pPr>
                  <w:numPr>
                    <w:ilvl w:val="0"/>
                    <w:numId w:val="3"/>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PhD students: US$10,000 per male national student, US$12,500 per female national student, US$12,500 per male regional student, and US$15,600 per female regional student. For Master students: US$2,000 per national student, US$2,500 per female student, US$4,000 per regional student and US$5,000 per regional female student. For short-course professional students: US$400 per national male student, US$500 per female national student, US$800 per regional male student, and US$1,000 per female regional student. For first degree (bachelor) students: US$1,000 per national male student, US$1,500 per national female student. All US$ amounts are US$ equivalent.</w:t>
                </w:r>
              </w:p>
              <w:p w14:paraId="676D59B5" w14:textId="77777777" w:rsidR="0084080A" w:rsidRDefault="0084080A" w:rsidP="00CE0EC3">
                <w:pPr>
                  <w:spacing w:line="256" w:lineRule="auto"/>
                  <w:rPr>
                    <w:rFonts w:eastAsia="Calibri"/>
                    <w:b/>
                    <w:sz w:val="20"/>
                    <w:szCs w:val="20"/>
                  </w:rPr>
                </w:pPr>
              </w:p>
            </w:tc>
          </w:tr>
        </w:tbl>
        <w:p w14:paraId="3ECD07C7"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5AB03A34"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56EFB794" w14:textId="77777777" w:rsidTr="00793B4C">
            <w:trPr>
              <w:trHeight w:val="20"/>
            </w:trPr>
            <w:tc>
              <w:tcPr>
                <w:tcW w:w="2790" w:type="dxa"/>
                <w:tcBorders>
                  <w:top w:val="nil"/>
                  <w:left w:val="nil"/>
                  <w:bottom w:val="single" w:sz="4" w:space="0" w:color="D9D9D9"/>
                  <w:right w:val="nil"/>
                </w:tcBorders>
                <w:shd w:val="clear" w:color="auto" w:fill="DEEAF6"/>
                <w:vAlign w:val="center"/>
              </w:tcPr>
              <w:p w14:paraId="35B5BFB9"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1888E617"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26D0D0E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5627D96"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4</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6E78AEA5"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Quality of Education and Research (through international accreditation, research publications and improved teaching and research infrastructure)</w:t>
                </w:r>
              </w:p>
            </w:tc>
          </w:tr>
          <w:tr w:rsidR="000C3959" w14:paraId="7B9C038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3EAE331"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51AAE42" w14:textId="77777777" w:rsidR="0084080A" w:rsidRPr="00D35DD0" w:rsidRDefault="00B00100" w:rsidP="00CE0EC3">
                <w:pPr>
                  <w:spacing w:line="256" w:lineRule="auto"/>
                  <w:rPr>
                    <w:rFonts w:eastAsia="Calibri"/>
                    <w:sz w:val="20"/>
                    <w:szCs w:val="20"/>
                  </w:rPr>
                </w:pPr>
                <w:r>
                  <w:rPr>
                    <w:rFonts w:ascii="Calibri" w:hAnsi="Calibri"/>
                    <w:noProof/>
                    <w:sz w:val="22"/>
                    <w:szCs w:val="22"/>
                  </w:rPr>
                  <w:t xml:space="preserve">• DLR#4.1: Towards International accreditation with inputs from center's advisory boards • DLR#4.2: ACE Impact related research publications in internationally recognized peer reviewed journals; • DLR#4.3: Completion of milestones for </w:t>
                </w:r>
                <w:r>
                  <w:rPr>
                    <w:rFonts w:ascii="Calibri" w:hAnsi="Calibri"/>
                    <w:noProof/>
                    <w:sz w:val="22"/>
                    <w:szCs w:val="22"/>
                  </w:rPr>
                  <w:lastRenderedPageBreak/>
                  <w:t>improved learning and research infrastructure specified in the approved Implementation Plan of each center.</w:t>
                </w:r>
              </w:p>
            </w:tc>
          </w:tr>
          <w:tr w:rsidR="000C3959" w14:paraId="0C911144"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B410F71"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lastRenderedPageBreak/>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9FA2602" w14:textId="77777777" w:rsidR="0084080A" w:rsidRDefault="00B00100" w:rsidP="00CE0EC3">
                <w:pPr>
                  <w:spacing w:line="256" w:lineRule="auto"/>
                  <w:rPr>
                    <w:rFonts w:eastAsia="Calibri"/>
                    <w:b/>
                    <w:sz w:val="20"/>
                    <w:szCs w:val="20"/>
                  </w:rPr>
                </w:pPr>
                <w:r>
                  <w:rPr>
                    <w:rFonts w:ascii="Calibri" w:hAnsi="Calibri"/>
                    <w:noProof/>
                    <w:sz w:val="22"/>
                    <w:szCs w:val="22"/>
                  </w:rPr>
                  <w:t>Data source/ Agency Centers’ progress reports; student survey results; verifiers’ reports; accreditation certificates and other assessment reports</w:t>
                </w:r>
              </w:p>
            </w:tc>
          </w:tr>
          <w:tr w:rsidR="000C3959" w14:paraId="7F4F1BDF"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4501EF7"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0C0CB97"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RFU/External Verifier</w:t>
                </w:r>
              </w:p>
            </w:tc>
          </w:tr>
          <w:tr w:rsidR="000C3959" w14:paraId="21C8E1E6"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8ED26D0"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CF6AEAF"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Center submits annual report to RFU and RFU coordinates verification of results.</w:t>
                </w:r>
              </w:p>
              <w:p w14:paraId="7E986775" w14:textId="77777777" w:rsidR="000C3959" w:rsidRDefault="00B00100" w:rsidP="00CE0EC3">
                <w:pPr>
                  <w:numPr>
                    <w:ilvl w:val="0"/>
                    <w:numId w:val="4"/>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4.1 disbursement occurs if the center shows evidence (copy of certificate, email confirmation) of achievement of a specific accreditation or assessment (international, national, regional, gap assessment, self-evaluation); US$300,000 per program internationally accredited; US$100,000 per program nationally/regionally accredited; US$100,000 per gap-assessment/self-evaluation undertaken; US$50,000 for new/revamped courses meeting international standards and approved by the SAB.</w:t>
                </w:r>
              </w:p>
              <w:p w14:paraId="37C5E552" w14:textId="77777777" w:rsidR="000C3959" w:rsidRDefault="00B00100" w:rsidP="00CE0EC3">
                <w:pPr>
                  <w:numPr>
                    <w:ilvl w:val="0"/>
                    <w:numId w:val="4"/>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4.2 is achieved if the article is accepted and published in an internationally recognized peer-reviewed journal acceptable to the World Bank and the RFU and in addition, an independent subject matter expert confirms that an ACE Impact student or staff is a co-author and that the article is in an area related to the specialization of the center.  US$10,000 per article co-authored by ACE Impact student/faculty and national partners; US$15,000 per article co-authored with regional partners.  </w:t>
                </w:r>
              </w:p>
              <w:p w14:paraId="3DFB5155" w14:textId="77777777" w:rsidR="000C3959" w:rsidRDefault="00B00100" w:rsidP="00CE0EC3">
                <w:pPr>
                  <w:numPr>
                    <w:ilvl w:val="0"/>
                    <w:numId w:val="4"/>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4.3 is achieved if external verifiers confirm approved onsite civil works and equipment purchase, installation and usage.  Each center will formulate its civil works and large equipment purchase (including installation and usage) milestones which will be reviewed and approved by the World Bank. Compliance with safeguards requirements will be verified for eligible activities (including preparing, consulting upon, reviewing,  approval and disclosing of ESIAs/ESMPs). US$300,000 per milestone</w:t>
                </w:r>
              </w:p>
              <w:p w14:paraId="6D6BFBD9"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All amounts are US$ equivalent.</w:t>
                </w:r>
              </w:p>
              <w:p w14:paraId="62A9A918" w14:textId="77777777" w:rsidR="0084080A" w:rsidRDefault="0084080A" w:rsidP="00CE0EC3">
                <w:pPr>
                  <w:spacing w:line="256" w:lineRule="auto"/>
                  <w:rPr>
                    <w:rFonts w:eastAsia="Calibri"/>
                    <w:b/>
                    <w:sz w:val="20"/>
                    <w:szCs w:val="20"/>
                  </w:rPr>
                </w:pPr>
              </w:p>
            </w:tc>
          </w:tr>
        </w:tbl>
        <w:p w14:paraId="328F08C6"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34507410"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7BEA997A" w14:textId="77777777" w:rsidTr="00793B4C">
            <w:trPr>
              <w:trHeight w:val="20"/>
            </w:trPr>
            <w:tc>
              <w:tcPr>
                <w:tcW w:w="2790" w:type="dxa"/>
                <w:tcBorders>
                  <w:top w:val="nil"/>
                  <w:left w:val="nil"/>
                  <w:bottom w:val="single" w:sz="4" w:space="0" w:color="D9D9D9"/>
                  <w:right w:val="nil"/>
                </w:tcBorders>
                <w:shd w:val="clear" w:color="auto" w:fill="DEEAF6"/>
                <w:vAlign w:val="center"/>
              </w:tcPr>
              <w:p w14:paraId="0D816561"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381AEC5E"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0708BD68"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720EDA86"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5</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3EE2349A"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Relevance of Education and Research (through externally generated revenue, internships, and entrepreneurship)</w:t>
                </w:r>
              </w:p>
            </w:tc>
          </w:tr>
          <w:tr w:rsidR="000C3959" w14:paraId="30D42573"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55700DD"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5C9266F" w14:textId="77777777" w:rsidR="0084080A" w:rsidRPr="00D35DD0" w:rsidRDefault="00B00100" w:rsidP="00CE0EC3">
                <w:pPr>
                  <w:spacing w:line="256" w:lineRule="auto"/>
                  <w:rPr>
                    <w:rFonts w:eastAsia="Calibri"/>
                    <w:sz w:val="20"/>
                    <w:szCs w:val="20"/>
                  </w:rPr>
                </w:pPr>
                <w:r>
                  <w:rPr>
                    <w:rFonts w:ascii="Calibri" w:hAnsi="Calibri"/>
                    <w:noProof/>
                    <w:sz w:val="22"/>
                    <w:szCs w:val="22"/>
                  </w:rPr>
                  <w:t>• DLR#5.1: Externally generated revenue; • DLR#5.2: Number of students and faculty with at least 1-month period internship in relevant sector institutions; • DLR#5.3: Meeting milestones for developing entrepreneurship, innovation, start-up companies, and commercialization support programs</w:t>
                </w:r>
              </w:p>
            </w:tc>
          </w:tr>
          <w:tr w:rsidR="000C3959" w14:paraId="6CCFFB10"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5AD7E4C"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BD31B6C" w14:textId="77777777" w:rsidR="0084080A" w:rsidRDefault="00B00100" w:rsidP="00CE0EC3">
                <w:pPr>
                  <w:spacing w:line="256" w:lineRule="auto"/>
                  <w:rPr>
                    <w:rFonts w:eastAsia="Calibri"/>
                    <w:b/>
                    <w:sz w:val="20"/>
                    <w:szCs w:val="20"/>
                  </w:rPr>
                </w:pPr>
                <w:r>
                  <w:rPr>
                    <w:rFonts w:ascii="Calibri" w:hAnsi="Calibri"/>
                    <w:noProof/>
                    <w:sz w:val="22"/>
                    <w:szCs w:val="22"/>
                  </w:rPr>
                  <w:t>Centers’ progress reports; Centers’ accounts details and faculty/students survey reports</w:t>
                </w:r>
              </w:p>
            </w:tc>
          </w:tr>
          <w:tr w:rsidR="000C3959" w14:paraId="337A4E5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01DF8655"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lastRenderedPageBreak/>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731258B"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RFU/External Verifier</w:t>
                </w:r>
              </w:p>
            </w:tc>
          </w:tr>
          <w:tr w:rsidR="000C3959" w14:paraId="1FFBFFD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61B5DE7"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2EE5704" w14:textId="77777777" w:rsidR="000C3959" w:rsidRDefault="00B00100" w:rsidP="00CE0EC3">
                <w:pPr>
                  <w:numPr>
                    <w:ilvl w:val="0"/>
                    <w:numId w:val="5"/>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For DLR 5.1, eligible sources of revenue include tuition fees, other student fees, joint research, research consultancies, fund raising and competitive grants (from governments and development partners) or other external sources. Evidence submitted to the RFU will be in the form of signed/formal funding award letters and verification by financial auditors showing transfer of the funds to the respective center. US$1 for each US$1 generated from national, or international non-firm sources; US$2 for each US$ 1 generated from regional or from private/ sectoral sources;</w:t>
                </w:r>
              </w:p>
              <w:p w14:paraId="5C8CDDBD" w14:textId="77777777" w:rsidR="000C3959" w:rsidRDefault="00B00100" w:rsidP="00CE0EC3">
                <w:pPr>
                  <w:numPr>
                    <w:ilvl w:val="0"/>
                    <w:numId w:val="5"/>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5.2 is achieved if external verifier validates the list of students/faculty that have participated in at least 1-month period internships in relevant industry/ sector-relevant institutions (by country/region).  US$1,000 per period in country and US$1,500 per period in region;</w:t>
                </w:r>
              </w:p>
              <w:p w14:paraId="232378B9" w14:textId="77777777" w:rsidR="000C3959" w:rsidRDefault="00B00100" w:rsidP="00CE0EC3">
                <w:pPr>
                  <w:numPr>
                    <w:ilvl w:val="0"/>
                    <w:numId w:val="5"/>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5.3  is achieved if external verifiers confirm pre-determined and approved milestones have been met. One milestone. US$100,000 for the milestone.</w:t>
                </w:r>
              </w:p>
              <w:p w14:paraId="22DB1B9D"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All amounts are US$ equivalent.</w:t>
                </w:r>
              </w:p>
              <w:p w14:paraId="4ABF17AC" w14:textId="77777777" w:rsidR="0084080A" w:rsidRDefault="0084080A" w:rsidP="00CE0EC3">
                <w:pPr>
                  <w:spacing w:line="256" w:lineRule="auto"/>
                  <w:rPr>
                    <w:rFonts w:eastAsia="Calibri"/>
                    <w:b/>
                    <w:sz w:val="20"/>
                    <w:szCs w:val="20"/>
                  </w:rPr>
                </w:pPr>
              </w:p>
            </w:tc>
          </w:tr>
        </w:tbl>
        <w:p w14:paraId="2191E911"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75A6F97B"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6396433B" w14:textId="77777777" w:rsidTr="00793B4C">
            <w:trPr>
              <w:trHeight w:val="20"/>
            </w:trPr>
            <w:tc>
              <w:tcPr>
                <w:tcW w:w="2790" w:type="dxa"/>
                <w:tcBorders>
                  <w:top w:val="nil"/>
                  <w:left w:val="nil"/>
                  <w:bottom w:val="single" w:sz="4" w:space="0" w:color="D9D9D9"/>
                  <w:right w:val="nil"/>
                </w:tcBorders>
                <w:shd w:val="clear" w:color="auto" w:fill="DEEAF6"/>
                <w:vAlign w:val="center"/>
              </w:tcPr>
              <w:p w14:paraId="21BDC864"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08BD5C9A"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4A32B77E"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69E0C9F"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6</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4856EF9A"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Timeliness and quality of fiduciary management</w:t>
                </w:r>
              </w:p>
            </w:tc>
          </w:tr>
          <w:tr w:rsidR="000C3959" w14:paraId="287C2E62"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16B640BB"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68DE053F" w14:textId="77777777" w:rsidR="0084080A" w:rsidRPr="00D35DD0" w:rsidRDefault="00B00100" w:rsidP="00CE0EC3">
                <w:pPr>
                  <w:spacing w:line="256" w:lineRule="auto"/>
                  <w:rPr>
                    <w:rFonts w:eastAsia="Calibri"/>
                    <w:sz w:val="20"/>
                    <w:szCs w:val="20"/>
                  </w:rPr>
                </w:pPr>
                <w:r>
                  <w:rPr>
                    <w:rFonts w:ascii="Calibri" w:hAnsi="Calibri"/>
                    <w:noProof/>
                    <w:sz w:val="22"/>
                    <w:szCs w:val="22"/>
                  </w:rPr>
                  <w:t>• DLR#6.1. Timely fiduciary reporting including timely submissions of IFRs and of financial and procurement audit reports for the period for the center • DLR#6.2. Functional institutional oversight of fiduciary management. That is, functioning internal audit unit and functioning audit committee (under the university’s council) that would support the center; • DLR#6.3. Transparency of ACE expenses; • DLR#6.4. Quality of Procurement planning. Share of the originally approved procurement plan that was executed.</w:t>
                </w:r>
              </w:p>
            </w:tc>
          </w:tr>
          <w:tr w:rsidR="000C3959" w14:paraId="5DCB18B8"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3F0C400A"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5401A2B0" w14:textId="77777777" w:rsidR="0084080A" w:rsidRDefault="00B00100" w:rsidP="00CE0EC3">
                <w:pPr>
                  <w:spacing w:line="256" w:lineRule="auto"/>
                  <w:rPr>
                    <w:rFonts w:eastAsia="Calibri"/>
                    <w:b/>
                    <w:sz w:val="20"/>
                    <w:szCs w:val="20"/>
                  </w:rPr>
                </w:pPr>
                <w:r>
                  <w:rPr>
                    <w:rFonts w:ascii="Calibri" w:hAnsi="Calibri"/>
                    <w:noProof/>
                    <w:sz w:val="22"/>
                    <w:szCs w:val="22"/>
                  </w:rPr>
                  <w:t>Centers’ progress reports, websites and time stamp of submission of documents</w:t>
                </w:r>
              </w:p>
            </w:tc>
          </w:tr>
          <w:tr w:rsidR="000C3959" w14:paraId="4D49C3DE"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5380426E"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A814BE7"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w:t>
                </w:r>
              </w:p>
            </w:tc>
          </w:tr>
          <w:tr w:rsidR="000C3959" w14:paraId="2C8F0F60"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1EC0BAB"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78867CC"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DLR 6.1 is achieved if there is a time stamp evidence of timely submission of the IFR, financial and procurement audit reports in the ACE Impact online data portal or copy of email submission to RFU if online portal is offline at time of submission. Timeliness implies respect of the deadlines established in the Financing Agreement. The procurement audit for the financial year is due when the financial audit is due. The value of this DLI varies between countries from US$15,000 equivalent to US$ 30,000 equivalent per year. The country specific value is in the Financing Agreement;</w:t>
                </w:r>
              </w:p>
              <w:p w14:paraId="470304A8"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 xml:space="preserve">DLR 6.2  is achieved if the center submits weblink to internal audit report or attachment of report and a weblink to audit </w:t>
                </w:r>
                <w:r>
                  <w:rPr>
                    <w:rFonts w:ascii="Calibri" w:eastAsia="Calibri" w:hAnsi="Calibri" w:cs="Times New Roman"/>
                    <w:noProof/>
                    <w:sz w:val="22"/>
                    <w:szCs w:val="22"/>
                  </w:rPr>
                  <w:lastRenderedPageBreak/>
                  <w:t>committee minutes or attachment of minutes which mention a review of the audit reports as well as a review by the university Board of the ACE hosting.  The value of this DLI varies between countries from US$15,000 equivalent to US$ 30,000 equivalent per year. The country specific value is in the Financing Agreement;</w:t>
                </w:r>
              </w:p>
              <w:p w14:paraId="59D66B22"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DLR 6.3 is achieved if there is self-confirmation by the center that the approved budget, annual work plan, IFRs, with an annex on detailed expenditures, project financial and procurement audit reports are visibly accessible on the center’s websites. The value of this DLI varies between countries from US$15,000 equivalent to US$ 30,000 equivalent per year. The country specific value is in the Financing Agreement;</w:t>
                </w:r>
              </w:p>
              <w:p w14:paraId="11D8E9D8" w14:textId="77777777" w:rsidR="000C3959" w:rsidRDefault="00B00100" w:rsidP="00CE0EC3">
                <w:pPr>
                  <w:spacing w:line="256" w:lineRule="auto"/>
                  <w:rPr>
                    <w:rFonts w:ascii="Calibri" w:eastAsia="Calibri" w:hAnsi="Calibri" w:cs="Times New Roman"/>
                    <w:noProof/>
                    <w:sz w:val="22"/>
                    <w:szCs w:val="22"/>
                  </w:rPr>
                </w:pPr>
                <w:r>
                  <w:rPr>
                    <w:rFonts w:ascii="Calibri" w:eastAsia="Calibri" w:hAnsi="Calibri" w:cs="Times New Roman"/>
                    <w:noProof/>
                    <w:sz w:val="22"/>
                    <w:szCs w:val="22"/>
                  </w:rPr>
                  <w:t>DLR 6.4 The share is calculated in terms of value of contracts (not procurement activities). The value of this DLI varies between countries from US$15,000 equivalent to US$ 30,000 equivalent per year. The country specific value is in the Financing Agreement;</w:t>
                </w:r>
              </w:p>
              <w:p w14:paraId="498FCBED" w14:textId="77777777" w:rsidR="0084080A" w:rsidRDefault="0084080A" w:rsidP="00CE0EC3">
                <w:pPr>
                  <w:spacing w:line="256" w:lineRule="auto"/>
                  <w:rPr>
                    <w:rFonts w:eastAsia="Calibri"/>
                    <w:b/>
                    <w:sz w:val="20"/>
                    <w:szCs w:val="20"/>
                  </w:rPr>
                </w:pPr>
              </w:p>
            </w:tc>
          </w:tr>
        </w:tbl>
        <w:p w14:paraId="074DAC45"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49D6971A" w14:textId="77777777" w:rsidR="00FC21D0" w:rsidRPr="0084080A" w:rsidRDefault="00FC21D0" w:rsidP="00DE4873">
          <w:pPr>
            <w:keepNext/>
            <w:shd w:val="clear" w:color="auto" w:fill="F7F7F7"/>
            <w:spacing w:line="14" w:lineRule="exact"/>
            <w:ind w:left="-691" w:right="-418"/>
            <w:rPr>
              <w:rFonts w:asciiTheme="minorHAnsi" w:hAnsiTheme="minorHAnsi"/>
              <w:b/>
              <w:bCs/>
              <w:color w:val="7F7F7F" w:themeColor="text1" w:themeTint="80"/>
              <w:sz w:val="2"/>
              <w:szCs w:val="2"/>
            </w:rPr>
          </w:pPr>
        </w:p>
        <w:tbl>
          <w:tblPr>
            <w:tblW w:w="1413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115" w:type="dxa"/>
              <w:right w:w="115" w:type="dxa"/>
            </w:tblCellMar>
            <w:tblLook w:val="04A0" w:firstRow="1" w:lastRow="0" w:firstColumn="1" w:lastColumn="0" w:noHBand="0" w:noVBand="1"/>
          </w:tblPr>
          <w:tblGrid>
            <w:gridCol w:w="2790"/>
            <w:gridCol w:w="11340"/>
          </w:tblGrid>
          <w:tr w:rsidR="000C3959" w14:paraId="21ECB121" w14:textId="77777777" w:rsidTr="00793B4C">
            <w:trPr>
              <w:trHeight w:val="20"/>
            </w:trPr>
            <w:tc>
              <w:tcPr>
                <w:tcW w:w="2790" w:type="dxa"/>
                <w:tcBorders>
                  <w:top w:val="nil"/>
                  <w:left w:val="nil"/>
                  <w:bottom w:val="single" w:sz="4" w:space="0" w:color="D9D9D9"/>
                  <w:right w:val="nil"/>
                </w:tcBorders>
                <w:shd w:val="clear" w:color="auto" w:fill="DEEAF6"/>
                <w:vAlign w:val="center"/>
              </w:tcPr>
              <w:p w14:paraId="486F9796" w14:textId="77777777" w:rsidR="00793B4C" w:rsidRPr="00793B4C" w:rsidRDefault="00793B4C" w:rsidP="00793B4C">
                <w:pPr>
                  <w:pStyle w:val="Normal232"/>
                  <w:keepNext/>
                  <w:spacing w:line="14" w:lineRule="exact"/>
                  <w:ind w:left="90"/>
                  <w:rPr>
                    <w:rFonts w:ascii="Calibri" w:hAnsi="Calibri"/>
                    <w:b/>
                    <w:bCs/>
                    <w:color w:val="404040"/>
                    <w:sz w:val="2"/>
                    <w:szCs w:val="2"/>
                  </w:rPr>
                </w:pPr>
              </w:p>
            </w:tc>
            <w:tc>
              <w:tcPr>
                <w:tcW w:w="11340" w:type="dxa"/>
                <w:tcBorders>
                  <w:top w:val="nil"/>
                  <w:left w:val="nil"/>
                  <w:bottom w:val="single" w:sz="4" w:space="0" w:color="D9D9D9"/>
                  <w:right w:val="nil"/>
                </w:tcBorders>
                <w:shd w:val="clear" w:color="auto" w:fill="DEEAF6"/>
                <w:vAlign w:val="center"/>
              </w:tcPr>
              <w:p w14:paraId="7C1738D8" w14:textId="77777777" w:rsidR="00793B4C" w:rsidRPr="00793B4C" w:rsidRDefault="00793B4C" w:rsidP="00793B4C">
                <w:pPr>
                  <w:pStyle w:val="Normal232"/>
                  <w:keepNext/>
                  <w:spacing w:line="14" w:lineRule="exact"/>
                  <w:ind w:left="78" w:right="85"/>
                  <w:rPr>
                    <w:rFonts w:ascii="Calibri" w:hAnsi="Calibri"/>
                    <w:sz w:val="2"/>
                    <w:szCs w:val="2"/>
                  </w:rPr>
                </w:pPr>
              </w:p>
            </w:tc>
          </w:tr>
          <w:tr w:rsidR="000C3959" w14:paraId="087E67D9"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1053FFCE" w14:textId="77777777" w:rsidR="0084080A" w:rsidRPr="008B55B9" w:rsidRDefault="00B00100" w:rsidP="00DE4873">
                <w:pPr>
                  <w:pStyle w:val="Normal232"/>
                  <w:keepNext/>
                  <w:ind w:left="90"/>
                  <w:rPr>
                    <w:rFonts w:ascii="Calibri" w:hAnsi="Calibri"/>
                    <w:b/>
                    <w:bCs/>
                    <w:color w:val="404040"/>
                    <w:sz w:val="22"/>
                    <w:szCs w:val="20"/>
                  </w:rPr>
                </w:pPr>
                <w:r>
                  <w:rPr>
                    <w:rFonts w:ascii="Calibri" w:hAnsi="Calibri"/>
                    <w:b/>
                    <w:bCs/>
                    <w:color w:val="404040"/>
                    <w:sz w:val="22"/>
                    <w:szCs w:val="20"/>
                  </w:rPr>
                  <w:t xml:space="preserve">DLI </w:t>
                </w:r>
                <w:r>
                  <w:rPr>
                    <w:rFonts w:ascii="Calibri" w:hAnsi="Calibri"/>
                    <w:b/>
                    <w:bCs/>
                    <w:noProof/>
                    <w:color w:val="404040"/>
                    <w:sz w:val="22"/>
                    <w:szCs w:val="20"/>
                  </w:rPr>
                  <w:t>7</w:t>
                </w:r>
              </w:p>
            </w:tc>
            <w:tc>
              <w:tcPr>
                <w:tcW w:w="11340" w:type="dxa"/>
                <w:tcBorders>
                  <w:top w:val="single" w:sz="4" w:space="0" w:color="D9D9D9"/>
                  <w:left w:val="single" w:sz="4" w:space="0" w:color="D9D9D9"/>
                  <w:bottom w:val="single" w:sz="4" w:space="0" w:color="D9D9D9"/>
                  <w:right w:val="single" w:sz="4" w:space="0" w:color="D9D9D9"/>
                </w:tcBorders>
                <w:shd w:val="clear" w:color="auto" w:fill="DEEAF6"/>
                <w:vAlign w:val="center"/>
                <w:hideMark/>
              </w:tcPr>
              <w:p w14:paraId="018939E3" w14:textId="77777777" w:rsidR="0084080A" w:rsidRPr="003C0658" w:rsidRDefault="00B00100" w:rsidP="00DE4873">
                <w:pPr>
                  <w:pStyle w:val="Normal232"/>
                  <w:keepNext/>
                  <w:ind w:left="78" w:right="85"/>
                  <w:rPr>
                    <w:sz w:val="20"/>
                    <w:szCs w:val="22"/>
                  </w:rPr>
                </w:pPr>
                <w:r w:rsidRPr="007716E0">
                  <w:rPr>
                    <w:rFonts w:ascii="Calibri" w:hAnsi="Calibri"/>
                    <w:noProof/>
                    <w:sz w:val="22"/>
                    <w:szCs w:val="22"/>
                  </w:rPr>
                  <w:t>Institutional Impact</w:t>
                </w:r>
              </w:p>
            </w:tc>
          </w:tr>
          <w:tr w:rsidR="000C3959" w14:paraId="7DD892C7"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462B404"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Description</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9A0EE09" w14:textId="77777777" w:rsidR="0084080A" w:rsidRPr="00D35DD0" w:rsidRDefault="00B00100" w:rsidP="00CE0EC3">
                <w:pPr>
                  <w:spacing w:line="256" w:lineRule="auto"/>
                  <w:rPr>
                    <w:rFonts w:eastAsia="Calibri"/>
                    <w:sz w:val="20"/>
                    <w:szCs w:val="20"/>
                  </w:rPr>
                </w:pPr>
                <w:r>
                  <w:rPr>
                    <w:rFonts w:ascii="Calibri" w:hAnsi="Calibri"/>
                    <w:noProof/>
                    <w:sz w:val="22"/>
                    <w:szCs w:val="22"/>
                  </w:rPr>
                  <w:t>• DLR#7.1: ACE Impact host institution develops and endorses a meaningful university- wide regional strategy (including student affairs). • DLR#7.2: ACE Impact host institution undertakes open, merit-based competitive selection of department heads related to the ACEs and university head. • DLR#7.3: ACE Impact host institution undertakes institutional wide international accreditation, gap assessments and self-evaluations following established methodology • DLR#7.4: ACE Impact host institution participates in the PASET Regional Benchmarking initiative and submits on the required indicators • DLR#7.5: ACE Impact host institution meets milestones for promoting institutional impact. Each approved Center Implementation Plan contains milestone(s) of results and activities to improve institutional impact • DLR#7.6: ACE Impact host institution participates in the National Research and Education Network, including services such as (1) at least 0.5 gbps broadband connection, (2) access to electronic library/database content, (3) access to High Performance Computing, and (4) access to high-performance computer applications.</w:t>
                </w:r>
              </w:p>
            </w:tc>
          </w:tr>
          <w:tr w:rsidR="000C3959" w14:paraId="6AC50CCC"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7883CF61" w14:textId="77777777" w:rsidR="0084080A" w:rsidRPr="008B55B9" w:rsidRDefault="00B00100" w:rsidP="00CE0EC3">
                <w:pPr>
                  <w:pStyle w:val="Normal232"/>
                  <w:ind w:left="90"/>
                  <w:rPr>
                    <w:rFonts w:ascii="Calibri" w:hAnsi="Calibri"/>
                    <w:b/>
                    <w:bCs/>
                    <w:color w:val="404040"/>
                    <w:sz w:val="22"/>
                    <w:szCs w:val="20"/>
                  </w:rPr>
                </w:pPr>
                <w:r>
                  <w:rPr>
                    <w:rFonts w:ascii="Calibri" w:hAnsi="Calibri"/>
                    <w:b/>
                    <w:bCs/>
                    <w:color w:val="404040"/>
                    <w:sz w:val="22"/>
                    <w:szCs w:val="20"/>
                  </w:rPr>
                  <w:t>Data source/ A</w:t>
                </w:r>
                <w:r w:rsidRPr="008B55B9">
                  <w:rPr>
                    <w:rFonts w:ascii="Calibri" w:hAnsi="Calibri"/>
                    <w:b/>
                    <w:bCs/>
                    <w:color w:val="404040"/>
                    <w:sz w:val="22"/>
                    <w:szCs w:val="20"/>
                  </w:rPr>
                  <w:t>gency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73B7BC70" w14:textId="77777777" w:rsidR="0084080A" w:rsidRDefault="00B00100" w:rsidP="00CE0EC3">
                <w:pPr>
                  <w:spacing w:line="256" w:lineRule="auto"/>
                  <w:rPr>
                    <w:rFonts w:eastAsia="Calibri"/>
                    <w:b/>
                    <w:sz w:val="20"/>
                    <w:szCs w:val="20"/>
                  </w:rPr>
                </w:pPr>
                <w:r>
                  <w:rPr>
                    <w:rFonts w:ascii="Calibri" w:hAnsi="Calibri"/>
                    <w:noProof/>
                    <w:sz w:val="22"/>
                    <w:szCs w:val="22"/>
                  </w:rPr>
                  <w:t>Centers’ progress reports; reports from host universities, accreditation certificates and other assessment reports; PASET benchmarking exercise report</w:t>
                </w:r>
              </w:p>
            </w:tc>
          </w:tr>
          <w:tr w:rsidR="000C3959" w14:paraId="565C37EA"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488CE8B" w14:textId="77777777" w:rsidR="0084080A" w:rsidRPr="008B55B9" w:rsidRDefault="00B00100" w:rsidP="00CE0EC3">
                <w:pPr>
                  <w:pStyle w:val="Normal232"/>
                  <w:ind w:left="90"/>
                  <w:rPr>
                    <w:rFonts w:ascii="Calibri" w:hAnsi="Calibri"/>
                    <w:b/>
                    <w:bCs/>
                    <w:color w:val="404040"/>
                    <w:sz w:val="22"/>
                    <w:szCs w:val="20"/>
                  </w:rPr>
                </w:pPr>
                <w:r w:rsidRPr="008B55B9">
                  <w:rPr>
                    <w:rFonts w:ascii="Calibri" w:hAnsi="Calibri"/>
                    <w:b/>
                    <w:bCs/>
                    <w:color w:val="404040"/>
                    <w:sz w:val="22"/>
                    <w:szCs w:val="20"/>
                  </w:rPr>
                  <w:t>Verification Entity</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2F687BA5" w14:textId="77777777" w:rsidR="0084080A" w:rsidRDefault="00B00100" w:rsidP="00CE0EC3">
                <w:pPr>
                  <w:spacing w:line="256" w:lineRule="auto"/>
                  <w:rPr>
                    <w:rFonts w:eastAsia="Calibri"/>
                    <w:sz w:val="22"/>
                    <w:szCs w:val="22"/>
                  </w:rPr>
                </w:pPr>
                <w:r>
                  <w:rPr>
                    <w:rFonts w:ascii="Calibri" w:eastAsia="Calibri" w:hAnsi="Calibri" w:cs="Times New Roman"/>
                    <w:noProof/>
                    <w:sz w:val="22"/>
                    <w:szCs w:val="22"/>
                  </w:rPr>
                  <w:t>RFU</w:t>
                </w:r>
              </w:p>
            </w:tc>
          </w:tr>
          <w:tr w:rsidR="000C3959" w14:paraId="51372F99" w14:textId="77777777" w:rsidTr="00793B4C">
            <w:trPr>
              <w:trHeight w:val="432"/>
            </w:trPr>
            <w:tc>
              <w:tcPr>
                <w:tcW w:w="2790" w:type="dxa"/>
                <w:tcBorders>
                  <w:top w:val="single" w:sz="4" w:space="0" w:color="D9D9D9"/>
                  <w:left w:val="single" w:sz="4" w:space="0" w:color="D9D9D9"/>
                  <w:bottom w:val="single" w:sz="4" w:space="0" w:color="D9D9D9"/>
                  <w:right w:val="single" w:sz="4" w:space="0" w:color="D9D9D9"/>
                </w:tcBorders>
                <w:shd w:val="clear" w:color="auto" w:fill="F2F2F2"/>
                <w:vAlign w:val="center"/>
                <w:hideMark/>
              </w:tcPr>
              <w:p w14:paraId="2AD9F715" w14:textId="77777777" w:rsidR="0084080A" w:rsidRPr="003C0658" w:rsidRDefault="00B00100" w:rsidP="00CE0EC3">
                <w:pPr>
                  <w:pStyle w:val="Normal232"/>
                  <w:ind w:left="90"/>
                  <w:rPr>
                    <w:b/>
                    <w:bCs/>
                    <w:color w:val="404040"/>
                    <w:sz w:val="22"/>
                    <w:szCs w:val="20"/>
                  </w:rPr>
                </w:pPr>
                <w:r w:rsidRPr="008B55B9">
                  <w:rPr>
                    <w:rFonts w:ascii="Calibri" w:hAnsi="Calibri"/>
                    <w:b/>
                    <w:bCs/>
                    <w:color w:val="404040"/>
                    <w:sz w:val="22"/>
                    <w:szCs w:val="20"/>
                  </w:rPr>
                  <w:t>Procedure</w:t>
                </w:r>
              </w:p>
            </w:tc>
            <w:tc>
              <w:tcPr>
                <w:tcW w:w="11340"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06E8A9C3"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7.1 is achieved if independent experts verify that a new or existing strategic plan for regionalization is in place for the ACE Impact host institution. The strategy will include policies and interventions that would ensure that the institution becomes regionally competitive (if not globally), highlighting, for example, how to attract and retain more regional students and partners (both from industry and academia). US$100,000 equivalent;</w:t>
                </w:r>
              </w:p>
              <w:p w14:paraId="26C55C1B"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lastRenderedPageBreak/>
                  <w:t>DLR 7.2 is achieved if ACE Impact host institution submits evidence that department heads/deans related to the ACEs and university head are recruited through open, merit-based competitive selection. US$200,000 equivalent for university head recruitment and US$50,000 equivalent for dean/department heads;</w:t>
                </w:r>
              </w:p>
              <w:p w14:paraId="7C6B4F79"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7.3 is achieved if the ACE Impact host institution submits evidence of achievement of a specific accreditation or assessment. The accreditation agency used must be acceptable to the World Bank and the RFU. US$ 200,000 equivalent for international accreditation; US$75,000 equivalent each for gap assessment/self-evaluation;</w:t>
                </w:r>
              </w:p>
              <w:p w14:paraId="3BD4C2BA"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7.4 is achieved if the PASET Benchmarking host institution confirms the participation of the ACE Impact host institution in the benchmarking exercise and its submission of an acceptable intervention plan. US$ 50,000 equivalent for each year the university participates (up to 2 years);</w:t>
                </w:r>
              </w:p>
              <w:p w14:paraId="6C3F3774"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7.5 is achieved if the ACE host university meets its milestones and those milestones are independently verified as achieved. US$ 200,000 equivalent per institutional impact milestone.</w:t>
                </w:r>
              </w:p>
              <w:p w14:paraId="503F4DD5" w14:textId="77777777" w:rsidR="000C3959" w:rsidRDefault="00B00100" w:rsidP="00CE0EC3">
                <w:pPr>
                  <w:numPr>
                    <w:ilvl w:val="0"/>
                    <w:numId w:val="6"/>
                  </w:numPr>
                  <w:spacing w:line="256" w:lineRule="auto"/>
                  <w:rPr>
                    <w:rFonts w:ascii="Calibri" w:eastAsia="Calibri" w:hAnsi="Calibri" w:cs="Times New Roman"/>
                    <w:noProof/>
                    <w:sz w:val="22"/>
                    <w:szCs w:val="22"/>
                  </w:rPr>
                </w:pPr>
                <w:r>
                  <w:rPr>
                    <w:rFonts w:ascii="Calibri" w:eastAsia="Calibri" w:hAnsi="Calibri" w:cs="Times New Roman"/>
                    <w:noProof/>
                    <w:sz w:val="22"/>
                    <w:szCs w:val="22"/>
                  </w:rPr>
                  <w:t>DLR 7.6 is achieved if the ACE host institutions meets pre-formulated and approved milestones in their participation in the NREN services and results show clear evidence that students and faculty are receiving improved access to the services (as formulated by each institution). US$ 100,000 equivalent per year for a single or bundle of services</w:t>
                </w:r>
              </w:p>
              <w:p w14:paraId="2799C56A" w14:textId="77777777" w:rsidR="0084080A" w:rsidRDefault="0084080A" w:rsidP="00CE0EC3">
                <w:pPr>
                  <w:spacing w:line="256" w:lineRule="auto"/>
                  <w:rPr>
                    <w:rFonts w:eastAsia="Calibri"/>
                    <w:b/>
                    <w:sz w:val="20"/>
                    <w:szCs w:val="20"/>
                  </w:rPr>
                </w:pPr>
              </w:p>
            </w:tc>
          </w:tr>
        </w:tbl>
        <w:p w14:paraId="4D29F459" w14:textId="77777777" w:rsidR="0084080A" w:rsidRPr="0084080A" w:rsidRDefault="0084080A" w:rsidP="0084080A">
          <w:pPr>
            <w:shd w:val="clear" w:color="auto" w:fill="F7F7F7"/>
            <w:spacing w:line="14" w:lineRule="exact"/>
            <w:ind w:left="-691" w:right="-418"/>
            <w:rPr>
              <w:rFonts w:asciiTheme="minorHAnsi" w:hAnsiTheme="minorHAnsi"/>
              <w:b/>
              <w:bCs/>
              <w:color w:val="7F7F7F" w:themeColor="text1" w:themeTint="80"/>
              <w:sz w:val="2"/>
              <w:szCs w:val="2"/>
            </w:rPr>
          </w:pPr>
        </w:p>
        <w:p w14:paraId="5D8FC628" w14:textId="77777777" w:rsidR="0084080A" w:rsidRDefault="0084080A" w:rsidP="00FA24ED">
          <w:pPr>
            <w:shd w:val="clear" w:color="auto" w:fill="F7F7F7"/>
            <w:ind w:left="-691" w:right="-418"/>
            <w:rPr>
              <w:rFonts w:asciiTheme="minorHAnsi" w:hAnsiTheme="minorHAnsi"/>
              <w:b/>
              <w:bCs/>
              <w:color w:val="7F7F7F" w:themeColor="text1" w:themeTint="80"/>
              <w:sz w:val="22"/>
              <w:szCs w:val="22"/>
            </w:rPr>
          </w:pPr>
        </w:p>
        <w:p w14:paraId="6FB1E5D6" w14:textId="77777777" w:rsidR="004212A2" w:rsidRDefault="00B00100" w:rsidP="007651CD">
          <w:pPr>
            <w:pStyle w:val="Normal4"/>
            <w:spacing w:after="0" w:line="14" w:lineRule="exact"/>
            <w:ind w:left="-907"/>
          </w:pPr>
          <w:r>
            <w:rPr>
              <w:noProof/>
            </w:rPr>
            <mc:AlternateContent>
              <mc:Choice Requires="wps">
                <w:drawing>
                  <wp:anchor distT="0" distB="0" distL="114300" distR="114300" simplePos="0" relativeHeight="251658246" behindDoc="0" locked="0" layoutInCell="1" allowOverlap="1" wp14:anchorId="0E28E6C9" wp14:editId="522A5854">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4F6C0D" id="Straight Connector 25"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pt,.95pt" to="71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" strokecolor="gray [1629]">
                    <v:stroke dashstyle="dash" opacity="26214f" joinstyle="miter"/>
                  </v:line>
                </w:pict>
              </mc:Fallback>
            </mc:AlternateContent>
          </w:r>
        </w:p>
        <w:sdt>
          <w:sdtPr>
            <w:tag w:val="OPS_CORE_SECTION_END_9"/>
            <w:id w:val="1813827127"/>
            <w:lock w:val="sdtContentLocked"/>
            <w:placeholder>
              <w:docPart w:val="4C6F3F8C360047F3AC0EDCD46E696C86"/>
            </w:placeholder>
          </w:sdtPr>
          <w:sdtEndPr/>
          <w:sdtContent>
            <w:p w14:paraId="16CB45DF" w14:textId="77777777" w:rsidR="0020672B" w:rsidRDefault="00B00100" w:rsidP="00AE32FF">
              <w:pPr>
                <w:pStyle w:val="Normal4"/>
                <w:spacing w:after="0" w:line="14" w:lineRule="exact"/>
                <w:ind w:left="-907"/>
                <w:sectPr w:rsidR="0020672B" w:rsidSect="003615CB">
                  <w:headerReference w:type="even" r:id="rId43"/>
                  <w:headerReference w:type="default" r:id="rId44"/>
                  <w:headerReference w:type="first" r:id="rId45"/>
                  <w:type w:val="continuous"/>
                  <w:pgSz w:w="15840" w:h="12240" w:orient="landscape"/>
                  <w:pgMar w:top="1440" w:right="1440" w:bottom="1440" w:left="1440" w:header="720" w:footer="720" w:gutter="0"/>
                  <w:cols w:space="720"/>
                  <w:docGrid w:linePitch="360"/>
                </w:sectPr>
              </w:pPr>
              <w:r>
                <w:t xml:space="preserve"> </w:t>
              </w:r>
            </w:p>
          </w:sdtContent>
        </w:sdt>
      </w:sdtContent>
    </w:sdt>
    <w:p w14:paraId="0F442AB2" w14:textId="77777777" w:rsidR="0020672B" w:rsidRDefault="0020672B" w:rsidP="00370635">
      <w:pPr>
        <w:pStyle w:val="Normal4"/>
        <w:spacing w:after="0" w:line="240" w:lineRule="auto"/>
        <w:ind w:left="-720"/>
      </w:pPr>
    </w:p>
    <w:p w14:paraId="4526A85C" w14:textId="77777777" w:rsidR="002E1A3F" w:rsidRPr="000C46A6" w:rsidRDefault="00B00100" w:rsidP="002E1A3F">
      <w:pPr>
        <w:rPr>
          <w:rFonts w:ascii="Calibri" w:eastAsia="Calibri" w:hAnsi="Calibri" w:cs="Times New Roman"/>
          <w:sz w:val="18"/>
          <w:szCs w:val="22"/>
          <w:lang w:eastAsia="ko-KR"/>
        </w:rPr>
      </w:pPr>
      <w:r w:rsidRPr="000C46A6">
        <w:rPr>
          <w:rFonts w:ascii="Calibri" w:eastAsia="Calibri" w:hAnsi="Calibri" w:cs="Times New Roman"/>
          <w:sz w:val="18"/>
          <w:szCs w:val="22"/>
          <w:lang w:eastAsia="ko-KR"/>
        </w:rPr>
        <w:t xml:space="preserve">Note: The above DLI matrix presents the planned achievement per year in terms of percentage of the results to be </w:t>
      </w:r>
      <w:r w:rsidR="00404F5D" w:rsidRPr="000C46A6">
        <w:rPr>
          <w:rFonts w:ascii="Calibri" w:eastAsia="Calibri" w:hAnsi="Calibri" w:cs="Times New Roman"/>
          <w:sz w:val="18"/>
          <w:szCs w:val="22"/>
          <w:lang w:eastAsia="ko-KR"/>
        </w:rPr>
        <w:t>achieved</w:t>
      </w:r>
      <w:r w:rsidR="00990694" w:rsidRPr="000C46A6">
        <w:rPr>
          <w:rFonts w:ascii="Calibri" w:eastAsia="Calibri" w:hAnsi="Calibri" w:cs="Times New Roman"/>
          <w:sz w:val="18"/>
          <w:szCs w:val="22"/>
          <w:lang w:eastAsia="ko-KR"/>
        </w:rPr>
        <w:t>.</w:t>
      </w:r>
      <w:r w:rsidR="00404F5D" w:rsidRPr="000C46A6">
        <w:rPr>
          <w:rFonts w:ascii="Calibri" w:eastAsia="Calibri" w:hAnsi="Calibri" w:cs="Times New Roman"/>
          <w:sz w:val="18"/>
          <w:szCs w:val="22"/>
          <w:lang w:eastAsia="ko-KR"/>
        </w:rPr>
        <w:t xml:space="preserve"> </w:t>
      </w:r>
      <w:r w:rsidRPr="000C46A6">
        <w:rPr>
          <w:rFonts w:ascii="Calibri" w:eastAsia="Calibri" w:hAnsi="Calibri" w:cs="Times New Roman"/>
          <w:sz w:val="18"/>
          <w:szCs w:val="22"/>
          <w:shd w:val="clear" w:color="auto" w:fill="FFFFFF" w:themeFill="background1"/>
          <w:lang w:eastAsia="ko-KR"/>
        </w:rPr>
        <w:t xml:space="preserve">The </w:t>
      </w:r>
      <w:r w:rsidR="00C84FD1" w:rsidRPr="000C46A6">
        <w:rPr>
          <w:rFonts w:ascii="Calibri" w:eastAsia="Calibri" w:hAnsi="Calibri" w:cs="Times New Roman"/>
          <w:sz w:val="18"/>
          <w:szCs w:val="22"/>
          <w:shd w:val="clear" w:color="auto" w:fill="FFFFFF" w:themeFill="background1"/>
          <w:lang w:eastAsia="ko-KR"/>
        </w:rPr>
        <w:t xml:space="preserve">table </w:t>
      </w:r>
      <w:r w:rsidRPr="000C46A6">
        <w:rPr>
          <w:rFonts w:ascii="Calibri" w:eastAsia="Calibri" w:hAnsi="Calibri" w:cs="Times New Roman"/>
          <w:sz w:val="18"/>
          <w:szCs w:val="22"/>
          <w:shd w:val="clear" w:color="auto" w:fill="FFFFFF" w:themeFill="background1"/>
          <w:lang w:eastAsia="ko-KR"/>
        </w:rPr>
        <w:t>below presents the achievement targets per specific DLI and DLR. This is aggregated</w:t>
      </w:r>
      <w:r w:rsidRPr="000C46A6">
        <w:rPr>
          <w:rFonts w:ascii="Calibri" w:eastAsia="Calibri" w:hAnsi="Calibri" w:cs="Times New Roman"/>
          <w:sz w:val="18"/>
          <w:szCs w:val="22"/>
          <w:lang w:eastAsia="ko-KR"/>
        </w:rPr>
        <w:t xml:space="preserve"> across the five participating countries. The achievement targets for each country </w:t>
      </w:r>
      <w:r w:rsidR="00C84FD1" w:rsidRPr="000C46A6">
        <w:rPr>
          <w:rFonts w:ascii="Calibri" w:eastAsia="Calibri" w:hAnsi="Calibri" w:cs="Times New Roman"/>
          <w:sz w:val="18"/>
          <w:szCs w:val="22"/>
          <w:lang w:eastAsia="ko-KR"/>
        </w:rPr>
        <w:t>are</w:t>
      </w:r>
      <w:r w:rsidRPr="000C46A6">
        <w:rPr>
          <w:rFonts w:ascii="Calibri" w:eastAsia="Calibri" w:hAnsi="Calibri" w:cs="Times New Roman"/>
          <w:sz w:val="18"/>
          <w:szCs w:val="22"/>
          <w:lang w:eastAsia="ko-KR"/>
        </w:rPr>
        <w:t xml:space="preserve"> available in the </w:t>
      </w:r>
      <w:r w:rsidR="00864D46">
        <w:rPr>
          <w:rFonts w:ascii="Calibri" w:eastAsia="Calibri" w:hAnsi="Calibri" w:cs="Times New Roman"/>
          <w:sz w:val="18"/>
          <w:szCs w:val="22"/>
          <w:lang w:eastAsia="ko-KR"/>
        </w:rPr>
        <w:t>FA</w:t>
      </w:r>
      <w:r w:rsidRPr="000C46A6">
        <w:rPr>
          <w:rFonts w:ascii="Calibri" w:eastAsia="Calibri" w:hAnsi="Calibri" w:cs="Times New Roman"/>
          <w:sz w:val="18"/>
          <w:szCs w:val="22"/>
          <w:lang w:eastAsia="ko-KR"/>
        </w:rPr>
        <w:t xml:space="preserve"> for each country.</w:t>
      </w:r>
    </w:p>
    <w:p w14:paraId="7715A603" w14:textId="77777777" w:rsidR="002E1A3F" w:rsidRPr="0037713F" w:rsidRDefault="00B00100" w:rsidP="002E1A3F">
      <w:r w:rsidRPr="0037713F">
        <w:br w:type="page"/>
      </w:r>
    </w:p>
    <w:p w14:paraId="148EC411" w14:textId="7415258B" w:rsidR="002E1A3F" w:rsidRPr="006C70A5" w:rsidRDefault="00B00100" w:rsidP="006C70A5">
      <w:pPr>
        <w:widowControl/>
        <w:autoSpaceDE/>
        <w:autoSpaceDN/>
        <w:adjustRightInd/>
        <w:rPr>
          <w:rFonts w:ascii="Times New Roman" w:eastAsiaTheme="minorHAnsi" w:hAnsi="Times New Roman" w:cs="Times New Roman"/>
          <w:color w:val="auto"/>
        </w:rPr>
      </w:pPr>
      <w:commentRangeStart w:id="371"/>
      <w:r>
        <w:rPr>
          <w:rFonts w:asciiTheme="minorHAnsi" w:hAnsiTheme="minorHAnsi" w:cstheme="minorHAnsi"/>
          <w:b/>
          <w:color w:val="172D5F"/>
          <w:sz w:val="22"/>
          <w:szCs w:val="22"/>
        </w:rPr>
        <w:lastRenderedPageBreak/>
        <w:t>Tabl</w:t>
      </w:r>
      <w:commentRangeStart w:id="372"/>
      <w:r w:rsidR="00503CDB">
        <w:rPr>
          <w:rFonts w:asciiTheme="minorHAnsi" w:hAnsiTheme="minorHAnsi" w:cstheme="minorHAnsi"/>
          <w:b/>
          <w:color w:val="172D5F"/>
          <w:sz w:val="22"/>
          <w:szCs w:val="22"/>
        </w:rPr>
        <w:t>e 7</w:t>
      </w:r>
      <w:commentRangeEnd w:id="372"/>
      <w:r w:rsidR="00503CDB">
        <w:rPr>
          <w:rStyle w:val="CommentReference"/>
        </w:rPr>
        <w:commentReference w:id="372"/>
      </w:r>
      <w:commentRangeEnd w:id="371"/>
      <w:r w:rsidR="009D74BC">
        <w:rPr>
          <w:rStyle w:val="CommentReference"/>
        </w:rPr>
        <w:commentReference w:id="371"/>
      </w:r>
      <w:r>
        <w:rPr>
          <w:rFonts w:asciiTheme="minorHAnsi" w:hAnsiTheme="minorHAnsi" w:cstheme="minorHAnsi"/>
          <w:b/>
          <w:color w:val="172D5F"/>
          <w:sz w:val="22"/>
          <w:szCs w:val="22"/>
        </w:rPr>
        <w:t xml:space="preserve">: </w:t>
      </w:r>
      <w:r w:rsidR="00FA42DB" w:rsidRPr="00B81291">
        <w:rPr>
          <w:rFonts w:asciiTheme="minorHAnsi" w:hAnsiTheme="minorHAnsi" w:cstheme="minorHAnsi"/>
          <w:b/>
          <w:color w:val="172D5F"/>
          <w:sz w:val="22"/>
          <w:szCs w:val="22"/>
        </w:rPr>
        <w:t>Achievement Targets for each Disbursement Linked Indicator and Disbursement Linked Result</w:t>
      </w:r>
      <w:r w:rsidR="00FA42DB" w:rsidRPr="00B81291">
        <w:rPr>
          <w:rFonts w:asciiTheme="minorHAnsi" w:hAnsiTheme="minorHAnsi" w:cstheme="minorHAnsi"/>
          <w:b/>
          <w:bCs/>
          <w:color w:val="172D5F"/>
          <w:sz w:val="22"/>
          <w:szCs w:val="22"/>
        </w:rPr>
        <w:t xml:space="preserve">s </w:t>
      </w:r>
    </w:p>
    <w:tbl>
      <w:tblPr>
        <w:tblpPr w:leftFromText="180" w:rightFromText="180" w:vertAnchor="text" w:tblpY="1"/>
        <w:tblOverlap w:val="never"/>
        <w:tblW w:w="13247" w:type="dxa"/>
        <w:tblLayout w:type="fixed"/>
        <w:tblCellMar>
          <w:left w:w="70" w:type="dxa"/>
          <w:right w:w="70" w:type="dxa"/>
        </w:tblCellMar>
        <w:tblLook w:val="04A0" w:firstRow="1" w:lastRow="0" w:firstColumn="1" w:lastColumn="0" w:noHBand="0" w:noVBand="1"/>
      </w:tblPr>
      <w:tblGrid>
        <w:gridCol w:w="2004"/>
        <w:gridCol w:w="1220"/>
        <w:gridCol w:w="610"/>
        <w:gridCol w:w="1836"/>
        <w:gridCol w:w="1890"/>
        <w:gridCol w:w="1851"/>
        <w:gridCol w:w="1917"/>
        <w:gridCol w:w="1919"/>
      </w:tblGrid>
      <w:tr w:rsidR="000C3959" w14:paraId="130E082E" w14:textId="77777777" w:rsidTr="008E2709">
        <w:trPr>
          <w:trHeight w:val="260"/>
          <w:tblHeader/>
        </w:trPr>
        <w:tc>
          <w:tcPr>
            <w:tcW w:w="2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48722" w14:textId="77777777" w:rsidR="002E1A3F" w:rsidRPr="000C46A6" w:rsidRDefault="002E1A3F" w:rsidP="00404D02">
            <w:pPr>
              <w:rPr>
                <w:i/>
                <w:sz w:val="16"/>
                <w:szCs w:val="16"/>
                <w:lang w:eastAsia="fr-FR"/>
              </w:rPr>
            </w:pPr>
          </w:p>
        </w:tc>
        <w:tc>
          <w:tcPr>
            <w:tcW w:w="1220" w:type="dxa"/>
            <w:vMerge w:val="restart"/>
            <w:tcBorders>
              <w:top w:val="single" w:sz="4" w:space="0" w:color="auto"/>
              <w:left w:val="single" w:sz="4" w:space="0" w:color="auto"/>
              <w:bottom w:val="single" w:sz="4" w:space="0" w:color="auto"/>
              <w:right w:val="nil"/>
            </w:tcBorders>
            <w:shd w:val="clear" w:color="auto" w:fill="auto"/>
            <w:vAlign w:val="center"/>
            <w:hideMark/>
          </w:tcPr>
          <w:p w14:paraId="7CC0FDB6" w14:textId="77777777" w:rsidR="002E1A3F" w:rsidRPr="0037713F" w:rsidRDefault="00B00100" w:rsidP="00F463C2">
            <w:pPr>
              <w:jc w:val="center"/>
              <w:rPr>
                <w:b/>
                <w:bCs/>
                <w:i/>
                <w:iCs/>
                <w:sz w:val="16"/>
                <w:szCs w:val="16"/>
                <w:lang w:eastAsia="fr-FR"/>
              </w:rPr>
            </w:pPr>
            <w:r w:rsidRPr="0037713F">
              <w:rPr>
                <w:b/>
                <w:bCs/>
                <w:i/>
                <w:iCs/>
                <w:sz w:val="16"/>
                <w:szCs w:val="16"/>
                <w:lang w:eastAsia="fr-FR"/>
              </w:rPr>
              <w:t>DLI Total Financing</w:t>
            </w:r>
          </w:p>
          <w:p w14:paraId="12D23192" w14:textId="77777777" w:rsidR="002E1A3F" w:rsidRPr="0037713F" w:rsidRDefault="00B00100" w:rsidP="00FC1A97">
            <w:pPr>
              <w:jc w:val="center"/>
              <w:rPr>
                <w:b/>
                <w:bCs/>
                <w:i/>
                <w:iCs/>
                <w:sz w:val="16"/>
                <w:szCs w:val="16"/>
                <w:lang w:eastAsia="fr-FR"/>
              </w:rPr>
            </w:pPr>
            <w:r w:rsidRPr="0037713F">
              <w:rPr>
                <w:b/>
                <w:bCs/>
                <w:i/>
                <w:iCs/>
                <w:sz w:val="16"/>
                <w:szCs w:val="16"/>
                <w:lang w:eastAsia="fr-FR"/>
              </w:rPr>
              <w:t>(US$ equivalent)</w:t>
            </w:r>
          </w:p>
        </w:tc>
        <w:tc>
          <w:tcPr>
            <w:tcW w:w="610" w:type="dxa"/>
            <w:tcBorders>
              <w:top w:val="single" w:sz="4" w:space="0" w:color="auto"/>
              <w:left w:val="single" w:sz="4" w:space="0" w:color="auto"/>
              <w:bottom w:val="nil"/>
              <w:right w:val="single" w:sz="4" w:space="0" w:color="auto"/>
            </w:tcBorders>
            <w:shd w:val="clear" w:color="auto" w:fill="auto"/>
            <w:vAlign w:val="center"/>
            <w:hideMark/>
          </w:tcPr>
          <w:p w14:paraId="24C46AA8" w14:textId="77777777" w:rsidR="002E1A3F" w:rsidRPr="0037713F" w:rsidRDefault="00B00100" w:rsidP="003247A0">
            <w:pPr>
              <w:jc w:val="center"/>
              <w:rPr>
                <w:b/>
                <w:bCs/>
                <w:i/>
                <w:iCs/>
                <w:sz w:val="16"/>
                <w:szCs w:val="16"/>
                <w:lang w:eastAsia="fr-FR"/>
              </w:rPr>
            </w:pPr>
            <w:r w:rsidRPr="0037713F">
              <w:rPr>
                <w:b/>
                <w:bCs/>
                <w:i/>
                <w:iCs/>
                <w:sz w:val="16"/>
                <w:szCs w:val="16"/>
                <w:lang w:eastAsia="fr-FR"/>
              </w:rPr>
              <w:t>DLI</w:t>
            </w:r>
          </w:p>
        </w:tc>
        <w:tc>
          <w:tcPr>
            <w:tcW w:w="941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E3C86D9" w14:textId="77777777" w:rsidR="002E1A3F" w:rsidRPr="0037713F" w:rsidRDefault="00B00100" w:rsidP="003247A0">
            <w:pPr>
              <w:jc w:val="center"/>
              <w:rPr>
                <w:b/>
                <w:bCs/>
                <w:i/>
                <w:iCs/>
                <w:sz w:val="18"/>
                <w:szCs w:val="18"/>
                <w:lang w:eastAsia="fr-FR"/>
              </w:rPr>
            </w:pPr>
            <w:r w:rsidRPr="0037713F">
              <w:rPr>
                <w:b/>
                <w:bCs/>
                <w:i/>
                <w:iCs/>
                <w:sz w:val="18"/>
                <w:szCs w:val="18"/>
                <w:lang w:eastAsia="fr-FR"/>
              </w:rPr>
              <w:t>DLRs and Indicative timeline for DLR achievement</w:t>
            </w:r>
          </w:p>
        </w:tc>
      </w:tr>
      <w:tr w:rsidR="000C3959" w14:paraId="4B018F81" w14:textId="77777777" w:rsidTr="008E2709">
        <w:trPr>
          <w:trHeight w:val="424"/>
        </w:trPr>
        <w:tc>
          <w:tcPr>
            <w:tcW w:w="20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5C7BEB" w14:textId="77777777" w:rsidR="002E1A3F" w:rsidRPr="000C46A6" w:rsidRDefault="002E1A3F" w:rsidP="008E2709">
            <w:pPr>
              <w:rPr>
                <w:i/>
                <w:sz w:val="16"/>
                <w:szCs w:val="16"/>
                <w:lang w:eastAsia="fr-FR"/>
              </w:rPr>
            </w:pPr>
          </w:p>
        </w:tc>
        <w:tc>
          <w:tcPr>
            <w:tcW w:w="1220" w:type="dxa"/>
            <w:vMerge/>
            <w:tcBorders>
              <w:top w:val="single" w:sz="4" w:space="0" w:color="auto"/>
              <w:left w:val="single" w:sz="4" w:space="0" w:color="auto"/>
              <w:bottom w:val="single" w:sz="4" w:space="0" w:color="auto"/>
              <w:right w:val="nil"/>
            </w:tcBorders>
            <w:shd w:val="clear" w:color="auto" w:fill="auto"/>
            <w:vAlign w:val="center"/>
            <w:hideMark/>
          </w:tcPr>
          <w:p w14:paraId="230AAA7C" w14:textId="77777777" w:rsidR="002E1A3F" w:rsidRPr="0037713F" w:rsidRDefault="002E1A3F" w:rsidP="008E2709">
            <w:pPr>
              <w:jc w:val="center"/>
              <w:rPr>
                <w:b/>
                <w:bCs/>
                <w:i/>
                <w:iCs/>
                <w:sz w:val="16"/>
                <w:szCs w:val="16"/>
                <w:lang w:eastAsia="fr-FR"/>
              </w:rPr>
            </w:pPr>
          </w:p>
        </w:tc>
        <w:tc>
          <w:tcPr>
            <w:tcW w:w="610" w:type="dxa"/>
            <w:tcBorders>
              <w:top w:val="nil"/>
              <w:left w:val="single" w:sz="4" w:space="0" w:color="auto"/>
              <w:bottom w:val="single" w:sz="4" w:space="0" w:color="auto"/>
              <w:right w:val="single" w:sz="4" w:space="0" w:color="auto"/>
            </w:tcBorders>
            <w:shd w:val="clear" w:color="auto" w:fill="auto"/>
            <w:vAlign w:val="center"/>
            <w:hideMark/>
          </w:tcPr>
          <w:p w14:paraId="6B3B0ECB" w14:textId="77777777" w:rsidR="002E1A3F" w:rsidRPr="0037713F" w:rsidRDefault="00B00100" w:rsidP="008E2709">
            <w:pPr>
              <w:jc w:val="center"/>
              <w:rPr>
                <w:b/>
                <w:bCs/>
                <w:i/>
                <w:iCs/>
                <w:sz w:val="16"/>
                <w:szCs w:val="16"/>
                <w:lang w:eastAsia="fr-FR"/>
              </w:rPr>
            </w:pPr>
            <w:r w:rsidRPr="0037713F">
              <w:rPr>
                <w:b/>
                <w:bCs/>
                <w:i/>
                <w:iCs/>
                <w:sz w:val="16"/>
                <w:szCs w:val="16"/>
                <w:lang w:eastAsia="fr-FR"/>
              </w:rPr>
              <w:t>Baseline</w:t>
            </w:r>
          </w:p>
        </w:tc>
        <w:tc>
          <w:tcPr>
            <w:tcW w:w="1836" w:type="dxa"/>
            <w:tcBorders>
              <w:top w:val="nil"/>
              <w:left w:val="nil"/>
              <w:bottom w:val="single" w:sz="4" w:space="0" w:color="auto"/>
              <w:right w:val="single" w:sz="4" w:space="0" w:color="auto"/>
            </w:tcBorders>
            <w:shd w:val="clear" w:color="auto" w:fill="auto"/>
            <w:vAlign w:val="center"/>
            <w:hideMark/>
          </w:tcPr>
          <w:p w14:paraId="53B360FB" w14:textId="77777777" w:rsidR="002E1A3F" w:rsidRPr="0037713F" w:rsidRDefault="00B00100" w:rsidP="008E2709">
            <w:pPr>
              <w:jc w:val="center"/>
              <w:rPr>
                <w:b/>
                <w:bCs/>
                <w:i/>
                <w:iCs/>
                <w:sz w:val="16"/>
                <w:szCs w:val="16"/>
                <w:lang w:eastAsia="fr-FR"/>
              </w:rPr>
            </w:pPr>
            <w:r>
              <w:rPr>
                <w:b/>
                <w:bCs/>
                <w:i/>
                <w:iCs/>
                <w:sz w:val="16"/>
                <w:szCs w:val="16"/>
                <w:lang w:eastAsia="fr-FR"/>
              </w:rPr>
              <w:t>Year 1</w:t>
            </w:r>
          </w:p>
        </w:tc>
        <w:tc>
          <w:tcPr>
            <w:tcW w:w="1890" w:type="dxa"/>
            <w:tcBorders>
              <w:top w:val="nil"/>
              <w:left w:val="nil"/>
              <w:bottom w:val="single" w:sz="4" w:space="0" w:color="auto"/>
              <w:right w:val="single" w:sz="4" w:space="0" w:color="auto"/>
            </w:tcBorders>
            <w:shd w:val="clear" w:color="auto" w:fill="auto"/>
            <w:vAlign w:val="center"/>
            <w:hideMark/>
          </w:tcPr>
          <w:p w14:paraId="239C51EE" w14:textId="77777777" w:rsidR="002E1A3F" w:rsidRPr="0037713F" w:rsidRDefault="00B00100" w:rsidP="008E2709">
            <w:pPr>
              <w:jc w:val="center"/>
              <w:rPr>
                <w:b/>
                <w:bCs/>
                <w:i/>
                <w:iCs/>
                <w:sz w:val="16"/>
                <w:szCs w:val="16"/>
                <w:lang w:eastAsia="fr-FR"/>
              </w:rPr>
            </w:pPr>
            <w:r>
              <w:rPr>
                <w:b/>
                <w:bCs/>
                <w:i/>
                <w:iCs/>
                <w:sz w:val="16"/>
                <w:szCs w:val="16"/>
                <w:lang w:eastAsia="fr-FR"/>
              </w:rPr>
              <w:t>Year 2</w:t>
            </w:r>
          </w:p>
        </w:tc>
        <w:tc>
          <w:tcPr>
            <w:tcW w:w="1851" w:type="dxa"/>
            <w:tcBorders>
              <w:top w:val="nil"/>
              <w:left w:val="nil"/>
              <w:bottom w:val="single" w:sz="4" w:space="0" w:color="auto"/>
              <w:right w:val="single" w:sz="4" w:space="0" w:color="auto"/>
            </w:tcBorders>
            <w:shd w:val="clear" w:color="auto" w:fill="auto"/>
            <w:vAlign w:val="center"/>
            <w:hideMark/>
          </w:tcPr>
          <w:p w14:paraId="3EFFDBA5" w14:textId="77777777" w:rsidR="002E1A3F" w:rsidRPr="0037713F" w:rsidRDefault="00B00100" w:rsidP="008E2709">
            <w:pPr>
              <w:jc w:val="center"/>
              <w:rPr>
                <w:b/>
                <w:bCs/>
                <w:i/>
                <w:iCs/>
                <w:sz w:val="16"/>
                <w:szCs w:val="16"/>
                <w:lang w:eastAsia="fr-FR"/>
              </w:rPr>
            </w:pPr>
            <w:r>
              <w:rPr>
                <w:b/>
                <w:bCs/>
                <w:i/>
                <w:iCs/>
                <w:sz w:val="16"/>
                <w:szCs w:val="16"/>
                <w:lang w:eastAsia="fr-FR"/>
              </w:rPr>
              <w:t>Year 3</w:t>
            </w:r>
          </w:p>
        </w:tc>
        <w:tc>
          <w:tcPr>
            <w:tcW w:w="1917" w:type="dxa"/>
            <w:tcBorders>
              <w:top w:val="nil"/>
              <w:left w:val="nil"/>
              <w:bottom w:val="single" w:sz="4" w:space="0" w:color="auto"/>
              <w:right w:val="single" w:sz="4" w:space="0" w:color="auto"/>
            </w:tcBorders>
            <w:shd w:val="clear" w:color="auto" w:fill="auto"/>
            <w:vAlign w:val="center"/>
            <w:hideMark/>
          </w:tcPr>
          <w:p w14:paraId="789A2E04" w14:textId="77777777" w:rsidR="002E1A3F" w:rsidRPr="0037713F" w:rsidRDefault="00B00100" w:rsidP="008E2709">
            <w:pPr>
              <w:jc w:val="center"/>
              <w:rPr>
                <w:b/>
                <w:bCs/>
                <w:i/>
                <w:iCs/>
                <w:sz w:val="16"/>
                <w:szCs w:val="16"/>
                <w:lang w:eastAsia="fr-FR"/>
              </w:rPr>
            </w:pPr>
            <w:r>
              <w:rPr>
                <w:b/>
                <w:bCs/>
                <w:i/>
                <w:iCs/>
                <w:sz w:val="16"/>
                <w:szCs w:val="16"/>
                <w:lang w:eastAsia="fr-FR"/>
              </w:rPr>
              <w:t>Year 4</w:t>
            </w:r>
          </w:p>
        </w:tc>
        <w:tc>
          <w:tcPr>
            <w:tcW w:w="1919" w:type="dxa"/>
            <w:tcBorders>
              <w:top w:val="nil"/>
              <w:left w:val="nil"/>
              <w:bottom w:val="single" w:sz="4" w:space="0" w:color="auto"/>
              <w:right w:val="single" w:sz="4" w:space="0" w:color="auto"/>
            </w:tcBorders>
            <w:shd w:val="clear" w:color="auto" w:fill="auto"/>
            <w:vAlign w:val="center"/>
            <w:hideMark/>
          </w:tcPr>
          <w:p w14:paraId="4DE450EE" w14:textId="77777777" w:rsidR="002E1A3F" w:rsidRPr="0037713F" w:rsidRDefault="00B00100" w:rsidP="008E2709">
            <w:pPr>
              <w:jc w:val="center"/>
              <w:rPr>
                <w:b/>
                <w:bCs/>
                <w:i/>
                <w:iCs/>
                <w:sz w:val="16"/>
                <w:szCs w:val="16"/>
                <w:lang w:eastAsia="fr-FR"/>
              </w:rPr>
            </w:pPr>
            <w:r>
              <w:rPr>
                <w:b/>
                <w:bCs/>
                <w:i/>
                <w:iCs/>
                <w:sz w:val="16"/>
                <w:szCs w:val="16"/>
                <w:lang w:eastAsia="fr-FR"/>
              </w:rPr>
              <w:t>Year 5</w:t>
            </w:r>
          </w:p>
        </w:tc>
      </w:tr>
      <w:tr w:rsidR="000C3959" w14:paraId="6BEFF506" w14:textId="77777777" w:rsidTr="008E2709">
        <w:trPr>
          <w:trHeight w:val="234"/>
        </w:trPr>
        <w:tc>
          <w:tcPr>
            <w:tcW w:w="2004" w:type="dxa"/>
            <w:tcBorders>
              <w:top w:val="nil"/>
              <w:left w:val="single" w:sz="4" w:space="0" w:color="auto"/>
              <w:bottom w:val="nil"/>
              <w:right w:val="single" w:sz="4" w:space="0" w:color="auto"/>
            </w:tcBorders>
            <w:shd w:val="clear" w:color="auto" w:fill="auto"/>
            <w:vAlign w:val="center"/>
            <w:hideMark/>
          </w:tcPr>
          <w:p w14:paraId="15EB27ED" w14:textId="77777777" w:rsidR="002E1A3F" w:rsidRPr="0037713F" w:rsidRDefault="002E1A3F" w:rsidP="00404D02">
            <w:pPr>
              <w:rPr>
                <w:b/>
                <w:bCs/>
                <w:sz w:val="16"/>
                <w:szCs w:val="16"/>
                <w:lang w:eastAsia="fr-FR"/>
              </w:rPr>
            </w:pPr>
          </w:p>
          <w:p w14:paraId="79675D53" w14:textId="77777777" w:rsidR="002E1A3F" w:rsidRPr="0037713F" w:rsidRDefault="00B00100" w:rsidP="00F463C2">
            <w:pPr>
              <w:rPr>
                <w:b/>
                <w:bCs/>
                <w:sz w:val="16"/>
                <w:szCs w:val="16"/>
                <w:lang w:eastAsia="fr-FR"/>
              </w:rPr>
            </w:pPr>
            <w:r w:rsidRPr="0037713F">
              <w:rPr>
                <w:b/>
                <w:bCs/>
                <w:sz w:val="16"/>
                <w:szCs w:val="16"/>
                <w:lang w:eastAsia="fr-FR"/>
              </w:rPr>
              <w:t xml:space="preserve">DLI 1: </w:t>
            </w:r>
            <w:r w:rsidRPr="0037713F">
              <w:rPr>
                <w:sz w:val="16"/>
                <w:szCs w:val="16"/>
                <w:lang w:eastAsia="fr-FR"/>
              </w:rPr>
              <w:t>Institutional readiness results</w:t>
            </w:r>
          </w:p>
        </w:tc>
        <w:tc>
          <w:tcPr>
            <w:tcW w:w="1220" w:type="dxa"/>
            <w:tcBorders>
              <w:top w:val="nil"/>
              <w:left w:val="nil"/>
              <w:bottom w:val="nil"/>
              <w:right w:val="single" w:sz="4" w:space="0" w:color="auto"/>
            </w:tcBorders>
            <w:shd w:val="clear" w:color="auto" w:fill="auto"/>
            <w:vAlign w:val="center"/>
          </w:tcPr>
          <w:p w14:paraId="0D743C21" w14:textId="77777777" w:rsidR="002E1A3F" w:rsidRPr="002329A5" w:rsidRDefault="00B00100" w:rsidP="00FC1A97">
            <w:pPr>
              <w:jc w:val="center"/>
              <w:rPr>
                <w:sz w:val="16"/>
                <w:szCs w:val="18"/>
              </w:rPr>
            </w:pPr>
            <w:r>
              <w:rPr>
                <w:sz w:val="16"/>
                <w:szCs w:val="18"/>
              </w:rPr>
              <w:t>7,923,333</w:t>
            </w:r>
          </w:p>
        </w:tc>
        <w:tc>
          <w:tcPr>
            <w:tcW w:w="610" w:type="dxa"/>
            <w:tcBorders>
              <w:top w:val="nil"/>
              <w:left w:val="nil"/>
              <w:bottom w:val="single" w:sz="4" w:space="0" w:color="auto"/>
              <w:right w:val="single" w:sz="4" w:space="0" w:color="auto"/>
            </w:tcBorders>
            <w:shd w:val="clear" w:color="auto" w:fill="auto"/>
            <w:noWrap/>
            <w:vAlign w:val="center"/>
            <w:hideMark/>
          </w:tcPr>
          <w:p w14:paraId="3F3384F2" w14:textId="77777777" w:rsidR="002E1A3F" w:rsidRPr="000B130F" w:rsidRDefault="00B00100" w:rsidP="003247A0">
            <w:pPr>
              <w:jc w:val="center"/>
              <w:rPr>
                <w:sz w:val="16"/>
                <w:szCs w:val="18"/>
                <w:lang w:eastAsia="fr-FR"/>
              </w:rPr>
            </w:pPr>
            <w:r w:rsidRPr="00A03917">
              <w:rPr>
                <w:sz w:val="16"/>
                <w:szCs w:val="18"/>
                <w:lang w:eastAsia="fr-FR"/>
              </w:rPr>
              <w:t>0</w:t>
            </w:r>
          </w:p>
        </w:tc>
        <w:tc>
          <w:tcPr>
            <w:tcW w:w="1836" w:type="dxa"/>
            <w:tcBorders>
              <w:top w:val="nil"/>
              <w:left w:val="nil"/>
              <w:bottom w:val="single" w:sz="4" w:space="0" w:color="auto"/>
              <w:right w:val="single" w:sz="4" w:space="0" w:color="auto"/>
            </w:tcBorders>
            <w:shd w:val="clear" w:color="auto" w:fill="auto"/>
            <w:noWrap/>
            <w:vAlign w:val="center"/>
            <w:hideMark/>
          </w:tcPr>
          <w:p w14:paraId="36801247" w14:textId="77777777" w:rsidR="002E1A3F" w:rsidRPr="00C47315" w:rsidRDefault="00B00100" w:rsidP="003247A0">
            <w:pPr>
              <w:jc w:val="center"/>
              <w:rPr>
                <w:sz w:val="16"/>
                <w:szCs w:val="16"/>
                <w:lang w:eastAsia="fr-FR"/>
              </w:rPr>
            </w:pPr>
            <w:r>
              <w:rPr>
                <w:sz w:val="16"/>
                <w:szCs w:val="16"/>
              </w:rPr>
              <w:t>36</w:t>
            </w:r>
          </w:p>
        </w:tc>
        <w:tc>
          <w:tcPr>
            <w:tcW w:w="1890" w:type="dxa"/>
            <w:tcBorders>
              <w:top w:val="nil"/>
              <w:left w:val="nil"/>
              <w:bottom w:val="single" w:sz="4" w:space="0" w:color="auto"/>
              <w:right w:val="single" w:sz="4" w:space="0" w:color="auto"/>
            </w:tcBorders>
            <w:shd w:val="clear" w:color="auto" w:fill="auto"/>
            <w:noWrap/>
            <w:vAlign w:val="center"/>
            <w:hideMark/>
          </w:tcPr>
          <w:p w14:paraId="6A4A09E1" w14:textId="77777777" w:rsidR="002E1A3F" w:rsidRPr="00C47315" w:rsidRDefault="00B00100" w:rsidP="007118DD">
            <w:pPr>
              <w:jc w:val="center"/>
              <w:rPr>
                <w:sz w:val="16"/>
                <w:szCs w:val="16"/>
                <w:lang w:eastAsia="fr-FR"/>
              </w:rPr>
            </w:pPr>
            <w:r w:rsidRPr="00B81291">
              <w:rPr>
                <w:sz w:val="16"/>
                <w:szCs w:val="16"/>
              </w:rPr>
              <w:t>0</w:t>
            </w:r>
          </w:p>
        </w:tc>
        <w:tc>
          <w:tcPr>
            <w:tcW w:w="1851" w:type="dxa"/>
            <w:tcBorders>
              <w:top w:val="nil"/>
              <w:left w:val="nil"/>
              <w:bottom w:val="single" w:sz="4" w:space="0" w:color="auto"/>
              <w:right w:val="single" w:sz="4" w:space="0" w:color="auto"/>
            </w:tcBorders>
            <w:shd w:val="clear" w:color="auto" w:fill="auto"/>
            <w:noWrap/>
            <w:vAlign w:val="center"/>
            <w:hideMark/>
          </w:tcPr>
          <w:p w14:paraId="3569DFA5" w14:textId="77777777" w:rsidR="002E1A3F" w:rsidRPr="00C47315" w:rsidRDefault="00B00100" w:rsidP="00B22FEF">
            <w:pPr>
              <w:jc w:val="center"/>
              <w:rPr>
                <w:sz w:val="16"/>
                <w:szCs w:val="16"/>
                <w:lang w:eastAsia="fr-FR"/>
              </w:rPr>
            </w:pPr>
            <w:r w:rsidRPr="00B81291">
              <w:rPr>
                <w:sz w:val="16"/>
                <w:szCs w:val="16"/>
              </w:rPr>
              <w:t>0</w:t>
            </w:r>
          </w:p>
        </w:tc>
        <w:tc>
          <w:tcPr>
            <w:tcW w:w="1917" w:type="dxa"/>
            <w:tcBorders>
              <w:top w:val="nil"/>
              <w:left w:val="nil"/>
              <w:bottom w:val="single" w:sz="4" w:space="0" w:color="auto"/>
              <w:right w:val="single" w:sz="4" w:space="0" w:color="auto"/>
            </w:tcBorders>
            <w:shd w:val="clear" w:color="auto" w:fill="auto"/>
            <w:noWrap/>
            <w:vAlign w:val="center"/>
            <w:hideMark/>
          </w:tcPr>
          <w:p w14:paraId="39B58DCA" w14:textId="77777777" w:rsidR="002E1A3F" w:rsidRPr="00C47315" w:rsidRDefault="00B00100" w:rsidP="00931B2D">
            <w:pPr>
              <w:jc w:val="center"/>
              <w:rPr>
                <w:sz w:val="16"/>
                <w:szCs w:val="16"/>
                <w:lang w:eastAsia="fr-FR"/>
              </w:rPr>
            </w:pPr>
            <w:r w:rsidRPr="00B81291">
              <w:rPr>
                <w:sz w:val="16"/>
                <w:szCs w:val="16"/>
              </w:rPr>
              <w:t>0</w:t>
            </w:r>
          </w:p>
        </w:tc>
        <w:tc>
          <w:tcPr>
            <w:tcW w:w="1919" w:type="dxa"/>
            <w:tcBorders>
              <w:top w:val="nil"/>
              <w:left w:val="nil"/>
              <w:bottom w:val="single" w:sz="4" w:space="0" w:color="auto"/>
              <w:right w:val="single" w:sz="4" w:space="0" w:color="auto"/>
            </w:tcBorders>
            <w:shd w:val="clear" w:color="auto" w:fill="auto"/>
            <w:noWrap/>
            <w:vAlign w:val="center"/>
            <w:hideMark/>
          </w:tcPr>
          <w:p w14:paraId="050D57DA" w14:textId="77777777" w:rsidR="002E1A3F" w:rsidRPr="00C47315" w:rsidRDefault="00B00100" w:rsidP="00126707">
            <w:pPr>
              <w:jc w:val="center"/>
              <w:rPr>
                <w:sz w:val="16"/>
                <w:szCs w:val="16"/>
                <w:lang w:eastAsia="fr-FR"/>
              </w:rPr>
            </w:pPr>
            <w:r w:rsidRPr="00B81291">
              <w:rPr>
                <w:sz w:val="16"/>
                <w:szCs w:val="16"/>
              </w:rPr>
              <w:t>0</w:t>
            </w:r>
          </w:p>
        </w:tc>
      </w:tr>
      <w:tr w:rsidR="000C3959" w14:paraId="7B9B9ABC" w14:textId="77777777" w:rsidTr="008E2709">
        <w:trPr>
          <w:trHeight w:val="108"/>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7D52C" w14:textId="77777777" w:rsidR="002E1A3F" w:rsidRPr="000C46A6" w:rsidRDefault="00B00100" w:rsidP="00404D02">
            <w:pPr>
              <w:rPr>
                <w:sz w:val="16"/>
                <w:szCs w:val="16"/>
                <w:lang w:eastAsia="fr-FR"/>
              </w:rPr>
            </w:pPr>
            <w:r w:rsidRPr="000C46A6">
              <w:rPr>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noWrap/>
            <w:vAlign w:val="center"/>
          </w:tcPr>
          <w:p w14:paraId="2ED9EBB3" w14:textId="77777777" w:rsidR="002E1A3F" w:rsidRPr="000C46A6" w:rsidRDefault="00B00100" w:rsidP="00F463C2">
            <w:pPr>
              <w:jc w:val="center"/>
              <w:rPr>
                <w:sz w:val="16"/>
                <w:szCs w:val="18"/>
              </w:rPr>
            </w:pPr>
            <w:r>
              <w:rPr>
                <w:sz w:val="16"/>
                <w:szCs w:val="18"/>
              </w:rPr>
              <w:t>7,923,333</w:t>
            </w:r>
          </w:p>
        </w:tc>
        <w:tc>
          <w:tcPr>
            <w:tcW w:w="610" w:type="dxa"/>
            <w:tcBorders>
              <w:top w:val="nil"/>
              <w:left w:val="nil"/>
              <w:bottom w:val="single" w:sz="4" w:space="0" w:color="auto"/>
              <w:right w:val="single" w:sz="4" w:space="0" w:color="auto"/>
            </w:tcBorders>
            <w:shd w:val="clear" w:color="auto" w:fill="auto"/>
            <w:noWrap/>
            <w:vAlign w:val="center"/>
            <w:hideMark/>
          </w:tcPr>
          <w:p w14:paraId="79340F76" w14:textId="77777777" w:rsidR="002E1A3F" w:rsidRPr="000C46A6" w:rsidRDefault="002E1A3F" w:rsidP="00FC1A97">
            <w:pPr>
              <w:jc w:val="center"/>
              <w:rPr>
                <w:sz w:val="16"/>
                <w:szCs w:val="18"/>
                <w:lang w:eastAsia="fr-FR"/>
              </w:rPr>
            </w:pPr>
          </w:p>
        </w:tc>
        <w:tc>
          <w:tcPr>
            <w:tcW w:w="1836" w:type="dxa"/>
            <w:tcBorders>
              <w:top w:val="nil"/>
              <w:left w:val="nil"/>
              <w:bottom w:val="single" w:sz="4" w:space="0" w:color="auto"/>
              <w:right w:val="single" w:sz="4" w:space="0" w:color="auto"/>
            </w:tcBorders>
            <w:shd w:val="clear" w:color="auto" w:fill="auto"/>
            <w:vAlign w:val="center"/>
            <w:hideMark/>
          </w:tcPr>
          <w:p w14:paraId="5D420F1C" w14:textId="77777777" w:rsidR="004B1658" w:rsidRDefault="00B00100" w:rsidP="003247A0">
            <w:pPr>
              <w:widowControl/>
              <w:autoSpaceDE/>
              <w:autoSpaceDN/>
              <w:adjustRightInd/>
              <w:jc w:val="center"/>
              <w:rPr>
                <w:rFonts w:ascii="Times New Roman" w:eastAsia="Times New Roman" w:hAnsi="Times New Roman" w:cs="Times New Roman"/>
                <w:sz w:val="16"/>
                <w:szCs w:val="16"/>
              </w:rPr>
            </w:pPr>
            <w:r>
              <w:rPr>
                <w:sz w:val="16"/>
                <w:szCs w:val="16"/>
              </w:rPr>
              <w:t>7,923,333</w:t>
            </w:r>
          </w:p>
          <w:p w14:paraId="4A4A9F14" w14:textId="77777777" w:rsidR="002E1A3F" w:rsidRPr="000C46A6" w:rsidRDefault="002E1A3F" w:rsidP="003247A0">
            <w:pPr>
              <w:jc w:val="center"/>
              <w:rPr>
                <w:sz w:val="16"/>
                <w:szCs w:val="16"/>
              </w:rPr>
            </w:pPr>
          </w:p>
        </w:tc>
        <w:tc>
          <w:tcPr>
            <w:tcW w:w="1890" w:type="dxa"/>
            <w:tcBorders>
              <w:top w:val="nil"/>
              <w:left w:val="nil"/>
              <w:bottom w:val="nil"/>
              <w:right w:val="single" w:sz="4" w:space="0" w:color="auto"/>
            </w:tcBorders>
            <w:shd w:val="clear" w:color="auto" w:fill="auto"/>
            <w:vAlign w:val="center"/>
            <w:hideMark/>
          </w:tcPr>
          <w:p w14:paraId="2BC5B069" w14:textId="77777777" w:rsidR="002E1A3F" w:rsidRPr="000C46A6" w:rsidRDefault="00B00100" w:rsidP="007118DD">
            <w:pPr>
              <w:jc w:val="center"/>
              <w:rPr>
                <w:sz w:val="16"/>
                <w:szCs w:val="16"/>
              </w:rPr>
            </w:pPr>
            <w:r w:rsidRPr="00B81291">
              <w:rPr>
                <w:sz w:val="16"/>
                <w:szCs w:val="16"/>
              </w:rPr>
              <w:t>0</w:t>
            </w:r>
          </w:p>
        </w:tc>
        <w:tc>
          <w:tcPr>
            <w:tcW w:w="1851" w:type="dxa"/>
            <w:tcBorders>
              <w:top w:val="nil"/>
              <w:left w:val="nil"/>
              <w:bottom w:val="nil"/>
              <w:right w:val="single" w:sz="4" w:space="0" w:color="auto"/>
            </w:tcBorders>
            <w:shd w:val="clear" w:color="auto" w:fill="auto"/>
            <w:noWrap/>
            <w:vAlign w:val="center"/>
            <w:hideMark/>
          </w:tcPr>
          <w:p w14:paraId="5A0D866F" w14:textId="77777777" w:rsidR="002E1A3F" w:rsidRPr="000C46A6" w:rsidRDefault="00B00100" w:rsidP="00B22FEF">
            <w:pPr>
              <w:jc w:val="center"/>
              <w:rPr>
                <w:sz w:val="16"/>
                <w:szCs w:val="16"/>
                <w:lang w:eastAsia="fr-FR"/>
              </w:rPr>
            </w:pPr>
            <w:r w:rsidRPr="00B81291">
              <w:rPr>
                <w:sz w:val="16"/>
                <w:szCs w:val="16"/>
              </w:rPr>
              <w:t>0</w:t>
            </w:r>
          </w:p>
        </w:tc>
        <w:tc>
          <w:tcPr>
            <w:tcW w:w="1917" w:type="dxa"/>
            <w:tcBorders>
              <w:top w:val="nil"/>
              <w:left w:val="nil"/>
              <w:bottom w:val="nil"/>
              <w:right w:val="single" w:sz="4" w:space="0" w:color="auto"/>
            </w:tcBorders>
            <w:shd w:val="clear" w:color="auto" w:fill="auto"/>
            <w:noWrap/>
            <w:vAlign w:val="center"/>
            <w:hideMark/>
          </w:tcPr>
          <w:p w14:paraId="53EB2571" w14:textId="77777777" w:rsidR="002E1A3F" w:rsidRPr="000C46A6" w:rsidRDefault="00B00100" w:rsidP="00931B2D">
            <w:pPr>
              <w:jc w:val="center"/>
              <w:rPr>
                <w:sz w:val="16"/>
                <w:szCs w:val="16"/>
                <w:lang w:eastAsia="fr-FR"/>
              </w:rPr>
            </w:pPr>
            <w:r w:rsidRPr="00B81291">
              <w:rPr>
                <w:sz w:val="16"/>
                <w:szCs w:val="16"/>
              </w:rPr>
              <w:t>0</w:t>
            </w:r>
          </w:p>
        </w:tc>
        <w:tc>
          <w:tcPr>
            <w:tcW w:w="1919" w:type="dxa"/>
            <w:tcBorders>
              <w:top w:val="nil"/>
              <w:left w:val="nil"/>
              <w:bottom w:val="nil"/>
              <w:right w:val="single" w:sz="4" w:space="0" w:color="auto"/>
            </w:tcBorders>
            <w:shd w:val="clear" w:color="auto" w:fill="auto"/>
            <w:noWrap/>
            <w:vAlign w:val="center"/>
            <w:hideMark/>
          </w:tcPr>
          <w:p w14:paraId="7F084713" w14:textId="77777777" w:rsidR="002E1A3F" w:rsidRPr="000C46A6" w:rsidRDefault="00B00100" w:rsidP="00126707">
            <w:pPr>
              <w:jc w:val="center"/>
              <w:rPr>
                <w:sz w:val="16"/>
                <w:szCs w:val="16"/>
                <w:lang w:eastAsia="fr-FR"/>
              </w:rPr>
            </w:pPr>
            <w:r w:rsidRPr="00B81291">
              <w:rPr>
                <w:sz w:val="16"/>
                <w:szCs w:val="16"/>
              </w:rPr>
              <w:t>0</w:t>
            </w:r>
          </w:p>
        </w:tc>
      </w:tr>
      <w:tr w:rsidR="000C3959" w14:paraId="21D8F79F" w14:textId="77777777" w:rsidTr="008E2709">
        <w:trPr>
          <w:trHeight w:val="360"/>
        </w:trPr>
        <w:tc>
          <w:tcPr>
            <w:tcW w:w="2004" w:type="dxa"/>
            <w:tcBorders>
              <w:top w:val="nil"/>
              <w:left w:val="single" w:sz="4" w:space="0" w:color="auto"/>
              <w:bottom w:val="single" w:sz="4" w:space="0" w:color="000000"/>
              <w:right w:val="single" w:sz="4" w:space="0" w:color="auto"/>
            </w:tcBorders>
            <w:shd w:val="clear" w:color="auto" w:fill="auto"/>
            <w:vAlign w:val="center"/>
            <w:hideMark/>
          </w:tcPr>
          <w:p w14:paraId="1B8C21CC" w14:textId="77777777" w:rsidR="002E1A3F" w:rsidRPr="0037713F" w:rsidRDefault="002E1A3F" w:rsidP="00404D02">
            <w:pPr>
              <w:rPr>
                <w:b/>
                <w:bCs/>
                <w:sz w:val="16"/>
                <w:szCs w:val="16"/>
                <w:lang w:eastAsia="fr-FR"/>
              </w:rPr>
            </w:pPr>
          </w:p>
          <w:p w14:paraId="69F9608E" w14:textId="77777777" w:rsidR="002E1A3F" w:rsidRPr="0037713F" w:rsidRDefault="00B00100" w:rsidP="00F463C2">
            <w:pPr>
              <w:rPr>
                <w:b/>
                <w:bCs/>
                <w:sz w:val="16"/>
                <w:szCs w:val="16"/>
                <w:lang w:eastAsia="fr-FR"/>
              </w:rPr>
            </w:pPr>
            <w:r w:rsidRPr="0037713F">
              <w:rPr>
                <w:b/>
                <w:bCs/>
                <w:sz w:val="16"/>
                <w:szCs w:val="16"/>
                <w:lang w:eastAsia="fr-FR"/>
              </w:rPr>
              <w:t>DLI 2:</w:t>
            </w:r>
            <w:r w:rsidRPr="0037713F">
              <w:rPr>
                <w:sz w:val="16"/>
                <w:szCs w:val="16"/>
                <w:lang w:eastAsia="fr-FR"/>
              </w:rPr>
              <w:t xml:space="preserve"> Development Impact of ACE Center</w:t>
            </w:r>
          </w:p>
        </w:tc>
        <w:tc>
          <w:tcPr>
            <w:tcW w:w="1220" w:type="dxa"/>
            <w:tcBorders>
              <w:top w:val="nil"/>
              <w:left w:val="single" w:sz="4" w:space="0" w:color="auto"/>
              <w:bottom w:val="single" w:sz="4" w:space="0" w:color="000000"/>
              <w:right w:val="single" w:sz="4" w:space="0" w:color="auto"/>
            </w:tcBorders>
            <w:shd w:val="clear" w:color="auto" w:fill="auto"/>
            <w:noWrap/>
            <w:vAlign w:val="center"/>
          </w:tcPr>
          <w:p w14:paraId="1EFA1270" w14:textId="77777777" w:rsidR="002E1A3F" w:rsidRPr="002329A5" w:rsidRDefault="00B00100" w:rsidP="00FC1A97">
            <w:pPr>
              <w:jc w:val="center"/>
              <w:rPr>
                <w:sz w:val="16"/>
                <w:szCs w:val="18"/>
                <w:lang w:eastAsia="fr-FR"/>
              </w:rPr>
            </w:pPr>
            <w:r>
              <w:rPr>
                <w:sz w:val="16"/>
                <w:szCs w:val="18"/>
              </w:rPr>
              <w:t>3,617,778</w:t>
            </w:r>
          </w:p>
        </w:tc>
        <w:tc>
          <w:tcPr>
            <w:tcW w:w="610" w:type="dxa"/>
            <w:tcBorders>
              <w:top w:val="nil"/>
              <w:left w:val="single" w:sz="4" w:space="0" w:color="auto"/>
              <w:bottom w:val="single" w:sz="4" w:space="0" w:color="000000"/>
              <w:right w:val="single" w:sz="4" w:space="0" w:color="auto"/>
            </w:tcBorders>
            <w:shd w:val="clear" w:color="auto" w:fill="auto"/>
            <w:noWrap/>
            <w:vAlign w:val="center"/>
            <w:hideMark/>
          </w:tcPr>
          <w:p w14:paraId="7AA206E9" w14:textId="77777777" w:rsidR="002E1A3F" w:rsidRPr="000B130F" w:rsidRDefault="00B00100" w:rsidP="003247A0">
            <w:pPr>
              <w:jc w:val="center"/>
              <w:rPr>
                <w:sz w:val="16"/>
                <w:szCs w:val="18"/>
                <w:lang w:eastAsia="fr-FR"/>
              </w:rPr>
            </w:pPr>
            <w:r w:rsidRPr="00A03917">
              <w:rPr>
                <w:sz w:val="16"/>
                <w:szCs w:val="18"/>
              </w:rPr>
              <w:t>0</w:t>
            </w:r>
          </w:p>
        </w:tc>
        <w:tc>
          <w:tcPr>
            <w:tcW w:w="1836" w:type="dxa"/>
            <w:tcBorders>
              <w:top w:val="nil"/>
              <w:left w:val="single" w:sz="4" w:space="0" w:color="auto"/>
              <w:bottom w:val="single" w:sz="4" w:space="0" w:color="000000"/>
              <w:right w:val="single" w:sz="4" w:space="0" w:color="auto"/>
            </w:tcBorders>
            <w:shd w:val="clear" w:color="auto" w:fill="auto"/>
            <w:noWrap/>
            <w:vAlign w:val="center"/>
            <w:hideMark/>
          </w:tcPr>
          <w:p w14:paraId="34F009A3" w14:textId="77777777" w:rsidR="002E1A3F" w:rsidRPr="00C47315" w:rsidRDefault="00B00100" w:rsidP="003247A0">
            <w:pPr>
              <w:jc w:val="center"/>
              <w:rPr>
                <w:rFonts w:ascii="Calibri" w:hAnsi="Calibri"/>
                <w:sz w:val="16"/>
                <w:szCs w:val="16"/>
                <w:lang w:eastAsia="fr-FR"/>
              </w:rPr>
            </w:pPr>
            <w:r w:rsidRPr="00B81291">
              <w:rPr>
                <w:sz w:val="16"/>
                <w:szCs w:val="16"/>
              </w:rPr>
              <w:t>0</w:t>
            </w:r>
          </w:p>
        </w:tc>
        <w:tc>
          <w:tcPr>
            <w:tcW w:w="1890" w:type="dxa"/>
            <w:tcBorders>
              <w:top w:val="single" w:sz="4" w:space="0" w:color="auto"/>
              <w:left w:val="nil"/>
              <w:bottom w:val="nil"/>
              <w:right w:val="single" w:sz="4" w:space="0" w:color="auto"/>
            </w:tcBorders>
            <w:shd w:val="clear" w:color="auto" w:fill="auto"/>
            <w:noWrap/>
            <w:vAlign w:val="center"/>
            <w:hideMark/>
          </w:tcPr>
          <w:p w14:paraId="77AE88C1" w14:textId="77777777" w:rsidR="002E1A3F" w:rsidRPr="00C47315" w:rsidRDefault="00B00100" w:rsidP="007118DD">
            <w:pPr>
              <w:jc w:val="center"/>
              <w:rPr>
                <w:sz w:val="16"/>
                <w:szCs w:val="16"/>
                <w:lang w:eastAsia="fr-FR"/>
              </w:rPr>
            </w:pPr>
            <w:r>
              <w:rPr>
                <w:sz w:val="16"/>
                <w:szCs w:val="16"/>
              </w:rPr>
              <w:t>44</w:t>
            </w:r>
          </w:p>
        </w:tc>
        <w:tc>
          <w:tcPr>
            <w:tcW w:w="1851" w:type="dxa"/>
            <w:tcBorders>
              <w:top w:val="single" w:sz="4" w:space="0" w:color="auto"/>
              <w:left w:val="nil"/>
              <w:bottom w:val="nil"/>
              <w:right w:val="single" w:sz="4" w:space="0" w:color="auto"/>
            </w:tcBorders>
            <w:shd w:val="clear" w:color="auto" w:fill="auto"/>
            <w:noWrap/>
            <w:vAlign w:val="center"/>
            <w:hideMark/>
          </w:tcPr>
          <w:p w14:paraId="7DC14C72" w14:textId="77777777" w:rsidR="002E1A3F" w:rsidRPr="00C47315" w:rsidRDefault="00B00100" w:rsidP="00B22FEF">
            <w:pPr>
              <w:jc w:val="center"/>
              <w:rPr>
                <w:sz w:val="16"/>
                <w:szCs w:val="16"/>
                <w:lang w:eastAsia="fr-FR"/>
              </w:rPr>
            </w:pPr>
            <w:r>
              <w:rPr>
                <w:sz w:val="16"/>
                <w:szCs w:val="16"/>
              </w:rPr>
              <w:t>60</w:t>
            </w:r>
          </w:p>
        </w:tc>
        <w:tc>
          <w:tcPr>
            <w:tcW w:w="1917" w:type="dxa"/>
            <w:tcBorders>
              <w:top w:val="single" w:sz="4" w:space="0" w:color="auto"/>
              <w:left w:val="nil"/>
              <w:bottom w:val="nil"/>
              <w:right w:val="single" w:sz="4" w:space="0" w:color="auto"/>
            </w:tcBorders>
            <w:shd w:val="clear" w:color="auto" w:fill="auto"/>
            <w:vAlign w:val="center"/>
          </w:tcPr>
          <w:p w14:paraId="7B9EA6D3" w14:textId="77777777" w:rsidR="002E1A3F" w:rsidRPr="00C47315" w:rsidRDefault="00B00100" w:rsidP="00931B2D">
            <w:pPr>
              <w:jc w:val="center"/>
              <w:rPr>
                <w:sz w:val="16"/>
                <w:szCs w:val="16"/>
                <w:lang w:eastAsia="fr-FR"/>
              </w:rPr>
            </w:pPr>
            <w:r>
              <w:rPr>
                <w:sz w:val="16"/>
                <w:szCs w:val="16"/>
              </w:rPr>
              <w:t>104</w:t>
            </w:r>
          </w:p>
        </w:tc>
        <w:tc>
          <w:tcPr>
            <w:tcW w:w="1919" w:type="dxa"/>
            <w:tcBorders>
              <w:top w:val="single" w:sz="4" w:space="0" w:color="auto"/>
              <w:left w:val="nil"/>
              <w:bottom w:val="nil"/>
              <w:right w:val="single" w:sz="4" w:space="0" w:color="auto"/>
            </w:tcBorders>
            <w:shd w:val="clear" w:color="auto" w:fill="auto"/>
            <w:noWrap/>
            <w:vAlign w:val="center"/>
            <w:hideMark/>
          </w:tcPr>
          <w:p w14:paraId="1072DEC5" w14:textId="77777777" w:rsidR="002E1A3F" w:rsidRPr="00C47315" w:rsidRDefault="00B00100" w:rsidP="00126707">
            <w:pPr>
              <w:jc w:val="center"/>
              <w:rPr>
                <w:sz w:val="16"/>
                <w:szCs w:val="16"/>
                <w:lang w:eastAsia="fr-FR"/>
              </w:rPr>
            </w:pPr>
            <w:r w:rsidRPr="00B81291">
              <w:rPr>
                <w:sz w:val="16"/>
                <w:szCs w:val="16"/>
              </w:rPr>
              <w:t>0</w:t>
            </w:r>
          </w:p>
        </w:tc>
      </w:tr>
      <w:tr w:rsidR="000C3959" w14:paraId="37B10035" w14:textId="77777777" w:rsidTr="008E2709">
        <w:trPr>
          <w:trHeight w:val="275"/>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5040" w14:textId="77777777" w:rsidR="002E1A3F" w:rsidRPr="000C46A6" w:rsidRDefault="00B00100" w:rsidP="00404D02">
            <w:pPr>
              <w:rPr>
                <w:sz w:val="16"/>
                <w:szCs w:val="16"/>
                <w:lang w:eastAsia="fr-FR"/>
              </w:rPr>
            </w:pPr>
            <w:r w:rsidRPr="000C46A6">
              <w:rPr>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noWrap/>
            <w:vAlign w:val="center"/>
          </w:tcPr>
          <w:p w14:paraId="703377A5" w14:textId="77777777" w:rsidR="002E1A3F" w:rsidRPr="000C46A6" w:rsidRDefault="00B00100" w:rsidP="00F463C2">
            <w:pPr>
              <w:jc w:val="center"/>
              <w:rPr>
                <w:sz w:val="16"/>
                <w:szCs w:val="18"/>
              </w:rPr>
            </w:pPr>
            <w:r>
              <w:rPr>
                <w:sz w:val="16"/>
                <w:szCs w:val="18"/>
              </w:rPr>
              <w:t>3,617,778</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181F154" w14:textId="77777777" w:rsidR="002E1A3F" w:rsidRPr="007968E8" w:rsidRDefault="00B00100" w:rsidP="00FC1A97">
            <w:pPr>
              <w:jc w:val="center"/>
              <w:rPr>
                <w:sz w:val="16"/>
                <w:szCs w:val="18"/>
                <w:lang w:eastAsia="fr-FR"/>
              </w:rPr>
            </w:pPr>
            <w:r>
              <w:rPr>
                <w:sz w:val="16"/>
                <w:szCs w:val="18"/>
                <w:lang w:eastAsia="fr-FR"/>
              </w:rPr>
              <w:t>0</w:t>
            </w:r>
          </w:p>
        </w:tc>
        <w:tc>
          <w:tcPr>
            <w:tcW w:w="1836" w:type="dxa"/>
            <w:tcBorders>
              <w:top w:val="single" w:sz="4" w:space="0" w:color="auto"/>
              <w:left w:val="nil"/>
              <w:bottom w:val="single" w:sz="4" w:space="0" w:color="auto"/>
              <w:right w:val="nil"/>
            </w:tcBorders>
            <w:shd w:val="clear" w:color="auto" w:fill="auto"/>
            <w:noWrap/>
            <w:vAlign w:val="center"/>
            <w:hideMark/>
          </w:tcPr>
          <w:p w14:paraId="7113C4B5" w14:textId="77777777" w:rsidR="002E1A3F" w:rsidRPr="000C46A6" w:rsidRDefault="00B00100" w:rsidP="003247A0">
            <w:pPr>
              <w:jc w:val="center"/>
              <w:rPr>
                <w:sz w:val="16"/>
                <w:szCs w:val="16"/>
                <w:lang w:eastAsia="fr-FR"/>
              </w:rPr>
            </w:pPr>
            <w:r w:rsidRPr="00C47315">
              <w:rPr>
                <w:sz w:val="16"/>
                <w:szCs w:val="16"/>
              </w:rPr>
              <w:t>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E3F81" w14:textId="77777777" w:rsidR="002E1A3F" w:rsidRPr="000C46A6" w:rsidRDefault="00B00100" w:rsidP="003247A0">
            <w:pPr>
              <w:jc w:val="center"/>
              <w:rPr>
                <w:sz w:val="16"/>
                <w:szCs w:val="16"/>
                <w:lang w:eastAsia="fr-FR"/>
              </w:rPr>
            </w:pPr>
            <w:r>
              <w:rPr>
                <w:sz w:val="16"/>
                <w:szCs w:val="16"/>
              </w:rPr>
              <w:t>753,333</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0686FE86" w14:textId="77777777" w:rsidR="002E1A3F" w:rsidRPr="000C46A6" w:rsidRDefault="00B00100" w:rsidP="007118DD">
            <w:pPr>
              <w:jc w:val="center"/>
              <w:rPr>
                <w:sz w:val="16"/>
                <w:szCs w:val="16"/>
                <w:lang w:eastAsia="fr-FR"/>
              </w:rPr>
            </w:pPr>
            <w:r>
              <w:rPr>
                <w:sz w:val="16"/>
                <w:szCs w:val="16"/>
              </w:rPr>
              <w:t>1,055,556</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03DF192D" w14:textId="77777777" w:rsidR="002E1A3F" w:rsidRPr="000C46A6" w:rsidRDefault="00B00100" w:rsidP="00B22FEF">
            <w:pPr>
              <w:jc w:val="center"/>
              <w:rPr>
                <w:sz w:val="16"/>
                <w:szCs w:val="16"/>
                <w:lang w:eastAsia="fr-FR"/>
              </w:rPr>
            </w:pPr>
            <w:r>
              <w:rPr>
                <w:sz w:val="16"/>
                <w:szCs w:val="16"/>
              </w:rPr>
              <w:t>1,808,889</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20D57332" w14:textId="77777777" w:rsidR="002E1A3F" w:rsidRPr="000C46A6" w:rsidRDefault="00B00100" w:rsidP="00931B2D">
            <w:pPr>
              <w:jc w:val="center"/>
              <w:rPr>
                <w:sz w:val="16"/>
                <w:szCs w:val="16"/>
                <w:lang w:eastAsia="fr-FR"/>
              </w:rPr>
            </w:pPr>
            <w:r w:rsidRPr="00C47315">
              <w:rPr>
                <w:sz w:val="16"/>
                <w:szCs w:val="16"/>
              </w:rPr>
              <w:t>0</w:t>
            </w:r>
          </w:p>
        </w:tc>
      </w:tr>
      <w:tr w:rsidR="000C3959" w14:paraId="0CC9F0F8" w14:textId="77777777" w:rsidTr="008E2709">
        <w:trPr>
          <w:trHeight w:val="1730"/>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D031" w14:textId="77777777" w:rsidR="002E1A3F" w:rsidRPr="0037713F" w:rsidRDefault="00B00100" w:rsidP="00404D02">
            <w:pPr>
              <w:rPr>
                <w:sz w:val="16"/>
                <w:szCs w:val="16"/>
                <w:lang w:eastAsia="fr-FR"/>
              </w:rPr>
            </w:pPr>
            <w:r w:rsidRPr="0037713F">
              <w:rPr>
                <w:b/>
                <w:bCs/>
                <w:sz w:val="16"/>
                <w:szCs w:val="16"/>
                <w:lang w:eastAsia="fr-FR"/>
              </w:rPr>
              <w:t>DLI 3</w:t>
            </w:r>
            <w:r w:rsidRPr="0037713F">
              <w:rPr>
                <w:sz w:val="16"/>
                <w:szCs w:val="16"/>
                <w:lang w:eastAsia="fr-FR"/>
              </w:rPr>
              <w:t>: Quantity of students with focus on gender and regionalization</w:t>
            </w:r>
          </w:p>
        </w:tc>
        <w:tc>
          <w:tcPr>
            <w:tcW w:w="1220" w:type="dxa"/>
            <w:tcBorders>
              <w:top w:val="single" w:sz="4" w:space="0" w:color="auto"/>
              <w:left w:val="nil"/>
              <w:bottom w:val="single" w:sz="4" w:space="0" w:color="auto"/>
              <w:right w:val="single" w:sz="4" w:space="0" w:color="auto"/>
            </w:tcBorders>
            <w:shd w:val="clear" w:color="auto" w:fill="auto"/>
            <w:vAlign w:val="center"/>
          </w:tcPr>
          <w:p w14:paraId="6F7CA098" w14:textId="77777777" w:rsidR="00495507" w:rsidRDefault="00B00100" w:rsidP="00F463C2">
            <w:pPr>
              <w:widowControl/>
              <w:autoSpaceDE/>
              <w:autoSpaceDN/>
              <w:adjustRightInd/>
              <w:jc w:val="center"/>
              <w:rPr>
                <w:rFonts w:ascii="Times New Roman" w:eastAsia="Times New Roman" w:hAnsi="Times New Roman" w:cs="Times New Roman"/>
                <w:sz w:val="16"/>
                <w:szCs w:val="16"/>
              </w:rPr>
            </w:pPr>
            <w:r>
              <w:rPr>
                <w:sz w:val="16"/>
                <w:szCs w:val="16"/>
              </w:rPr>
              <w:t>16,528,333</w:t>
            </w:r>
          </w:p>
          <w:p w14:paraId="1B29DB49" w14:textId="77777777" w:rsidR="002E1A3F" w:rsidRPr="0037713F" w:rsidRDefault="002E1A3F" w:rsidP="00FC1A97">
            <w:pPr>
              <w:jc w:val="center"/>
              <w:rPr>
                <w:sz w:val="16"/>
                <w:szCs w:val="16"/>
                <w:lang w:eastAsia="fr-FR"/>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FCE40EF" w14:textId="77777777" w:rsidR="002E1A3F" w:rsidRPr="0037713F" w:rsidRDefault="00B00100" w:rsidP="003247A0">
            <w:pPr>
              <w:jc w:val="center"/>
              <w:rPr>
                <w:sz w:val="16"/>
                <w:szCs w:val="16"/>
                <w:lang w:eastAsia="fr-FR"/>
              </w:rPr>
            </w:pPr>
            <w:r w:rsidRPr="0037713F">
              <w:rPr>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169DDA42" w14:textId="77777777" w:rsidR="002E1A3F" w:rsidRPr="0037713F" w:rsidRDefault="00B00100" w:rsidP="003247A0">
            <w:pPr>
              <w:jc w:val="center"/>
              <w:rPr>
                <w:sz w:val="16"/>
                <w:szCs w:val="16"/>
                <w:lang w:eastAsia="fr-FR"/>
              </w:rPr>
            </w:pPr>
            <w:r>
              <w:rPr>
                <w:sz w:val="16"/>
                <w:szCs w:val="16"/>
                <w:lang w:eastAsia="fr-FR"/>
              </w:rPr>
              <w:t>97</w:t>
            </w:r>
            <w:r w:rsidR="0001661A" w:rsidRPr="0037713F">
              <w:rPr>
                <w:sz w:val="16"/>
                <w:szCs w:val="16"/>
                <w:lang w:eastAsia="fr-FR"/>
              </w:rPr>
              <w:t xml:space="preserve"> </w:t>
            </w:r>
            <w:r w:rsidR="00FA42DB" w:rsidRPr="0037713F">
              <w:rPr>
                <w:sz w:val="16"/>
                <w:szCs w:val="16"/>
                <w:lang w:eastAsia="fr-FR"/>
              </w:rPr>
              <w:t>PhD students</w:t>
            </w:r>
          </w:p>
          <w:p w14:paraId="40CAC9C1" w14:textId="77777777" w:rsidR="002E1A3F" w:rsidRPr="0037713F" w:rsidRDefault="002E1A3F" w:rsidP="007118DD">
            <w:pPr>
              <w:jc w:val="center"/>
              <w:rPr>
                <w:sz w:val="16"/>
                <w:szCs w:val="16"/>
                <w:lang w:eastAsia="fr-FR"/>
              </w:rPr>
            </w:pPr>
          </w:p>
          <w:p w14:paraId="3EAAB84C" w14:textId="77777777" w:rsidR="002E1A3F" w:rsidRPr="0037713F" w:rsidRDefault="00B00100" w:rsidP="00B22FEF">
            <w:pPr>
              <w:jc w:val="center"/>
              <w:rPr>
                <w:sz w:val="16"/>
                <w:szCs w:val="16"/>
                <w:lang w:eastAsia="fr-FR"/>
              </w:rPr>
            </w:pPr>
            <w:r>
              <w:rPr>
                <w:sz w:val="16"/>
                <w:szCs w:val="16"/>
                <w:lang w:eastAsia="fr-FR"/>
              </w:rPr>
              <w:t xml:space="preserve">169 </w:t>
            </w:r>
            <w:r w:rsidR="00FA42DB" w:rsidRPr="0037713F">
              <w:rPr>
                <w:sz w:val="16"/>
                <w:szCs w:val="16"/>
                <w:lang w:eastAsia="fr-FR"/>
              </w:rPr>
              <w:t>Master students</w:t>
            </w:r>
          </w:p>
          <w:p w14:paraId="366D0484" w14:textId="77777777" w:rsidR="002E1A3F" w:rsidRPr="0037713F" w:rsidRDefault="002E1A3F" w:rsidP="00931B2D">
            <w:pPr>
              <w:jc w:val="center"/>
              <w:rPr>
                <w:sz w:val="16"/>
                <w:szCs w:val="16"/>
                <w:lang w:eastAsia="fr-FR"/>
              </w:rPr>
            </w:pPr>
          </w:p>
          <w:p w14:paraId="0F530BAE" w14:textId="77777777" w:rsidR="002E1A3F" w:rsidRPr="0037713F" w:rsidRDefault="00B00100" w:rsidP="00126707">
            <w:pPr>
              <w:jc w:val="center"/>
              <w:rPr>
                <w:sz w:val="16"/>
                <w:szCs w:val="16"/>
                <w:lang w:eastAsia="fr-FR"/>
              </w:rPr>
            </w:pPr>
            <w:r>
              <w:rPr>
                <w:sz w:val="16"/>
                <w:szCs w:val="16"/>
                <w:lang w:eastAsia="fr-FR"/>
              </w:rPr>
              <w:t>321</w:t>
            </w:r>
            <w:r w:rsidR="00FA42DB" w:rsidRPr="0037713F">
              <w:rPr>
                <w:sz w:val="16"/>
                <w:szCs w:val="16"/>
                <w:lang w:eastAsia="fr-FR"/>
              </w:rPr>
              <w:t xml:space="preserve"> Short course professional students</w:t>
            </w:r>
          </w:p>
          <w:p w14:paraId="7FF3CFE0" w14:textId="77777777" w:rsidR="002E1A3F" w:rsidRPr="0037713F" w:rsidRDefault="002E1A3F" w:rsidP="00BC30D6">
            <w:pPr>
              <w:jc w:val="center"/>
              <w:rPr>
                <w:sz w:val="16"/>
                <w:szCs w:val="16"/>
                <w:lang w:eastAsia="fr-FR"/>
              </w:rPr>
            </w:pPr>
          </w:p>
          <w:p w14:paraId="477AB105" w14:textId="77777777" w:rsidR="002E1A3F" w:rsidRPr="0037713F" w:rsidRDefault="00B00100" w:rsidP="008E2709">
            <w:pPr>
              <w:jc w:val="center"/>
              <w:rPr>
                <w:sz w:val="16"/>
                <w:szCs w:val="16"/>
                <w:lang w:eastAsia="fr-FR"/>
              </w:rPr>
            </w:pPr>
            <w:r>
              <w:rPr>
                <w:sz w:val="16"/>
                <w:szCs w:val="16"/>
                <w:lang w:eastAsia="fr-FR"/>
              </w:rPr>
              <w:t>120</w:t>
            </w:r>
            <w:r w:rsidRPr="0037713F">
              <w:rPr>
                <w:sz w:val="16"/>
                <w:szCs w:val="16"/>
                <w:lang w:eastAsia="fr-FR"/>
              </w:rPr>
              <w:t xml:space="preserve"> </w:t>
            </w:r>
            <w:r w:rsidR="00FA42DB" w:rsidRPr="0037713F">
              <w:rPr>
                <w:sz w:val="16"/>
                <w:szCs w:val="16"/>
                <w:lang w:eastAsia="fr-FR"/>
              </w:rPr>
              <w:t>first degree students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8E5F557" w14:textId="77777777" w:rsidR="002E1A3F" w:rsidRPr="0037713F" w:rsidRDefault="00B00100" w:rsidP="008E2709">
            <w:pPr>
              <w:jc w:val="center"/>
              <w:rPr>
                <w:sz w:val="16"/>
                <w:szCs w:val="16"/>
                <w:lang w:eastAsia="fr-FR"/>
              </w:rPr>
            </w:pPr>
            <w:r w:rsidRPr="000546A7">
              <w:rPr>
                <w:sz w:val="16"/>
                <w:szCs w:val="16"/>
                <w:lang w:eastAsia="fr-FR"/>
              </w:rPr>
              <w:t>1</w:t>
            </w:r>
            <w:r w:rsidR="00C725B4" w:rsidRPr="000546A7">
              <w:rPr>
                <w:sz w:val="16"/>
                <w:szCs w:val="16"/>
                <w:lang w:eastAsia="fr-FR"/>
              </w:rPr>
              <w:t>24</w:t>
            </w:r>
            <w:r w:rsidR="00FA42DB" w:rsidRPr="0037713F">
              <w:rPr>
                <w:sz w:val="16"/>
                <w:szCs w:val="16"/>
                <w:lang w:eastAsia="fr-FR"/>
              </w:rPr>
              <w:t xml:space="preserve"> PhD students</w:t>
            </w:r>
          </w:p>
          <w:p w14:paraId="3901F35B" w14:textId="77777777" w:rsidR="002E1A3F" w:rsidRPr="0037713F" w:rsidRDefault="002E1A3F" w:rsidP="008E2709">
            <w:pPr>
              <w:jc w:val="center"/>
              <w:rPr>
                <w:sz w:val="16"/>
                <w:szCs w:val="16"/>
                <w:lang w:eastAsia="fr-FR"/>
              </w:rPr>
            </w:pPr>
          </w:p>
          <w:p w14:paraId="1AE1C15A" w14:textId="77777777" w:rsidR="002E1A3F" w:rsidRPr="0037713F" w:rsidRDefault="00B00100" w:rsidP="008E2709">
            <w:pPr>
              <w:jc w:val="center"/>
              <w:rPr>
                <w:sz w:val="16"/>
                <w:szCs w:val="16"/>
                <w:lang w:eastAsia="fr-FR"/>
              </w:rPr>
            </w:pPr>
            <w:r w:rsidRPr="000546A7">
              <w:rPr>
                <w:sz w:val="16"/>
                <w:szCs w:val="16"/>
                <w:lang w:eastAsia="fr-FR"/>
              </w:rPr>
              <w:t>302</w:t>
            </w:r>
            <w:r>
              <w:rPr>
                <w:sz w:val="16"/>
                <w:szCs w:val="16"/>
                <w:lang w:eastAsia="fr-FR"/>
              </w:rPr>
              <w:t xml:space="preserve"> </w:t>
            </w:r>
            <w:r w:rsidRPr="0037713F">
              <w:rPr>
                <w:sz w:val="16"/>
                <w:szCs w:val="16"/>
                <w:lang w:eastAsia="fr-FR"/>
              </w:rPr>
              <w:t>Master</w:t>
            </w:r>
            <w:r w:rsidR="00FA42DB" w:rsidRPr="0037713F">
              <w:rPr>
                <w:sz w:val="16"/>
                <w:szCs w:val="16"/>
                <w:lang w:eastAsia="fr-FR"/>
              </w:rPr>
              <w:t xml:space="preserve"> students</w:t>
            </w:r>
          </w:p>
          <w:p w14:paraId="61C3649F" w14:textId="77777777" w:rsidR="002E1A3F" w:rsidRPr="0037713F" w:rsidRDefault="002E1A3F" w:rsidP="008E2709">
            <w:pPr>
              <w:jc w:val="center"/>
              <w:rPr>
                <w:sz w:val="16"/>
                <w:szCs w:val="16"/>
                <w:lang w:eastAsia="fr-FR"/>
              </w:rPr>
            </w:pPr>
          </w:p>
          <w:p w14:paraId="1FF81A2E" w14:textId="77777777" w:rsidR="002E1A3F" w:rsidRPr="0037713F" w:rsidRDefault="00B00100" w:rsidP="008E2709">
            <w:pPr>
              <w:jc w:val="center"/>
              <w:rPr>
                <w:sz w:val="16"/>
                <w:szCs w:val="16"/>
                <w:lang w:eastAsia="fr-FR"/>
              </w:rPr>
            </w:pPr>
            <w:r w:rsidRPr="000546A7">
              <w:rPr>
                <w:sz w:val="16"/>
                <w:szCs w:val="16"/>
                <w:lang w:eastAsia="fr-FR"/>
              </w:rPr>
              <w:t>479</w:t>
            </w:r>
            <w:r w:rsidR="00FA42DB" w:rsidRPr="0037713F">
              <w:rPr>
                <w:sz w:val="16"/>
                <w:szCs w:val="16"/>
                <w:lang w:eastAsia="fr-FR"/>
              </w:rPr>
              <w:t xml:space="preserve"> Short course professional students</w:t>
            </w:r>
          </w:p>
          <w:p w14:paraId="0C111834" w14:textId="77777777" w:rsidR="002E1A3F" w:rsidRPr="0037713F" w:rsidRDefault="002E1A3F" w:rsidP="008E2709">
            <w:pPr>
              <w:jc w:val="center"/>
              <w:rPr>
                <w:sz w:val="16"/>
                <w:szCs w:val="16"/>
                <w:lang w:eastAsia="fr-FR"/>
              </w:rPr>
            </w:pPr>
          </w:p>
          <w:p w14:paraId="06DA2CEE" w14:textId="77777777" w:rsidR="002E1A3F" w:rsidRPr="0037713F" w:rsidRDefault="00B00100" w:rsidP="008E2709">
            <w:pPr>
              <w:jc w:val="center"/>
              <w:rPr>
                <w:sz w:val="16"/>
                <w:szCs w:val="16"/>
                <w:lang w:eastAsia="fr-FR"/>
              </w:rPr>
            </w:pPr>
            <w:r>
              <w:rPr>
                <w:sz w:val="16"/>
                <w:szCs w:val="16"/>
                <w:lang w:eastAsia="fr-FR"/>
              </w:rPr>
              <w:t>180</w:t>
            </w:r>
            <w:r w:rsidRPr="0037713F">
              <w:rPr>
                <w:sz w:val="16"/>
                <w:szCs w:val="16"/>
                <w:lang w:eastAsia="fr-FR"/>
              </w:rPr>
              <w:t xml:space="preserve"> </w:t>
            </w:r>
            <w:r w:rsidR="00FA42DB" w:rsidRPr="0037713F">
              <w:rPr>
                <w:sz w:val="16"/>
                <w:szCs w:val="16"/>
                <w:lang w:eastAsia="fr-FR"/>
              </w:rPr>
              <w:t>first degree students</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7AFA561D" w14:textId="77777777" w:rsidR="002E1A3F" w:rsidRPr="0037713F" w:rsidRDefault="00B00100" w:rsidP="008E2709">
            <w:pPr>
              <w:jc w:val="center"/>
              <w:rPr>
                <w:sz w:val="16"/>
                <w:szCs w:val="16"/>
                <w:lang w:eastAsia="fr-FR"/>
              </w:rPr>
            </w:pPr>
            <w:r>
              <w:rPr>
                <w:sz w:val="16"/>
                <w:szCs w:val="16"/>
                <w:lang w:eastAsia="fr-FR"/>
              </w:rPr>
              <w:t>1</w:t>
            </w:r>
            <w:r w:rsidR="00334C9F">
              <w:rPr>
                <w:sz w:val="16"/>
                <w:szCs w:val="16"/>
                <w:lang w:eastAsia="fr-FR"/>
              </w:rPr>
              <w:t>62</w:t>
            </w:r>
            <w:r w:rsidR="0001661A" w:rsidRPr="0037713F">
              <w:rPr>
                <w:sz w:val="16"/>
                <w:szCs w:val="16"/>
                <w:lang w:eastAsia="fr-FR"/>
              </w:rPr>
              <w:t xml:space="preserve"> </w:t>
            </w:r>
            <w:r w:rsidR="00FA42DB" w:rsidRPr="0037713F">
              <w:rPr>
                <w:sz w:val="16"/>
                <w:szCs w:val="16"/>
                <w:lang w:eastAsia="fr-FR"/>
              </w:rPr>
              <w:t>PhD students</w:t>
            </w:r>
          </w:p>
          <w:p w14:paraId="70C68474" w14:textId="77777777" w:rsidR="002E1A3F" w:rsidRPr="0037713F" w:rsidRDefault="002E1A3F" w:rsidP="008E2709">
            <w:pPr>
              <w:jc w:val="center"/>
              <w:rPr>
                <w:sz w:val="16"/>
                <w:szCs w:val="16"/>
                <w:lang w:eastAsia="fr-FR"/>
              </w:rPr>
            </w:pPr>
            <w:bookmarkStart w:id="373" w:name="_GoBack"/>
            <w:bookmarkEnd w:id="373"/>
          </w:p>
          <w:p w14:paraId="0AD441F7" w14:textId="77777777" w:rsidR="002E1A3F" w:rsidRPr="0037713F" w:rsidRDefault="00B00100" w:rsidP="008E2709">
            <w:pPr>
              <w:jc w:val="center"/>
              <w:rPr>
                <w:sz w:val="16"/>
                <w:szCs w:val="16"/>
                <w:lang w:eastAsia="fr-FR"/>
              </w:rPr>
            </w:pPr>
            <w:r>
              <w:rPr>
                <w:sz w:val="16"/>
                <w:szCs w:val="16"/>
                <w:lang w:eastAsia="fr-FR"/>
              </w:rPr>
              <w:t>353</w:t>
            </w:r>
            <w:r w:rsidR="0001661A" w:rsidRPr="0037713F">
              <w:rPr>
                <w:sz w:val="16"/>
                <w:szCs w:val="16"/>
                <w:lang w:eastAsia="fr-FR"/>
              </w:rPr>
              <w:t xml:space="preserve"> </w:t>
            </w:r>
            <w:r w:rsidR="00FA42DB" w:rsidRPr="0037713F">
              <w:rPr>
                <w:sz w:val="16"/>
                <w:szCs w:val="16"/>
                <w:lang w:eastAsia="fr-FR"/>
              </w:rPr>
              <w:t>Master students</w:t>
            </w:r>
          </w:p>
          <w:p w14:paraId="0BF362E5" w14:textId="77777777" w:rsidR="002E1A3F" w:rsidRPr="0037713F" w:rsidRDefault="002E1A3F" w:rsidP="008E2709">
            <w:pPr>
              <w:jc w:val="center"/>
              <w:rPr>
                <w:sz w:val="16"/>
                <w:szCs w:val="16"/>
                <w:lang w:eastAsia="fr-FR"/>
              </w:rPr>
            </w:pPr>
          </w:p>
          <w:p w14:paraId="1325AD95" w14:textId="77777777" w:rsidR="002E1A3F" w:rsidRPr="0037713F" w:rsidRDefault="00B00100" w:rsidP="008E2709">
            <w:pPr>
              <w:jc w:val="center"/>
              <w:rPr>
                <w:sz w:val="16"/>
                <w:szCs w:val="16"/>
                <w:lang w:eastAsia="fr-FR"/>
              </w:rPr>
            </w:pPr>
            <w:r>
              <w:rPr>
                <w:sz w:val="16"/>
                <w:szCs w:val="16"/>
                <w:lang w:eastAsia="fr-FR"/>
              </w:rPr>
              <w:t>640</w:t>
            </w:r>
            <w:r w:rsidR="00FA42DB" w:rsidRPr="0037713F">
              <w:rPr>
                <w:sz w:val="16"/>
                <w:szCs w:val="16"/>
                <w:lang w:eastAsia="fr-FR"/>
              </w:rPr>
              <w:t xml:space="preserve"> Short course professional students</w:t>
            </w:r>
          </w:p>
          <w:p w14:paraId="2780DE0F" w14:textId="77777777" w:rsidR="002E1A3F" w:rsidRPr="0037713F" w:rsidRDefault="002E1A3F" w:rsidP="008E2709">
            <w:pPr>
              <w:jc w:val="center"/>
              <w:rPr>
                <w:sz w:val="16"/>
                <w:szCs w:val="16"/>
                <w:lang w:eastAsia="fr-FR"/>
              </w:rPr>
            </w:pPr>
          </w:p>
          <w:p w14:paraId="15D3B061" w14:textId="77777777" w:rsidR="002E1A3F" w:rsidRPr="0037713F" w:rsidRDefault="00B00100" w:rsidP="008E2709">
            <w:pPr>
              <w:jc w:val="center"/>
              <w:rPr>
                <w:sz w:val="16"/>
                <w:szCs w:val="16"/>
                <w:lang w:eastAsia="fr-FR"/>
              </w:rPr>
            </w:pPr>
            <w:r w:rsidRPr="000546A7">
              <w:rPr>
                <w:sz w:val="16"/>
                <w:szCs w:val="16"/>
                <w:lang w:eastAsia="fr-FR"/>
              </w:rPr>
              <w:t>300</w:t>
            </w:r>
            <w:r w:rsidRPr="0037713F">
              <w:rPr>
                <w:sz w:val="16"/>
                <w:szCs w:val="16"/>
                <w:lang w:eastAsia="fr-FR"/>
              </w:rPr>
              <w:t xml:space="preserve"> </w:t>
            </w:r>
            <w:r w:rsidR="00FA42DB" w:rsidRPr="0037713F">
              <w:rPr>
                <w:sz w:val="16"/>
                <w:szCs w:val="16"/>
                <w:lang w:eastAsia="fr-FR"/>
              </w:rPr>
              <w:t>first degree students</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7522454A" w14:textId="77777777" w:rsidR="002E1A3F" w:rsidRPr="0037713F" w:rsidRDefault="00B00100" w:rsidP="008E2709">
            <w:pPr>
              <w:jc w:val="center"/>
              <w:rPr>
                <w:sz w:val="16"/>
                <w:szCs w:val="16"/>
                <w:lang w:eastAsia="fr-FR"/>
              </w:rPr>
            </w:pPr>
            <w:r>
              <w:rPr>
                <w:sz w:val="16"/>
                <w:szCs w:val="16"/>
                <w:lang w:eastAsia="fr-FR"/>
              </w:rPr>
              <w:t>162</w:t>
            </w:r>
            <w:r w:rsidR="00FA42DB" w:rsidRPr="0037713F">
              <w:rPr>
                <w:sz w:val="16"/>
                <w:szCs w:val="16"/>
                <w:lang w:eastAsia="fr-FR"/>
              </w:rPr>
              <w:t xml:space="preserve"> PhD students</w:t>
            </w:r>
          </w:p>
          <w:p w14:paraId="3EC90FBC" w14:textId="77777777" w:rsidR="002E1A3F" w:rsidRPr="0037713F" w:rsidRDefault="002E1A3F" w:rsidP="008E2709">
            <w:pPr>
              <w:jc w:val="center"/>
              <w:rPr>
                <w:sz w:val="16"/>
                <w:szCs w:val="16"/>
                <w:lang w:eastAsia="fr-FR"/>
              </w:rPr>
            </w:pPr>
          </w:p>
          <w:p w14:paraId="426D6FD8" w14:textId="77777777" w:rsidR="002E1A3F" w:rsidRPr="0037713F" w:rsidRDefault="00B00100" w:rsidP="008E2709">
            <w:pPr>
              <w:jc w:val="center"/>
              <w:rPr>
                <w:sz w:val="16"/>
                <w:szCs w:val="16"/>
                <w:lang w:eastAsia="fr-FR"/>
              </w:rPr>
            </w:pPr>
            <w:r>
              <w:rPr>
                <w:sz w:val="16"/>
                <w:szCs w:val="16"/>
                <w:lang w:eastAsia="fr-FR"/>
              </w:rPr>
              <w:t xml:space="preserve">375 </w:t>
            </w:r>
            <w:r w:rsidRPr="0037713F">
              <w:rPr>
                <w:sz w:val="16"/>
                <w:szCs w:val="16"/>
                <w:lang w:eastAsia="fr-FR"/>
              </w:rPr>
              <w:t>Master</w:t>
            </w:r>
            <w:r w:rsidR="00FA42DB" w:rsidRPr="0037713F">
              <w:rPr>
                <w:sz w:val="16"/>
                <w:szCs w:val="16"/>
                <w:lang w:eastAsia="fr-FR"/>
              </w:rPr>
              <w:t xml:space="preserve"> students</w:t>
            </w:r>
          </w:p>
          <w:p w14:paraId="7B68956B" w14:textId="77777777" w:rsidR="002E1A3F" w:rsidRPr="0037713F" w:rsidRDefault="002E1A3F" w:rsidP="008E2709">
            <w:pPr>
              <w:jc w:val="center"/>
              <w:rPr>
                <w:sz w:val="16"/>
                <w:szCs w:val="16"/>
                <w:lang w:eastAsia="fr-FR"/>
              </w:rPr>
            </w:pPr>
          </w:p>
          <w:p w14:paraId="763935E9" w14:textId="77777777" w:rsidR="002E1A3F" w:rsidRPr="0037713F" w:rsidRDefault="00B00100" w:rsidP="008E2709">
            <w:pPr>
              <w:jc w:val="center"/>
              <w:rPr>
                <w:sz w:val="16"/>
                <w:szCs w:val="16"/>
                <w:lang w:eastAsia="fr-FR"/>
              </w:rPr>
            </w:pPr>
            <w:r w:rsidRPr="000546A7">
              <w:rPr>
                <w:sz w:val="16"/>
                <w:szCs w:val="16"/>
                <w:lang w:eastAsia="fr-FR"/>
              </w:rPr>
              <w:t>8</w:t>
            </w:r>
            <w:r w:rsidRPr="00DD30A6">
              <w:rPr>
                <w:sz w:val="16"/>
                <w:szCs w:val="16"/>
                <w:lang w:eastAsia="fr-FR"/>
              </w:rPr>
              <w:t>66</w:t>
            </w:r>
            <w:r w:rsidR="00FA42DB" w:rsidRPr="0037713F">
              <w:rPr>
                <w:sz w:val="16"/>
                <w:szCs w:val="16"/>
                <w:lang w:eastAsia="fr-FR"/>
              </w:rPr>
              <w:t xml:space="preserve"> Short course professional students</w:t>
            </w:r>
          </w:p>
          <w:p w14:paraId="0BD61838" w14:textId="77777777" w:rsidR="002E1A3F" w:rsidRPr="0037713F" w:rsidRDefault="002E1A3F" w:rsidP="008E2709">
            <w:pPr>
              <w:jc w:val="center"/>
              <w:rPr>
                <w:sz w:val="16"/>
                <w:szCs w:val="16"/>
                <w:lang w:eastAsia="fr-FR"/>
              </w:rPr>
            </w:pPr>
          </w:p>
          <w:p w14:paraId="2F6BD777" w14:textId="77777777" w:rsidR="002E1A3F" w:rsidRPr="0037713F" w:rsidRDefault="00B00100" w:rsidP="008E2709">
            <w:pPr>
              <w:jc w:val="center"/>
              <w:rPr>
                <w:sz w:val="16"/>
                <w:szCs w:val="16"/>
                <w:lang w:eastAsia="fr-FR"/>
              </w:rPr>
            </w:pPr>
            <w:r>
              <w:rPr>
                <w:sz w:val="16"/>
                <w:szCs w:val="16"/>
                <w:lang w:eastAsia="fr-FR"/>
              </w:rPr>
              <w:t>360</w:t>
            </w:r>
            <w:r w:rsidRPr="0037713F">
              <w:rPr>
                <w:sz w:val="16"/>
                <w:szCs w:val="16"/>
                <w:lang w:eastAsia="fr-FR"/>
              </w:rPr>
              <w:t xml:space="preserve"> </w:t>
            </w:r>
            <w:r w:rsidR="00FA42DB" w:rsidRPr="0037713F">
              <w:rPr>
                <w:sz w:val="16"/>
                <w:szCs w:val="16"/>
                <w:lang w:eastAsia="fr-FR"/>
              </w:rPr>
              <w:t>first degree students</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5735AFC5" w14:textId="77777777" w:rsidR="002E1A3F" w:rsidRPr="0037713F" w:rsidRDefault="00B00100" w:rsidP="008E2709">
            <w:pPr>
              <w:jc w:val="center"/>
              <w:rPr>
                <w:sz w:val="16"/>
                <w:szCs w:val="16"/>
                <w:lang w:eastAsia="fr-FR"/>
              </w:rPr>
            </w:pPr>
            <w:r>
              <w:rPr>
                <w:sz w:val="16"/>
                <w:szCs w:val="16"/>
                <w:lang w:eastAsia="fr-FR"/>
              </w:rPr>
              <w:t>16</w:t>
            </w:r>
            <w:r w:rsidR="004A6BFC">
              <w:rPr>
                <w:sz w:val="16"/>
                <w:szCs w:val="16"/>
                <w:lang w:eastAsia="fr-FR"/>
              </w:rPr>
              <w:t>2</w:t>
            </w:r>
            <w:r w:rsidR="00334C9F" w:rsidRPr="0037713F">
              <w:rPr>
                <w:sz w:val="16"/>
                <w:szCs w:val="16"/>
                <w:lang w:eastAsia="fr-FR"/>
              </w:rPr>
              <w:t xml:space="preserve"> </w:t>
            </w:r>
            <w:r w:rsidR="00FA42DB" w:rsidRPr="0037713F">
              <w:rPr>
                <w:sz w:val="16"/>
                <w:szCs w:val="16"/>
                <w:lang w:eastAsia="fr-FR"/>
              </w:rPr>
              <w:t>PhD students</w:t>
            </w:r>
          </w:p>
          <w:p w14:paraId="41A4F39B" w14:textId="77777777" w:rsidR="002E1A3F" w:rsidRPr="0037713F" w:rsidRDefault="002E1A3F" w:rsidP="008E2709">
            <w:pPr>
              <w:jc w:val="center"/>
              <w:rPr>
                <w:sz w:val="16"/>
                <w:szCs w:val="16"/>
                <w:lang w:eastAsia="fr-FR"/>
              </w:rPr>
            </w:pPr>
          </w:p>
          <w:p w14:paraId="70224F62" w14:textId="77777777" w:rsidR="002E1A3F" w:rsidRPr="0037713F" w:rsidRDefault="00B00100" w:rsidP="008E2709">
            <w:pPr>
              <w:jc w:val="center"/>
              <w:rPr>
                <w:sz w:val="16"/>
                <w:szCs w:val="16"/>
                <w:lang w:eastAsia="fr-FR"/>
              </w:rPr>
            </w:pPr>
            <w:r>
              <w:rPr>
                <w:sz w:val="16"/>
                <w:szCs w:val="16"/>
                <w:lang w:eastAsia="fr-FR"/>
              </w:rPr>
              <w:t>408</w:t>
            </w:r>
            <w:r w:rsidR="00FA42DB" w:rsidRPr="0037713F">
              <w:rPr>
                <w:sz w:val="16"/>
                <w:szCs w:val="16"/>
                <w:lang w:eastAsia="fr-FR"/>
              </w:rPr>
              <w:t xml:space="preserve"> Master students</w:t>
            </w:r>
          </w:p>
          <w:p w14:paraId="6F4C46C7" w14:textId="77777777" w:rsidR="002E1A3F" w:rsidRPr="0037713F" w:rsidRDefault="002E1A3F" w:rsidP="008E2709">
            <w:pPr>
              <w:jc w:val="center"/>
              <w:rPr>
                <w:sz w:val="16"/>
                <w:szCs w:val="16"/>
                <w:lang w:eastAsia="fr-FR"/>
              </w:rPr>
            </w:pPr>
          </w:p>
          <w:p w14:paraId="5C443AF3" w14:textId="77777777" w:rsidR="002E1A3F" w:rsidRPr="0037713F" w:rsidRDefault="00B00100" w:rsidP="008E2709">
            <w:pPr>
              <w:jc w:val="center"/>
              <w:rPr>
                <w:sz w:val="16"/>
                <w:szCs w:val="16"/>
                <w:lang w:eastAsia="fr-FR"/>
              </w:rPr>
            </w:pPr>
            <w:r>
              <w:rPr>
                <w:sz w:val="16"/>
                <w:szCs w:val="16"/>
                <w:lang w:eastAsia="fr-FR"/>
              </w:rPr>
              <w:t>966</w:t>
            </w:r>
            <w:r w:rsidR="00FA42DB" w:rsidRPr="0037713F">
              <w:rPr>
                <w:sz w:val="16"/>
                <w:szCs w:val="16"/>
                <w:lang w:eastAsia="fr-FR"/>
              </w:rPr>
              <w:t xml:space="preserve"> Short course professional students</w:t>
            </w:r>
          </w:p>
          <w:p w14:paraId="40966374" w14:textId="77777777" w:rsidR="002E1A3F" w:rsidRPr="0037713F" w:rsidRDefault="002E1A3F" w:rsidP="008E2709">
            <w:pPr>
              <w:jc w:val="center"/>
              <w:rPr>
                <w:sz w:val="16"/>
                <w:szCs w:val="16"/>
                <w:lang w:eastAsia="fr-FR"/>
              </w:rPr>
            </w:pPr>
          </w:p>
          <w:p w14:paraId="6472378C" w14:textId="77777777" w:rsidR="002E1A3F" w:rsidRPr="0037713F" w:rsidRDefault="00B00100" w:rsidP="008E2709">
            <w:pPr>
              <w:jc w:val="center"/>
              <w:rPr>
                <w:sz w:val="16"/>
                <w:szCs w:val="16"/>
                <w:lang w:eastAsia="fr-FR"/>
              </w:rPr>
            </w:pPr>
            <w:r>
              <w:rPr>
                <w:sz w:val="16"/>
                <w:szCs w:val="16"/>
                <w:lang w:eastAsia="fr-FR"/>
              </w:rPr>
              <w:t>420</w:t>
            </w:r>
            <w:r w:rsidRPr="0037713F">
              <w:rPr>
                <w:sz w:val="16"/>
                <w:szCs w:val="16"/>
                <w:lang w:eastAsia="fr-FR"/>
              </w:rPr>
              <w:t xml:space="preserve"> </w:t>
            </w:r>
            <w:r w:rsidR="00FA42DB" w:rsidRPr="0037713F">
              <w:rPr>
                <w:sz w:val="16"/>
                <w:szCs w:val="16"/>
                <w:lang w:eastAsia="fr-FR"/>
              </w:rPr>
              <w:t>first degree students</w:t>
            </w:r>
          </w:p>
        </w:tc>
      </w:tr>
      <w:tr w:rsidR="000C3959" w14:paraId="7F22AA28" w14:textId="77777777" w:rsidTr="008E2709">
        <w:trPr>
          <w:trHeight w:val="126"/>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1E47" w14:textId="77777777" w:rsidR="002E1A3F" w:rsidRPr="00A84035" w:rsidRDefault="00B00100" w:rsidP="00404D02">
            <w:pPr>
              <w:rPr>
                <w:i/>
                <w:iCs/>
                <w:sz w:val="16"/>
                <w:szCs w:val="16"/>
                <w:lang w:eastAsia="fr-FR"/>
              </w:rPr>
            </w:pPr>
            <w:r w:rsidRPr="00A84035">
              <w:rPr>
                <w:i/>
                <w:iCs/>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vAlign w:val="center"/>
          </w:tcPr>
          <w:p w14:paraId="164C6EE0" w14:textId="77777777" w:rsidR="002E1A3F" w:rsidRPr="00A84035" w:rsidRDefault="00B00100" w:rsidP="008E2709">
            <w:pPr>
              <w:widowControl/>
              <w:autoSpaceDE/>
              <w:autoSpaceDN/>
              <w:adjustRightInd/>
              <w:rPr>
                <w:i/>
                <w:iCs/>
                <w:sz w:val="16"/>
                <w:szCs w:val="16"/>
              </w:rPr>
            </w:pPr>
            <w:r>
              <w:rPr>
                <w:sz w:val="16"/>
                <w:szCs w:val="16"/>
              </w:rPr>
              <w:t>16,528,333</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D463C21" w14:textId="77777777" w:rsidR="002E1A3F" w:rsidRPr="00A84035" w:rsidRDefault="00B00100" w:rsidP="00404D02">
            <w:pPr>
              <w:jc w:val="center"/>
              <w:rPr>
                <w:i/>
                <w:sz w:val="16"/>
                <w:szCs w:val="16"/>
                <w:lang w:eastAsia="fr-FR"/>
              </w:rPr>
            </w:pPr>
            <w:r w:rsidRPr="00A84035">
              <w:rPr>
                <w:i/>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A7D6CAB" w14:textId="77777777" w:rsidR="002E1A3F" w:rsidRPr="00A84035" w:rsidRDefault="00B00100" w:rsidP="00F463C2">
            <w:pPr>
              <w:jc w:val="center"/>
              <w:rPr>
                <w:i/>
                <w:sz w:val="16"/>
                <w:szCs w:val="16"/>
                <w:lang w:eastAsia="fr-FR"/>
              </w:rPr>
            </w:pPr>
            <w:r>
              <w:rPr>
                <w:sz w:val="16"/>
                <w:szCs w:val="16"/>
              </w:rPr>
              <w:t>1,963,622</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8BEBC2F" w14:textId="77777777" w:rsidR="002E1A3F" w:rsidRPr="00A84035" w:rsidRDefault="00B00100" w:rsidP="00FC1A97">
            <w:pPr>
              <w:jc w:val="center"/>
              <w:rPr>
                <w:i/>
                <w:sz w:val="16"/>
                <w:szCs w:val="16"/>
                <w:lang w:eastAsia="fr-FR"/>
              </w:rPr>
            </w:pPr>
            <w:r>
              <w:rPr>
                <w:sz w:val="16"/>
                <w:szCs w:val="16"/>
              </w:rPr>
              <w:t>2,920,722</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6846054E" w14:textId="77777777" w:rsidR="002E1A3F" w:rsidRPr="00A84035" w:rsidRDefault="00B00100" w:rsidP="003247A0">
            <w:pPr>
              <w:jc w:val="center"/>
              <w:rPr>
                <w:i/>
                <w:sz w:val="16"/>
                <w:szCs w:val="16"/>
                <w:lang w:eastAsia="fr-FR"/>
              </w:rPr>
            </w:pPr>
            <w:r>
              <w:rPr>
                <w:sz w:val="16"/>
                <w:szCs w:val="16"/>
              </w:rPr>
              <w:t>3,637,478</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61465DF2" w14:textId="77777777" w:rsidR="002E1A3F" w:rsidRPr="00A84035" w:rsidRDefault="00B00100" w:rsidP="003247A0">
            <w:pPr>
              <w:jc w:val="center"/>
              <w:rPr>
                <w:i/>
                <w:sz w:val="16"/>
                <w:szCs w:val="16"/>
                <w:lang w:eastAsia="fr-FR"/>
              </w:rPr>
            </w:pPr>
            <w:r>
              <w:rPr>
                <w:sz w:val="16"/>
                <w:szCs w:val="16"/>
              </w:rPr>
              <w:t>3,902,367</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638EFA3C" w14:textId="77777777" w:rsidR="002E1A3F" w:rsidRPr="00A84035" w:rsidRDefault="00B00100" w:rsidP="007118DD">
            <w:pPr>
              <w:jc w:val="center"/>
              <w:rPr>
                <w:i/>
                <w:sz w:val="16"/>
                <w:szCs w:val="16"/>
                <w:lang w:eastAsia="fr-FR"/>
              </w:rPr>
            </w:pPr>
            <w:r>
              <w:rPr>
                <w:sz w:val="16"/>
                <w:szCs w:val="16"/>
              </w:rPr>
              <w:t>4,104,144</w:t>
            </w:r>
          </w:p>
        </w:tc>
      </w:tr>
      <w:tr w:rsidR="000C3959" w14:paraId="0161B259" w14:textId="77777777" w:rsidTr="008E2709">
        <w:trPr>
          <w:trHeight w:val="252"/>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6C2FB" w14:textId="77777777" w:rsidR="002E1A3F" w:rsidRPr="0037713F" w:rsidRDefault="00B00100" w:rsidP="00404D02">
            <w:pPr>
              <w:tabs>
                <w:tab w:val="left" w:pos="2868"/>
              </w:tabs>
              <w:rPr>
                <w:b/>
              </w:rPr>
            </w:pPr>
            <w:r w:rsidRPr="0037713F">
              <w:rPr>
                <w:b/>
                <w:bCs/>
                <w:sz w:val="16"/>
                <w:szCs w:val="16"/>
                <w:lang w:eastAsia="fr-FR"/>
              </w:rPr>
              <w:t>DLI 4</w:t>
            </w:r>
            <w:r w:rsidRPr="0037713F">
              <w:rPr>
                <w:sz w:val="16"/>
                <w:szCs w:val="16"/>
                <w:lang w:eastAsia="fr-FR"/>
              </w:rPr>
              <w:t xml:space="preserve">: Quality of </w:t>
            </w:r>
            <w:r w:rsidR="00443584">
              <w:rPr>
                <w:sz w:val="16"/>
                <w:szCs w:val="16"/>
                <w:lang w:eastAsia="fr-FR"/>
              </w:rPr>
              <w:t>e</w:t>
            </w:r>
            <w:r w:rsidRPr="0037713F">
              <w:rPr>
                <w:sz w:val="16"/>
                <w:szCs w:val="16"/>
                <w:lang w:eastAsia="fr-FR"/>
              </w:rPr>
              <w:t>ducation and research through</w:t>
            </w:r>
            <w:r w:rsidRPr="0037713F">
              <w:rPr>
                <w:sz w:val="16"/>
                <w:szCs w:val="16"/>
                <w:lang w:eastAsia="fr-FR"/>
              </w:rPr>
              <w:br/>
              <w:t>international accreditation, research publications and improved teaching and research infrastructure</w:t>
            </w:r>
          </w:p>
          <w:p w14:paraId="02D2FA2B" w14:textId="77777777" w:rsidR="002E1A3F" w:rsidRPr="00A84035" w:rsidRDefault="002E1A3F" w:rsidP="00F463C2">
            <w:pPr>
              <w:rPr>
                <w:i/>
                <w:iCs/>
                <w:sz w:val="16"/>
                <w:szCs w:val="16"/>
                <w:lang w:eastAsia="fr-FR"/>
              </w:rPr>
            </w:pPr>
          </w:p>
        </w:tc>
        <w:tc>
          <w:tcPr>
            <w:tcW w:w="1220" w:type="dxa"/>
            <w:tcBorders>
              <w:top w:val="single" w:sz="4" w:space="0" w:color="auto"/>
              <w:left w:val="nil"/>
              <w:bottom w:val="single" w:sz="4" w:space="0" w:color="auto"/>
              <w:right w:val="single" w:sz="4" w:space="0" w:color="auto"/>
            </w:tcBorders>
            <w:shd w:val="clear" w:color="auto" w:fill="auto"/>
            <w:vAlign w:val="center"/>
          </w:tcPr>
          <w:p w14:paraId="72D3F525" w14:textId="77777777" w:rsidR="002E1A3F" w:rsidRPr="0037713F" w:rsidRDefault="00B00100" w:rsidP="00FC1A97">
            <w:pPr>
              <w:jc w:val="center"/>
              <w:rPr>
                <w:sz w:val="16"/>
                <w:szCs w:val="16"/>
                <w:lang w:eastAsia="fr-FR"/>
              </w:rPr>
            </w:pPr>
            <w:r>
              <w:rPr>
                <w:sz w:val="16"/>
                <w:szCs w:val="16"/>
              </w:rPr>
              <w:t>29,962,467</w:t>
            </w:r>
          </w:p>
        </w:tc>
        <w:tc>
          <w:tcPr>
            <w:tcW w:w="610" w:type="dxa"/>
            <w:tcBorders>
              <w:top w:val="single" w:sz="4" w:space="0" w:color="auto"/>
              <w:left w:val="nil"/>
              <w:bottom w:val="single" w:sz="4" w:space="0" w:color="auto"/>
              <w:right w:val="single" w:sz="4" w:space="0" w:color="auto"/>
            </w:tcBorders>
            <w:shd w:val="clear" w:color="auto" w:fill="auto"/>
            <w:vAlign w:val="center"/>
          </w:tcPr>
          <w:p w14:paraId="48708F1E" w14:textId="77777777" w:rsidR="002E1A3F" w:rsidRPr="00A84035" w:rsidRDefault="00B00100" w:rsidP="003247A0">
            <w:pPr>
              <w:jc w:val="center"/>
              <w:rPr>
                <w:i/>
                <w:sz w:val="16"/>
                <w:szCs w:val="16"/>
                <w:lang w:eastAsia="fr-FR"/>
              </w:rPr>
            </w:pPr>
            <w:r w:rsidRPr="0037713F">
              <w:rPr>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tcPr>
          <w:p w14:paraId="212F5A6D" w14:textId="77777777" w:rsidR="002E1A3F" w:rsidRPr="0037713F" w:rsidRDefault="00B00100" w:rsidP="003247A0">
            <w:pPr>
              <w:jc w:val="center"/>
              <w:rPr>
                <w:sz w:val="16"/>
                <w:szCs w:val="16"/>
                <w:lang w:eastAsia="fr-FR"/>
              </w:rPr>
            </w:pPr>
            <w:r>
              <w:rPr>
                <w:sz w:val="16"/>
                <w:szCs w:val="16"/>
                <w:lang w:eastAsia="fr-FR"/>
              </w:rPr>
              <w:t>2</w:t>
            </w:r>
            <w:r w:rsidRPr="0037713F">
              <w:rPr>
                <w:sz w:val="16"/>
                <w:szCs w:val="16"/>
                <w:lang w:eastAsia="fr-FR"/>
              </w:rPr>
              <w:t xml:space="preserve"> </w:t>
            </w:r>
            <w:r w:rsidR="00FA42DB" w:rsidRPr="0037713F">
              <w:rPr>
                <w:sz w:val="16"/>
                <w:szCs w:val="16"/>
                <w:lang w:eastAsia="fr-FR"/>
              </w:rPr>
              <w:t>accreditation steps</w:t>
            </w:r>
          </w:p>
          <w:p w14:paraId="30ACC9FC" w14:textId="77777777" w:rsidR="002E1A3F" w:rsidRPr="0037713F" w:rsidRDefault="002E1A3F" w:rsidP="007118DD">
            <w:pPr>
              <w:jc w:val="center"/>
              <w:rPr>
                <w:sz w:val="16"/>
                <w:szCs w:val="16"/>
                <w:lang w:eastAsia="fr-FR"/>
              </w:rPr>
            </w:pPr>
          </w:p>
          <w:p w14:paraId="6FCD9FD6" w14:textId="77777777" w:rsidR="002E1A3F" w:rsidRPr="0037713F" w:rsidRDefault="00B00100" w:rsidP="00B22FEF">
            <w:pPr>
              <w:jc w:val="center"/>
              <w:rPr>
                <w:sz w:val="16"/>
                <w:szCs w:val="16"/>
                <w:lang w:eastAsia="fr-FR"/>
              </w:rPr>
            </w:pPr>
            <w:r>
              <w:rPr>
                <w:sz w:val="16"/>
                <w:szCs w:val="16"/>
                <w:lang w:eastAsia="fr-FR"/>
              </w:rPr>
              <w:t>115</w:t>
            </w:r>
          </w:p>
          <w:p w14:paraId="3E79C609" w14:textId="77777777" w:rsidR="002E1A3F" w:rsidRPr="0037713F" w:rsidRDefault="00B00100" w:rsidP="00931B2D">
            <w:pPr>
              <w:jc w:val="center"/>
              <w:rPr>
                <w:sz w:val="16"/>
                <w:szCs w:val="16"/>
                <w:lang w:eastAsia="fr-FR"/>
              </w:rPr>
            </w:pPr>
            <w:r w:rsidRPr="0037713F">
              <w:rPr>
                <w:sz w:val="16"/>
                <w:szCs w:val="16"/>
                <w:lang w:eastAsia="fr-FR"/>
              </w:rPr>
              <w:t>published research articles</w:t>
            </w:r>
          </w:p>
          <w:p w14:paraId="60AF1352" w14:textId="77777777" w:rsidR="002E1A3F" w:rsidRPr="0037713F" w:rsidRDefault="002E1A3F" w:rsidP="00126707">
            <w:pPr>
              <w:jc w:val="center"/>
              <w:rPr>
                <w:sz w:val="16"/>
                <w:szCs w:val="16"/>
                <w:lang w:eastAsia="fr-FR"/>
              </w:rPr>
            </w:pPr>
          </w:p>
          <w:p w14:paraId="378518A4" w14:textId="77777777" w:rsidR="002E1A3F" w:rsidRPr="0037713F" w:rsidRDefault="00B00100" w:rsidP="00BC30D6">
            <w:pPr>
              <w:jc w:val="center"/>
              <w:rPr>
                <w:sz w:val="16"/>
                <w:szCs w:val="16"/>
                <w:lang w:eastAsia="fr-FR"/>
              </w:rPr>
            </w:pPr>
            <w:r>
              <w:rPr>
                <w:sz w:val="16"/>
                <w:szCs w:val="16"/>
                <w:lang w:eastAsia="fr-FR"/>
              </w:rPr>
              <w:t>0</w:t>
            </w:r>
            <w:r w:rsidR="00FA42DB" w:rsidRPr="0037713F">
              <w:rPr>
                <w:sz w:val="16"/>
                <w:szCs w:val="16"/>
                <w:lang w:eastAsia="fr-FR"/>
              </w:rPr>
              <w:t xml:space="preserve"> milestones for teaching and research infrastructure</w:t>
            </w:r>
          </w:p>
        </w:tc>
        <w:tc>
          <w:tcPr>
            <w:tcW w:w="1890" w:type="dxa"/>
            <w:tcBorders>
              <w:top w:val="single" w:sz="4" w:space="0" w:color="auto"/>
              <w:left w:val="nil"/>
              <w:bottom w:val="single" w:sz="4" w:space="0" w:color="auto"/>
              <w:right w:val="single" w:sz="4" w:space="0" w:color="auto"/>
            </w:tcBorders>
            <w:shd w:val="clear" w:color="auto" w:fill="auto"/>
            <w:vAlign w:val="center"/>
          </w:tcPr>
          <w:p w14:paraId="080F1BFB" w14:textId="77777777" w:rsidR="002E1A3F" w:rsidRPr="0037713F" w:rsidRDefault="00B00100" w:rsidP="008E2709">
            <w:pPr>
              <w:jc w:val="center"/>
              <w:rPr>
                <w:sz w:val="16"/>
                <w:szCs w:val="16"/>
                <w:lang w:eastAsia="fr-FR"/>
              </w:rPr>
            </w:pPr>
            <w:r>
              <w:rPr>
                <w:sz w:val="16"/>
                <w:szCs w:val="16"/>
                <w:lang w:eastAsia="fr-FR"/>
              </w:rPr>
              <w:t>4</w:t>
            </w:r>
            <w:r w:rsidR="003E42DC">
              <w:rPr>
                <w:sz w:val="16"/>
                <w:szCs w:val="16"/>
                <w:lang w:eastAsia="fr-FR"/>
              </w:rPr>
              <w:t>5</w:t>
            </w:r>
            <w:r w:rsidR="0085279D" w:rsidRPr="0037713F">
              <w:rPr>
                <w:sz w:val="16"/>
                <w:szCs w:val="16"/>
                <w:lang w:eastAsia="fr-FR"/>
              </w:rPr>
              <w:t xml:space="preserve"> </w:t>
            </w:r>
            <w:r w:rsidR="00FA42DB" w:rsidRPr="0037713F">
              <w:rPr>
                <w:sz w:val="16"/>
                <w:szCs w:val="16"/>
                <w:lang w:eastAsia="fr-FR"/>
              </w:rPr>
              <w:t>accreditation steps</w:t>
            </w:r>
          </w:p>
          <w:p w14:paraId="46B11BD7" w14:textId="77777777" w:rsidR="002E1A3F" w:rsidRPr="0037713F" w:rsidRDefault="002E1A3F" w:rsidP="008E2709">
            <w:pPr>
              <w:jc w:val="center"/>
              <w:rPr>
                <w:sz w:val="16"/>
                <w:szCs w:val="16"/>
                <w:lang w:eastAsia="fr-FR"/>
              </w:rPr>
            </w:pPr>
          </w:p>
          <w:p w14:paraId="1385CEAA" w14:textId="77777777" w:rsidR="002E1A3F" w:rsidRPr="0037713F" w:rsidRDefault="00B00100" w:rsidP="008E2709">
            <w:pPr>
              <w:jc w:val="center"/>
              <w:rPr>
                <w:sz w:val="16"/>
                <w:szCs w:val="16"/>
                <w:lang w:eastAsia="fr-FR"/>
              </w:rPr>
            </w:pPr>
            <w:r w:rsidRPr="000546A7">
              <w:rPr>
                <w:sz w:val="16"/>
                <w:szCs w:val="16"/>
                <w:lang w:eastAsia="fr-FR"/>
              </w:rPr>
              <w:t>116</w:t>
            </w:r>
          </w:p>
          <w:p w14:paraId="0F561525" w14:textId="77777777" w:rsidR="002E1A3F" w:rsidRPr="0037713F" w:rsidRDefault="00B00100" w:rsidP="008E2709">
            <w:pPr>
              <w:jc w:val="center"/>
              <w:rPr>
                <w:sz w:val="16"/>
                <w:szCs w:val="16"/>
                <w:lang w:eastAsia="fr-FR"/>
              </w:rPr>
            </w:pPr>
            <w:r w:rsidRPr="0037713F">
              <w:rPr>
                <w:sz w:val="16"/>
                <w:szCs w:val="16"/>
                <w:lang w:eastAsia="fr-FR"/>
              </w:rPr>
              <w:t>published research articles</w:t>
            </w:r>
          </w:p>
          <w:p w14:paraId="7475E78F" w14:textId="77777777" w:rsidR="002E1A3F" w:rsidRPr="0037713F" w:rsidRDefault="002E1A3F" w:rsidP="008E2709">
            <w:pPr>
              <w:jc w:val="center"/>
              <w:rPr>
                <w:sz w:val="16"/>
                <w:szCs w:val="16"/>
                <w:lang w:eastAsia="fr-FR"/>
              </w:rPr>
            </w:pPr>
          </w:p>
          <w:p w14:paraId="6A413ED9" w14:textId="77777777" w:rsidR="002E1A3F" w:rsidRPr="0037713F" w:rsidRDefault="00B00100" w:rsidP="008E2709">
            <w:pPr>
              <w:jc w:val="center"/>
              <w:rPr>
                <w:sz w:val="16"/>
                <w:szCs w:val="16"/>
                <w:lang w:eastAsia="fr-FR"/>
              </w:rPr>
            </w:pPr>
            <w:r>
              <w:rPr>
                <w:sz w:val="16"/>
                <w:szCs w:val="16"/>
                <w:lang w:eastAsia="fr-FR"/>
              </w:rPr>
              <w:t>1</w:t>
            </w:r>
            <w:r w:rsidR="00FA42DB" w:rsidRPr="0037713F">
              <w:rPr>
                <w:sz w:val="16"/>
                <w:szCs w:val="16"/>
                <w:lang w:eastAsia="fr-FR"/>
              </w:rPr>
              <w:t xml:space="preserve"> milestone for teaching and research infrastructure</w:t>
            </w:r>
          </w:p>
        </w:tc>
        <w:tc>
          <w:tcPr>
            <w:tcW w:w="1851" w:type="dxa"/>
            <w:tcBorders>
              <w:top w:val="single" w:sz="4" w:space="0" w:color="auto"/>
              <w:left w:val="nil"/>
              <w:bottom w:val="single" w:sz="4" w:space="0" w:color="auto"/>
              <w:right w:val="single" w:sz="4" w:space="0" w:color="auto"/>
            </w:tcBorders>
            <w:shd w:val="clear" w:color="auto" w:fill="auto"/>
            <w:vAlign w:val="center"/>
          </w:tcPr>
          <w:p w14:paraId="64150C3B" w14:textId="77777777" w:rsidR="002E1A3F" w:rsidRPr="0037713F" w:rsidRDefault="00B00100" w:rsidP="008E2709">
            <w:pPr>
              <w:jc w:val="center"/>
              <w:rPr>
                <w:sz w:val="16"/>
                <w:szCs w:val="16"/>
                <w:lang w:eastAsia="fr-FR"/>
              </w:rPr>
            </w:pPr>
            <w:r>
              <w:rPr>
                <w:sz w:val="16"/>
                <w:szCs w:val="16"/>
                <w:lang w:eastAsia="fr-FR"/>
              </w:rPr>
              <w:t>18</w:t>
            </w:r>
            <w:r w:rsidR="00FA42DB" w:rsidRPr="0037713F">
              <w:rPr>
                <w:sz w:val="16"/>
                <w:szCs w:val="16"/>
                <w:lang w:eastAsia="fr-FR"/>
              </w:rPr>
              <w:t xml:space="preserve"> accreditation steps</w:t>
            </w:r>
          </w:p>
          <w:p w14:paraId="168327E0" w14:textId="77777777" w:rsidR="002E1A3F" w:rsidRPr="0037713F" w:rsidRDefault="002E1A3F" w:rsidP="008E2709">
            <w:pPr>
              <w:jc w:val="center"/>
              <w:rPr>
                <w:sz w:val="16"/>
                <w:szCs w:val="16"/>
                <w:lang w:eastAsia="fr-FR"/>
              </w:rPr>
            </w:pPr>
          </w:p>
          <w:p w14:paraId="409D7A31" w14:textId="77777777" w:rsidR="002E1A3F" w:rsidRPr="0037713F" w:rsidRDefault="00B00100" w:rsidP="008E2709">
            <w:pPr>
              <w:jc w:val="center"/>
              <w:rPr>
                <w:sz w:val="16"/>
                <w:szCs w:val="16"/>
                <w:lang w:eastAsia="fr-FR"/>
              </w:rPr>
            </w:pPr>
            <w:r w:rsidRPr="000546A7">
              <w:rPr>
                <w:sz w:val="16"/>
                <w:szCs w:val="16"/>
                <w:lang w:eastAsia="fr-FR"/>
              </w:rPr>
              <w:t>152</w:t>
            </w:r>
          </w:p>
          <w:p w14:paraId="74657E04" w14:textId="77777777" w:rsidR="002E1A3F" w:rsidRPr="0037713F" w:rsidRDefault="00B00100" w:rsidP="008E2709">
            <w:pPr>
              <w:jc w:val="center"/>
              <w:rPr>
                <w:sz w:val="16"/>
                <w:szCs w:val="16"/>
                <w:lang w:eastAsia="fr-FR"/>
              </w:rPr>
            </w:pPr>
            <w:r w:rsidRPr="0037713F">
              <w:rPr>
                <w:sz w:val="16"/>
                <w:szCs w:val="16"/>
                <w:lang w:eastAsia="fr-FR"/>
              </w:rPr>
              <w:t>published research articles</w:t>
            </w:r>
          </w:p>
          <w:p w14:paraId="74A065F2" w14:textId="77777777" w:rsidR="002E1A3F" w:rsidRPr="0037713F" w:rsidRDefault="002E1A3F" w:rsidP="008E2709">
            <w:pPr>
              <w:jc w:val="center"/>
              <w:rPr>
                <w:sz w:val="16"/>
                <w:szCs w:val="16"/>
                <w:lang w:eastAsia="fr-FR"/>
              </w:rPr>
            </w:pPr>
          </w:p>
          <w:p w14:paraId="4873F6EA" w14:textId="77777777" w:rsidR="002E1A3F" w:rsidRPr="0037713F" w:rsidRDefault="00B00100" w:rsidP="008E2709">
            <w:pPr>
              <w:jc w:val="center"/>
              <w:rPr>
                <w:sz w:val="16"/>
                <w:szCs w:val="16"/>
                <w:lang w:eastAsia="fr-FR"/>
              </w:rPr>
            </w:pPr>
            <w:r>
              <w:rPr>
                <w:sz w:val="16"/>
                <w:szCs w:val="16"/>
                <w:lang w:eastAsia="fr-FR"/>
              </w:rPr>
              <w:t>4</w:t>
            </w:r>
            <w:r w:rsidR="003E42DC">
              <w:rPr>
                <w:sz w:val="16"/>
                <w:szCs w:val="16"/>
                <w:lang w:eastAsia="fr-FR"/>
              </w:rPr>
              <w:t xml:space="preserve">3 </w:t>
            </w:r>
            <w:r w:rsidR="00FA42DB" w:rsidRPr="0037713F">
              <w:rPr>
                <w:sz w:val="16"/>
                <w:szCs w:val="16"/>
                <w:lang w:eastAsia="fr-FR"/>
              </w:rPr>
              <w:t>milestones for teaching and research infrastructure</w:t>
            </w:r>
          </w:p>
        </w:tc>
        <w:tc>
          <w:tcPr>
            <w:tcW w:w="1917" w:type="dxa"/>
            <w:tcBorders>
              <w:top w:val="single" w:sz="4" w:space="0" w:color="auto"/>
              <w:left w:val="nil"/>
              <w:bottom w:val="single" w:sz="4" w:space="0" w:color="auto"/>
              <w:right w:val="single" w:sz="4" w:space="0" w:color="auto"/>
            </w:tcBorders>
            <w:shd w:val="clear" w:color="auto" w:fill="auto"/>
            <w:vAlign w:val="center"/>
          </w:tcPr>
          <w:p w14:paraId="23D44E8B" w14:textId="77777777" w:rsidR="002E1A3F" w:rsidRPr="0037713F" w:rsidRDefault="00B00100" w:rsidP="008E2709">
            <w:pPr>
              <w:jc w:val="center"/>
              <w:rPr>
                <w:sz w:val="16"/>
                <w:szCs w:val="16"/>
                <w:lang w:eastAsia="fr-FR"/>
              </w:rPr>
            </w:pPr>
            <w:r>
              <w:rPr>
                <w:sz w:val="16"/>
                <w:szCs w:val="16"/>
                <w:lang w:eastAsia="fr-FR"/>
              </w:rPr>
              <w:t>1</w:t>
            </w:r>
            <w:r w:rsidR="00D429A3">
              <w:rPr>
                <w:sz w:val="16"/>
                <w:szCs w:val="16"/>
                <w:lang w:eastAsia="fr-FR"/>
              </w:rPr>
              <w:t>6</w:t>
            </w:r>
            <w:r w:rsidR="00F85A31" w:rsidRPr="0037713F">
              <w:rPr>
                <w:sz w:val="16"/>
                <w:szCs w:val="16"/>
                <w:lang w:eastAsia="fr-FR"/>
              </w:rPr>
              <w:t xml:space="preserve"> </w:t>
            </w:r>
            <w:r w:rsidR="00FA42DB" w:rsidRPr="0037713F">
              <w:rPr>
                <w:sz w:val="16"/>
                <w:szCs w:val="16"/>
                <w:lang w:eastAsia="fr-FR"/>
              </w:rPr>
              <w:t>accreditation steps</w:t>
            </w:r>
          </w:p>
          <w:p w14:paraId="22D5F4AD" w14:textId="77777777" w:rsidR="002E1A3F" w:rsidRPr="0037713F" w:rsidRDefault="002E1A3F" w:rsidP="008E2709">
            <w:pPr>
              <w:jc w:val="center"/>
              <w:rPr>
                <w:sz w:val="16"/>
                <w:szCs w:val="16"/>
                <w:lang w:eastAsia="fr-FR"/>
              </w:rPr>
            </w:pPr>
          </w:p>
          <w:p w14:paraId="051863F2" w14:textId="77777777" w:rsidR="002E1A3F" w:rsidRPr="0037713F" w:rsidRDefault="00B00100" w:rsidP="008E2709">
            <w:pPr>
              <w:jc w:val="center"/>
              <w:rPr>
                <w:sz w:val="16"/>
                <w:szCs w:val="16"/>
                <w:lang w:eastAsia="fr-FR"/>
              </w:rPr>
            </w:pPr>
            <w:r>
              <w:rPr>
                <w:sz w:val="16"/>
                <w:szCs w:val="16"/>
                <w:lang w:eastAsia="fr-FR"/>
              </w:rPr>
              <w:t>157</w:t>
            </w:r>
          </w:p>
          <w:p w14:paraId="13BEFF40" w14:textId="77777777" w:rsidR="002E1A3F" w:rsidRPr="0037713F" w:rsidRDefault="00B00100" w:rsidP="008E2709">
            <w:pPr>
              <w:jc w:val="center"/>
              <w:rPr>
                <w:sz w:val="16"/>
                <w:szCs w:val="16"/>
                <w:lang w:eastAsia="fr-FR"/>
              </w:rPr>
            </w:pPr>
            <w:r w:rsidRPr="0037713F">
              <w:rPr>
                <w:sz w:val="16"/>
                <w:szCs w:val="16"/>
                <w:lang w:eastAsia="fr-FR"/>
              </w:rPr>
              <w:t>published research articles</w:t>
            </w:r>
          </w:p>
          <w:p w14:paraId="215306E7" w14:textId="77777777" w:rsidR="002E1A3F" w:rsidRPr="0037713F" w:rsidRDefault="002E1A3F" w:rsidP="008E2709">
            <w:pPr>
              <w:jc w:val="center"/>
              <w:rPr>
                <w:sz w:val="16"/>
                <w:szCs w:val="16"/>
                <w:lang w:eastAsia="fr-FR"/>
              </w:rPr>
            </w:pPr>
          </w:p>
          <w:p w14:paraId="093C9ECB" w14:textId="77777777" w:rsidR="002E1A3F" w:rsidRPr="0037713F" w:rsidRDefault="00B00100" w:rsidP="008E2709">
            <w:pPr>
              <w:jc w:val="center"/>
              <w:rPr>
                <w:sz w:val="16"/>
                <w:szCs w:val="16"/>
                <w:lang w:eastAsia="fr-FR"/>
              </w:rPr>
            </w:pPr>
            <w:r>
              <w:rPr>
                <w:sz w:val="16"/>
                <w:szCs w:val="16"/>
                <w:lang w:eastAsia="fr-FR"/>
              </w:rPr>
              <w:t>2</w:t>
            </w:r>
            <w:r w:rsidR="00DB4411">
              <w:rPr>
                <w:sz w:val="16"/>
                <w:szCs w:val="16"/>
                <w:lang w:eastAsia="fr-FR"/>
              </w:rPr>
              <w:t>2</w:t>
            </w:r>
            <w:r w:rsidR="00FA42DB" w:rsidRPr="0037713F">
              <w:rPr>
                <w:sz w:val="16"/>
                <w:szCs w:val="16"/>
                <w:lang w:eastAsia="fr-FR"/>
              </w:rPr>
              <w:t xml:space="preserve"> milestones for teaching and research infrastructure</w:t>
            </w:r>
          </w:p>
        </w:tc>
        <w:tc>
          <w:tcPr>
            <w:tcW w:w="1919" w:type="dxa"/>
            <w:tcBorders>
              <w:top w:val="single" w:sz="4" w:space="0" w:color="auto"/>
              <w:left w:val="nil"/>
              <w:bottom w:val="single" w:sz="4" w:space="0" w:color="auto"/>
              <w:right w:val="single" w:sz="4" w:space="0" w:color="auto"/>
            </w:tcBorders>
            <w:shd w:val="clear" w:color="auto" w:fill="auto"/>
            <w:vAlign w:val="center"/>
          </w:tcPr>
          <w:p w14:paraId="75A4812C" w14:textId="77777777" w:rsidR="002E1A3F" w:rsidRPr="0037713F" w:rsidRDefault="00B00100" w:rsidP="008E2709">
            <w:pPr>
              <w:jc w:val="center"/>
              <w:rPr>
                <w:sz w:val="16"/>
                <w:szCs w:val="16"/>
                <w:lang w:eastAsia="fr-FR"/>
              </w:rPr>
            </w:pPr>
            <w:r>
              <w:rPr>
                <w:sz w:val="16"/>
                <w:szCs w:val="16"/>
                <w:lang w:eastAsia="fr-FR"/>
              </w:rPr>
              <w:t>1</w:t>
            </w:r>
            <w:r w:rsidR="00495507">
              <w:rPr>
                <w:sz w:val="16"/>
                <w:szCs w:val="16"/>
                <w:lang w:eastAsia="fr-FR"/>
              </w:rPr>
              <w:t>6</w:t>
            </w:r>
            <w:r w:rsidR="00FA42DB" w:rsidRPr="0037713F">
              <w:rPr>
                <w:sz w:val="16"/>
                <w:szCs w:val="16"/>
                <w:lang w:eastAsia="fr-FR"/>
              </w:rPr>
              <w:t xml:space="preserve"> accreditation steps</w:t>
            </w:r>
          </w:p>
          <w:p w14:paraId="42FC745D" w14:textId="77777777" w:rsidR="002E1A3F" w:rsidRPr="0037713F" w:rsidRDefault="002E1A3F" w:rsidP="008E2709">
            <w:pPr>
              <w:jc w:val="center"/>
              <w:rPr>
                <w:sz w:val="16"/>
                <w:szCs w:val="16"/>
                <w:lang w:eastAsia="fr-FR"/>
              </w:rPr>
            </w:pPr>
          </w:p>
          <w:p w14:paraId="6A08E588" w14:textId="77777777" w:rsidR="002E1A3F" w:rsidRPr="0037713F" w:rsidRDefault="00B00100" w:rsidP="008E2709">
            <w:pPr>
              <w:jc w:val="center"/>
              <w:rPr>
                <w:sz w:val="16"/>
                <w:szCs w:val="16"/>
                <w:lang w:eastAsia="fr-FR"/>
              </w:rPr>
            </w:pPr>
            <w:r>
              <w:rPr>
                <w:sz w:val="16"/>
                <w:szCs w:val="16"/>
                <w:lang w:eastAsia="fr-FR"/>
              </w:rPr>
              <w:t>168</w:t>
            </w:r>
          </w:p>
          <w:p w14:paraId="725A72C3" w14:textId="77777777" w:rsidR="002E1A3F" w:rsidRPr="0037713F" w:rsidRDefault="00B00100" w:rsidP="008E2709">
            <w:pPr>
              <w:jc w:val="center"/>
              <w:rPr>
                <w:sz w:val="16"/>
                <w:szCs w:val="16"/>
                <w:lang w:eastAsia="fr-FR"/>
              </w:rPr>
            </w:pPr>
            <w:r w:rsidRPr="0037713F">
              <w:rPr>
                <w:sz w:val="16"/>
                <w:szCs w:val="16"/>
                <w:lang w:eastAsia="fr-FR"/>
              </w:rPr>
              <w:t>published research articles</w:t>
            </w:r>
          </w:p>
          <w:p w14:paraId="12F1934F" w14:textId="77777777" w:rsidR="002E1A3F" w:rsidRPr="0037713F" w:rsidRDefault="002E1A3F" w:rsidP="008E2709">
            <w:pPr>
              <w:jc w:val="center"/>
              <w:rPr>
                <w:sz w:val="16"/>
                <w:szCs w:val="16"/>
                <w:lang w:eastAsia="fr-FR"/>
              </w:rPr>
            </w:pPr>
          </w:p>
          <w:p w14:paraId="58AD09E6" w14:textId="77777777" w:rsidR="002E1A3F" w:rsidRPr="0037713F" w:rsidRDefault="00B00100" w:rsidP="008E2709">
            <w:pPr>
              <w:jc w:val="center"/>
              <w:rPr>
                <w:sz w:val="16"/>
                <w:szCs w:val="16"/>
                <w:lang w:eastAsia="fr-FR"/>
              </w:rPr>
            </w:pPr>
            <w:r>
              <w:rPr>
                <w:sz w:val="16"/>
                <w:szCs w:val="16"/>
                <w:lang w:eastAsia="fr-FR"/>
              </w:rPr>
              <w:t>2</w:t>
            </w:r>
            <w:r w:rsidR="00FA42DB" w:rsidRPr="0037713F">
              <w:rPr>
                <w:sz w:val="16"/>
                <w:szCs w:val="16"/>
                <w:lang w:eastAsia="fr-FR"/>
              </w:rPr>
              <w:t xml:space="preserve"> milestones for teaching and research infrastructure</w:t>
            </w:r>
          </w:p>
        </w:tc>
      </w:tr>
      <w:tr w:rsidR="000C3959" w14:paraId="3B8FE25B" w14:textId="77777777" w:rsidTr="008E2709">
        <w:trPr>
          <w:trHeight w:val="252"/>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3A221" w14:textId="77777777" w:rsidR="002E1A3F" w:rsidRPr="00B73574" w:rsidRDefault="00B00100" w:rsidP="00404D02">
            <w:pPr>
              <w:rPr>
                <w:i/>
                <w:iCs/>
                <w:sz w:val="16"/>
                <w:szCs w:val="16"/>
                <w:lang w:eastAsia="fr-FR"/>
              </w:rPr>
            </w:pPr>
            <w:r w:rsidRPr="00A84035">
              <w:rPr>
                <w:i/>
                <w:iCs/>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vAlign w:val="center"/>
          </w:tcPr>
          <w:p w14:paraId="526F7C64" w14:textId="77777777" w:rsidR="002E1A3F" w:rsidRPr="00B73574" w:rsidRDefault="00B00100" w:rsidP="00F463C2">
            <w:pPr>
              <w:jc w:val="center"/>
              <w:rPr>
                <w:i/>
                <w:iCs/>
                <w:sz w:val="16"/>
                <w:szCs w:val="16"/>
              </w:rPr>
            </w:pPr>
            <w:r>
              <w:rPr>
                <w:sz w:val="16"/>
                <w:szCs w:val="16"/>
              </w:rPr>
              <w:t>29,962,467</w:t>
            </w:r>
          </w:p>
        </w:tc>
        <w:tc>
          <w:tcPr>
            <w:tcW w:w="610" w:type="dxa"/>
            <w:tcBorders>
              <w:top w:val="single" w:sz="4" w:space="0" w:color="auto"/>
              <w:left w:val="nil"/>
              <w:bottom w:val="single" w:sz="4" w:space="0" w:color="auto"/>
              <w:right w:val="single" w:sz="4" w:space="0" w:color="auto"/>
            </w:tcBorders>
            <w:shd w:val="clear" w:color="auto" w:fill="auto"/>
            <w:vAlign w:val="center"/>
          </w:tcPr>
          <w:p w14:paraId="1A03FAB5" w14:textId="77777777" w:rsidR="002E1A3F" w:rsidRPr="00B73574" w:rsidRDefault="002E1A3F" w:rsidP="00FC1A97">
            <w:pPr>
              <w:jc w:val="center"/>
              <w:rPr>
                <w:i/>
                <w:sz w:val="16"/>
                <w:szCs w:val="16"/>
                <w:lang w:eastAsia="fr-FR"/>
              </w:rPr>
            </w:pPr>
          </w:p>
        </w:tc>
        <w:tc>
          <w:tcPr>
            <w:tcW w:w="1836" w:type="dxa"/>
            <w:tcBorders>
              <w:top w:val="single" w:sz="4" w:space="0" w:color="auto"/>
              <w:left w:val="nil"/>
              <w:bottom w:val="single" w:sz="4" w:space="0" w:color="auto"/>
              <w:right w:val="single" w:sz="4" w:space="0" w:color="auto"/>
            </w:tcBorders>
            <w:shd w:val="clear" w:color="auto" w:fill="auto"/>
            <w:vAlign w:val="center"/>
          </w:tcPr>
          <w:p w14:paraId="25B5C2FA" w14:textId="77777777" w:rsidR="002E1A3F" w:rsidRPr="00B73574" w:rsidRDefault="00B00100" w:rsidP="003247A0">
            <w:pPr>
              <w:jc w:val="center"/>
              <w:rPr>
                <w:i/>
                <w:sz w:val="16"/>
                <w:szCs w:val="16"/>
                <w:lang w:eastAsia="fr-FR"/>
              </w:rPr>
            </w:pPr>
            <w:r>
              <w:rPr>
                <w:sz w:val="16"/>
                <w:szCs w:val="16"/>
              </w:rPr>
              <w:t>1,479,733</w:t>
            </w:r>
          </w:p>
        </w:tc>
        <w:tc>
          <w:tcPr>
            <w:tcW w:w="1890" w:type="dxa"/>
            <w:tcBorders>
              <w:top w:val="single" w:sz="4" w:space="0" w:color="auto"/>
              <w:left w:val="nil"/>
              <w:bottom w:val="single" w:sz="4" w:space="0" w:color="auto"/>
              <w:right w:val="single" w:sz="4" w:space="0" w:color="auto"/>
            </w:tcBorders>
            <w:shd w:val="clear" w:color="auto" w:fill="auto"/>
            <w:vAlign w:val="center"/>
          </w:tcPr>
          <w:p w14:paraId="4905C6C3" w14:textId="77777777" w:rsidR="002E1A3F" w:rsidRPr="00B73574" w:rsidRDefault="00B00100" w:rsidP="003247A0">
            <w:pPr>
              <w:jc w:val="center"/>
              <w:rPr>
                <w:i/>
                <w:sz w:val="16"/>
                <w:szCs w:val="16"/>
                <w:lang w:eastAsia="fr-FR"/>
              </w:rPr>
            </w:pPr>
            <w:r>
              <w:rPr>
                <w:sz w:val="16"/>
                <w:szCs w:val="16"/>
              </w:rPr>
              <w:t>3,353,956</w:t>
            </w:r>
          </w:p>
        </w:tc>
        <w:tc>
          <w:tcPr>
            <w:tcW w:w="1851" w:type="dxa"/>
            <w:tcBorders>
              <w:top w:val="single" w:sz="4" w:space="0" w:color="auto"/>
              <w:left w:val="nil"/>
              <w:bottom w:val="single" w:sz="4" w:space="0" w:color="auto"/>
              <w:right w:val="single" w:sz="4" w:space="0" w:color="auto"/>
            </w:tcBorders>
            <w:shd w:val="clear" w:color="auto" w:fill="auto"/>
            <w:vAlign w:val="center"/>
          </w:tcPr>
          <w:p w14:paraId="7DA70DCA" w14:textId="77777777" w:rsidR="002E1A3F" w:rsidRPr="00B73574" w:rsidRDefault="00B00100" w:rsidP="007118DD">
            <w:pPr>
              <w:jc w:val="center"/>
              <w:rPr>
                <w:i/>
                <w:sz w:val="16"/>
                <w:szCs w:val="16"/>
                <w:lang w:eastAsia="fr-FR"/>
              </w:rPr>
            </w:pPr>
            <w:r>
              <w:rPr>
                <w:sz w:val="16"/>
                <w:szCs w:val="16"/>
              </w:rPr>
              <w:t>11,936,556</w:t>
            </w:r>
          </w:p>
        </w:tc>
        <w:tc>
          <w:tcPr>
            <w:tcW w:w="1917" w:type="dxa"/>
            <w:tcBorders>
              <w:top w:val="single" w:sz="4" w:space="0" w:color="auto"/>
              <w:left w:val="nil"/>
              <w:bottom w:val="single" w:sz="4" w:space="0" w:color="auto"/>
              <w:right w:val="single" w:sz="4" w:space="0" w:color="auto"/>
            </w:tcBorders>
            <w:shd w:val="clear" w:color="auto" w:fill="auto"/>
            <w:vAlign w:val="center"/>
          </w:tcPr>
          <w:p w14:paraId="0CC8EE41" w14:textId="77777777" w:rsidR="002E1A3F" w:rsidRPr="00B73574" w:rsidRDefault="00B00100" w:rsidP="00B22FEF">
            <w:pPr>
              <w:jc w:val="center"/>
              <w:rPr>
                <w:i/>
                <w:sz w:val="16"/>
                <w:szCs w:val="16"/>
                <w:lang w:eastAsia="fr-FR"/>
              </w:rPr>
            </w:pPr>
            <w:r>
              <w:rPr>
                <w:sz w:val="16"/>
                <w:szCs w:val="16"/>
              </w:rPr>
              <w:t>7,369,889</w:t>
            </w:r>
          </w:p>
        </w:tc>
        <w:tc>
          <w:tcPr>
            <w:tcW w:w="1919" w:type="dxa"/>
            <w:tcBorders>
              <w:top w:val="single" w:sz="4" w:space="0" w:color="auto"/>
              <w:left w:val="nil"/>
              <w:bottom w:val="single" w:sz="4" w:space="0" w:color="auto"/>
              <w:right w:val="single" w:sz="4" w:space="0" w:color="auto"/>
            </w:tcBorders>
            <w:shd w:val="clear" w:color="auto" w:fill="auto"/>
            <w:vAlign w:val="center"/>
          </w:tcPr>
          <w:p w14:paraId="1368EE6F" w14:textId="77777777" w:rsidR="002E1A3F" w:rsidRPr="00B73574" w:rsidRDefault="00B00100" w:rsidP="00931B2D">
            <w:pPr>
              <w:jc w:val="center"/>
              <w:rPr>
                <w:i/>
                <w:sz w:val="16"/>
                <w:szCs w:val="16"/>
                <w:lang w:eastAsia="fr-FR"/>
              </w:rPr>
            </w:pPr>
            <w:r>
              <w:rPr>
                <w:sz w:val="16"/>
                <w:szCs w:val="16"/>
              </w:rPr>
              <w:t>5,822,333</w:t>
            </w:r>
          </w:p>
        </w:tc>
      </w:tr>
      <w:tr w:rsidR="000C3959" w14:paraId="0F97C485" w14:textId="77777777" w:rsidTr="008E2709">
        <w:trPr>
          <w:trHeight w:val="252"/>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B8238" w14:textId="77777777" w:rsidR="002E1A3F" w:rsidRPr="00B73574" w:rsidRDefault="00B00100" w:rsidP="00404D02">
            <w:pPr>
              <w:rPr>
                <w:i/>
                <w:iCs/>
                <w:sz w:val="16"/>
                <w:szCs w:val="16"/>
                <w:lang w:eastAsia="fr-FR"/>
              </w:rPr>
            </w:pPr>
            <w:r w:rsidRPr="0037713F">
              <w:rPr>
                <w:b/>
                <w:bCs/>
                <w:sz w:val="16"/>
                <w:szCs w:val="16"/>
                <w:lang w:eastAsia="fr-FR"/>
              </w:rPr>
              <w:t>DLI 5</w:t>
            </w:r>
            <w:r w:rsidRPr="0037713F">
              <w:rPr>
                <w:sz w:val="16"/>
                <w:szCs w:val="16"/>
                <w:lang w:eastAsia="fr-FR"/>
              </w:rPr>
              <w:t xml:space="preserve">: Relevance of </w:t>
            </w:r>
            <w:r w:rsidR="00443584">
              <w:rPr>
                <w:sz w:val="16"/>
                <w:szCs w:val="16"/>
                <w:lang w:eastAsia="fr-FR"/>
              </w:rPr>
              <w:t>e</w:t>
            </w:r>
            <w:r w:rsidRPr="0037713F">
              <w:rPr>
                <w:sz w:val="16"/>
                <w:szCs w:val="16"/>
                <w:lang w:eastAsia="fr-FR"/>
              </w:rPr>
              <w:t xml:space="preserve">ducation and </w:t>
            </w:r>
            <w:r w:rsidR="00443584">
              <w:rPr>
                <w:sz w:val="16"/>
                <w:szCs w:val="16"/>
                <w:lang w:eastAsia="fr-FR"/>
              </w:rPr>
              <w:t>r</w:t>
            </w:r>
            <w:r w:rsidRPr="0037713F">
              <w:rPr>
                <w:sz w:val="16"/>
                <w:szCs w:val="16"/>
                <w:lang w:eastAsia="fr-FR"/>
              </w:rPr>
              <w:t>esearch through externally generated revenue, internships, and entrepreneurship</w:t>
            </w:r>
          </w:p>
        </w:tc>
        <w:tc>
          <w:tcPr>
            <w:tcW w:w="1220" w:type="dxa"/>
            <w:tcBorders>
              <w:top w:val="single" w:sz="4" w:space="0" w:color="auto"/>
              <w:left w:val="nil"/>
              <w:bottom w:val="single" w:sz="4" w:space="0" w:color="auto"/>
              <w:right w:val="single" w:sz="4" w:space="0" w:color="auto"/>
            </w:tcBorders>
            <w:shd w:val="clear" w:color="auto" w:fill="auto"/>
            <w:vAlign w:val="center"/>
          </w:tcPr>
          <w:p w14:paraId="7AEF6AEB" w14:textId="77777777" w:rsidR="002E1A3F" w:rsidRPr="0037713F" w:rsidRDefault="00B00100" w:rsidP="00F463C2">
            <w:pPr>
              <w:jc w:val="center"/>
              <w:rPr>
                <w:iCs/>
                <w:sz w:val="16"/>
                <w:szCs w:val="16"/>
              </w:rPr>
            </w:pPr>
            <w:r>
              <w:rPr>
                <w:sz w:val="16"/>
                <w:szCs w:val="16"/>
              </w:rPr>
              <w:t>20,08</w:t>
            </w:r>
            <w:r w:rsidR="008A4015">
              <w:rPr>
                <w:sz w:val="16"/>
                <w:szCs w:val="16"/>
              </w:rPr>
              <w:t>3,756</w:t>
            </w:r>
          </w:p>
        </w:tc>
        <w:tc>
          <w:tcPr>
            <w:tcW w:w="610" w:type="dxa"/>
            <w:tcBorders>
              <w:top w:val="single" w:sz="4" w:space="0" w:color="auto"/>
              <w:left w:val="nil"/>
              <w:bottom w:val="single" w:sz="4" w:space="0" w:color="auto"/>
              <w:right w:val="single" w:sz="4" w:space="0" w:color="auto"/>
            </w:tcBorders>
            <w:shd w:val="clear" w:color="auto" w:fill="auto"/>
            <w:vAlign w:val="center"/>
          </w:tcPr>
          <w:p w14:paraId="4DE5ABA3" w14:textId="77777777" w:rsidR="002E1A3F" w:rsidRPr="00B73574" w:rsidRDefault="00B00100" w:rsidP="00FC1A97">
            <w:pPr>
              <w:jc w:val="center"/>
              <w:rPr>
                <w:i/>
                <w:sz w:val="16"/>
                <w:szCs w:val="16"/>
                <w:lang w:eastAsia="fr-FR"/>
              </w:rPr>
            </w:pPr>
            <w:r w:rsidRPr="0037713F">
              <w:rPr>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tcPr>
          <w:p w14:paraId="7EF66633" w14:textId="77777777" w:rsidR="002E1A3F" w:rsidRPr="0037713F" w:rsidRDefault="00B00100" w:rsidP="003247A0">
            <w:pPr>
              <w:rPr>
                <w:sz w:val="16"/>
                <w:szCs w:val="16"/>
              </w:rPr>
            </w:pPr>
            <w:r>
              <w:rPr>
                <w:sz w:val="16"/>
                <w:szCs w:val="16"/>
              </w:rPr>
              <w:t>1,232,778</w:t>
            </w:r>
            <w:r w:rsidR="001C3D35">
              <w:rPr>
                <w:sz w:val="16"/>
                <w:szCs w:val="16"/>
              </w:rPr>
              <w:t xml:space="preserve"> </w:t>
            </w:r>
            <w:r w:rsidR="00FA42DB" w:rsidRPr="0037713F">
              <w:rPr>
                <w:sz w:val="16"/>
                <w:szCs w:val="16"/>
              </w:rPr>
              <w:t>in revenue</w:t>
            </w:r>
          </w:p>
          <w:p w14:paraId="4DBBB880" w14:textId="77777777" w:rsidR="002E1A3F" w:rsidRPr="0037713F" w:rsidRDefault="002E1A3F" w:rsidP="003247A0">
            <w:pPr>
              <w:jc w:val="center"/>
              <w:rPr>
                <w:sz w:val="16"/>
                <w:szCs w:val="16"/>
              </w:rPr>
            </w:pPr>
          </w:p>
          <w:p w14:paraId="35A1D7A6" w14:textId="77777777" w:rsidR="002E1A3F" w:rsidRPr="0037713F" w:rsidRDefault="00B00100" w:rsidP="007118DD">
            <w:pPr>
              <w:jc w:val="center"/>
              <w:rPr>
                <w:sz w:val="16"/>
                <w:szCs w:val="16"/>
              </w:rPr>
            </w:pPr>
            <w:r>
              <w:rPr>
                <w:sz w:val="16"/>
                <w:szCs w:val="16"/>
              </w:rPr>
              <w:t>208</w:t>
            </w:r>
            <w:r w:rsidR="004C7D2B" w:rsidRPr="0037713F">
              <w:rPr>
                <w:sz w:val="16"/>
                <w:szCs w:val="16"/>
              </w:rPr>
              <w:t xml:space="preserve"> </w:t>
            </w:r>
            <w:r w:rsidR="00FA42DB" w:rsidRPr="0037713F">
              <w:rPr>
                <w:sz w:val="16"/>
                <w:szCs w:val="16"/>
              </w:rPr>
              <w:t>Internships</w:t>
            </w:r>
          </w:p>
          <w:p w14:paraId="1CDACA48" w14:textId="77777777" w:rsidR="002E1A3F" w:rsidRPr="0037713F" w:rsidRDefault="002E1A3F" w:rsidP="00B22FEF">
            <w:pPr>
              <w:jc w:val="center"/>
              <w:rPr>
                <w:sz w:val="16"/>
                <w:szCs w:val="16"/>
                <w:lang w:eastAsia="fr-FR"/>
              </w:rPr>
            </w:pPr>
          </w:p>
          <w:p w14:paraId="108EF0DE" w14:textId="77777777" w:rsidR="002E1A3F" w:rsidRPr="0037713F" w:rsidRDefault="00B00100" w:rsidP="00931B2D">
            <w:pPr>
              <w:jc w:val="center"/>
              <w:rPr>
                <w:sz w:val="16"/>
                <w:szCs w:val="16"/>
                <w:lang w:eastAsia="fr-FR"/>
              </w:rPr>
            </w:pPr>
            <w:r>
              <w:rPr>
                <w:sz w:val="16"/>
                <w:szCs w:val="16"/>
                <w:lang w:eastAsia="fr-FR"/>
              </w:rPr>
              <w:t>0</w:t>
            </w:r>
            <w:r w:rsidRPr="0037713F">
              <w:rPr>
                <w:sz w:val="16"/>
                <w:szCs w:val="16"/>
                <w:lang w:eastAsia="fr-FR"/>
              </w:rPr>
              <w:t xml:space="preserve"> </w:t>
            </w:r>
            <w:r w:rsidR="00FA42DB" w:rsidRPr="0037713F">
              <w:rPr>
                <w:sz w:val="16"/>
                <w:szCs w:val="16"/>
                <w:lang w:eastAsia="fr-FR"/>
              </w:rPr>
              <w:t>Entrepreneur milestones</w:t>
            </w:r>
          </w:p>
        </w:tc>
        <w:tc>
          <w:tcPr>
            <w:tcW w:w="1890" w:type="dxa"/>
            <w:tcBorders>
              <w:top w:val="single" w:sz="4" w:space="0" w:color="auto"/>
              <w:left w:val="nil"/>
              <w:bottom w:val="single" w:sz="4" w:space="0" w:color="auto"/>
              <w:right w:val="single" w:sz="4" w:space="0" w:color="auto"/>
            </w:tcBorders>
            <w:shd w:val="clear" w:color="auto" w:fill="auto"/>
            <w:vAlign w:val="center"/>
          </w:tcPr>
          <w:p w14:paraId="56BB3DC7" w14:textId="77777777" w:rsidR="002E1A3F" w:rsidRPr="0037713F" w:rsidRDefault="00B00100" w:rsidP="00126707">
            <w:pPr>
              <w:jc w:val="center"/>
              <w:rPr>
                <w:sz w:val="16"/>
                <w:szCs w:val="16"/>
              </w:rPr>
            </w:pPr>
            <w:r>
              <w:rPr>
                <w:sz w:val="16"/>
                <w:szCs w:val="16"/>
              </w:rPr>
              <w:t>2,901,667 in</w:t>
            </w:r>
            <w:r w:rsidR="00FA42DB" w:rsidRPr="0037713F">
              <w:rPr>
                <w:sz w:val="16"/>
                <w:szCs w:val="16"/>
              </w:rPr>
              <w:t xml:space="preserve"> revenue</w:t>
            </w:r>
          </w:p>
          <w:p w14:paraId="683DDFEB" w14:textId="77777777" w:rsidR="002E1A3F" w:rsidRPr="0037713F" w:rsidRDefault="002E1A3F" w:rsidP="00BC30D6">
            <w:pPr>
              <w:jc w:val="center"/>
              <w:rPr>
                <w:sz w:val="16"/>
                <w:szCs w:val="16"/>
              </w:rPr>
            </w:pPr>
          </w:p>
          <w:p w14:paraId="28C43867" w14:textId="77777777" w:rsidR="002E1A3F" w:rsidRPr="0037713F" w:rsidRDefault="00B00100" w:rsidP="008E2709">
            <w:pPr>
              <w:jc w:val="center"/>
              <w:rPr>
                <w:sz w:val="16"/>
                <w:szCs w:val="16"/>
              </w:rPr>
            </w:pPr>
            <w:r>
              <w:rPr>
                <w:sz w:val="16"/>
                <w:szCs w:val="16"/>
              </w:rPr>
              <w:t>485</w:t>
            </w:r>
            <w:r w:rsidR="009A7DC4" w:rsidRPr="0037713F">
              <w:rPr>
                <w:sz w:val="16"/>
                <w:szCs w:val="16"/>
              </w:rPr>
              <w:t xml:space="preserve"> </w:t>
            </w:r>
            <w:r w:rsidR="00FA42DB" w:rsidRPr="0037713F">
              <w:rPr>
                <w:sz w:val="16"/>
                <w:szCs w:val="16"/>
              </w:rPr>
              <w:t>Internships</w:t>
            </w:r>
          </w:p>
          <w:p w14:paraId="0AB48ED4" w14:textId="77777777" w:rsidR="002E1A3F" w:rsidRPr="0037713F" w:rsidRDefault="002E1A3F" w:rsidP="008E2709">
            <w:pPr>
              <w:jc w:val="center"/>
              <w:rPr>
                <w:sz w:val="16"/>
                <w:szCs w:val="16"/>
                <w:lang w:eastAsia="fr-FR"/>
              </w:rPr>
            </w:pPr>
          </w:p>
          <w:p w14:paraId="4BD81276" w14:textId="77777777" w:rsidR="002E1A3F" w:rsidRPr="0037713F" w:rsidRDefault="00B00100" w:rsidP="008E2709">
            <w:pPr>
              <w:jc w:val="center"/>
              <w:rPr>
                <w:sz w:val="16"/>
                <w:szCs w:val="16"/>
                <w:lang w:eastAsia="fr-FR"/>
              </w:rPr>
            </w:pPr>
            <w:r>
              <w:rPr>
                <w:sz w:val="16"/>
                <w:szCs w:val="16"/>
                <w:lang w:eastAsia="fr-FR"/>
              </w:rPr>
              <w:t>0</w:t>
            </w:r>
            <w:r w:rsidRPr="0037713F">
              <w:rPr>
                <w:sz w:val="16"/>
                <w:szCs w:val="16"/>
                <w:lang w:eastAsia="fr-FR"/>
              </w:rPr>
              <w:t xml:space="preserve"> </w:t>
            </w:r>
            <w:r w:rsidR="00FA42DB" w:rsidRPr="0037713F">
              <w:rPr>
                <w:sz w:val="16"/>
                <w:szCs w:val="16"/>
                <w:lang w:eastAsia="fr-FR"/>
              </w:rPr>
              <w:t>Entrepreneur milestones</w:t>
            </w:r>
          </w:p>
        </w:tc>
        <w:tc>
          <w:tcPr>
            <w:tcW w:w="1851" w:type="dxa"/>
            <w:tcBorders>
              <w:top w:val="single" w:sz="4" w:space="0" w:color="auto"/>
              <w:left w:val="nil"/>
              <w:bottom w:val="single" w:sz="4" w:space="0" w:color="auto"/>
              <w:right w:val="single" w:sz="4" w:space="0" w:color="auto"/>
            </w:tcBorders>
            <w:shd w:val="clear" w:color="auto" w:fill="auto"/>
            <w:vAlign w:val="center"/>
          </w:tcPr>
          <w:p w14:paraId="3B492297" w14:textId="77777777" w:rsidR="002E1A3F" w:rsidRPr="0037713F" w:rsidRDefault="00B00100" w:rsidP="008E2709">
            <w:pPr>
              <w:jc w:val="center"/>
              <w:rPr>
                <w:sz w:val="16"/>
                <w:szCs w:val="16"/>
              </w:rPr>
            </w:pPr>
            <w:r>
              <w:rPr>
                <w:sz w:val="16"/>
                <w:szCs w:val="16"/>
              </w:rPr>
              <w:t>3,656,111 in</w:t>
            </w:r>
            <w:r w:rsidR="00FA42DB" w:rsidRPr="0037713F">
              <w:rPr>
                <w:sz w:val="16"/>
                <w:szCs w:val="16"/>
              </w:rPr>
              <w:t xml:space="preserve"> revenue</w:t>
            </w:r>
          </w:p>
          <w:p w14:paraId="7FC0E001" w14:textId="77777777" w:rsidR="002E1A3F" w:rsidRPr="0037713F" w:rsidRDefault="002E1A3F" w:rsidP="008E2709">
            <w:pPr>
              <w:jc w:val="center"/>
              <w:rPr>
                <w:sz w:val="16"/>
                <w:szCs w:val="16"/>
              </w:rPr>
            </w:pPr>
          </w:p>
          <w:p w14:paraId="255E8ECF" w14:textId="77777777" w:rsidR="002E1A3F" w:rsidRPr="0037713F" w:rsidRDefault="00B00100" w:rsidP="008E2709">
            <w:pPr>
              <w:jc w:val="center"/>
              <w:rPr>
                <w:sz w:val="16"/>
                <w:szCs w:val="16"/>
              </w:rPr>
            </w:pPr>
            <w:r>
              <w:rPr>
                <w:sz w:val="16"/>
                <w:szCs w:val="16"/>
              </w:rPr>
              <w:t xml:space="preserve">562 </w:t>
            </w:r>
            <w:r w:rsidR="00FA42DB" w:rsidRPr="0037713F">
              <w:rPr>
                <w:sz w:val="16"/>
                <w:szCs w:val="16"/>
              </w:rPr>
              <w:t>Internships</w:t>
            </w:r>
          </w:p>
          <w:p w14:paraId="37996C33" w14:textId="77777777" w:rsidR="002E1A3F" w:rsidRPr="0037713F" w:rsidRDefault="002E1A3F" w:rsidP="008E2709">
            <w:pPr>
              <w:jc w:val="center"/>
              <w:rPr>
                <w:sz w:val="16"/>
                <w:szCs w:val="16"/>
                <w:lang w:eastAsia="fr-FR"/>
              </w:rPr>
            </w:pPr>
          </w:p>
          <w:p w14:paraId="13D8A191" w14:textId="77777777" w:rsidR="002E1A3F" w:rsidRPr="0037713F" w:rsidRDefault="00B00100" w:rsidP="008E2709">
            <w:pPr>
              <w:jc w:val="center"/>
              <w:rPr>
                <w:sz w:val="16"/>
                <w:szCs w:val="16"/>
                <w:lang w:eastAsia="fr-FR"/>
              </w:rPr>
            </w:pPr>
            <w:r>
              <w:rPr>
                <w:sz w:val="16"/>
                <w:szCs w:val="16"/>
                <w:lang w:eastAsia="fr-FR"/>
              </w:rPr>
              <w:t>2</w:t>
            </w:r>
            <w:r w:rsidR="00076E85">
              <w:rPr>
                <w:sz w:val="16"/>
                <w:szCs w:val="16"/>
                <w:lang w:eastAsia="fr-FR"/>
              </w:rPr>
              <w:t>3</w:t>
            </w:r>
            <w:r w:rsidR="009A7DC4" w:rsidRPr="0037713F">
              <w:rPr>
                <w:sz w:val="16"/>
                <w:szCs w:val="16"/>
                <w:lang w:eastAsia="fr-FR"/>
              </w:rPr>
              <w:t xml:space="preserve"> </w:t>
            </w:r>
            <w:r w:rsidR="00FA42DB" w:rsidRPr="0037713F">
              <w:rPr>
                <w:sz w:val="16"/>
                <w:szCs w:val="16"/>
                <w:lang w:eastAsia="fr-FR"/>
              </w:rPr>
              <w:t>Entrepreneur milestones</w:t>
            </w:r>
          </w:p>
        </w:tc>
        <w:tc>
          <w:tcPr>
            <w:tcW w:w="1917" w:type="dxa"/>
            <w:tcBorders>
              <w:top w:val="single" w:sz="4" w:space="0" w:color="auto"/>
              <w:left w:val="nil"/>
              <w:bottom w:val="single" w:sz="4" w:space="0" w:color="auto"/>
              <w:right w:val="single" w:sz="4" w:space="0" w:color="auto"/>
            </w:tcBorders>
            <w:shd w:val="clear" w:color="auto" w:fill="auto"/>
            <w:vAlign w:val="center"/>
          </w:tcPr>
          <w:p w14:paraId="78BB04A0" w14:textId="77777777" w:rsidR="002E1A3F" w:rsidRPr="0037713F" w:rsidRDefault="00B00100" w:rsidP="008E2709">
            <w:pPr>
              <w:jc w:val="center"/>
              <w:rPr>
                <w:sz w:val="16"/>
                <w:szCs w:val="16"/>
              </w:rPr>
            </w:pPr>
            <w:r>
              <w:rPr>
                <w:sz w:val="16"/>
                <w:szCs w:val="16"/>
              </w:rPr>
              <w:t>4,344,444</w:t>
            </w:r>
            <w:r w:rsidR="00171B4D" w:rsidRPr="00BD146B">
              <w:rPr>
                <w:sz w:val="16"/>
                <w:szCs w:val="16"/>
              </w:rPr>
              <w:t xml:space="preserve"> </w:t>
            </w:r>
            <w:r w:rsidR="00FA42DB" w:rsidRPr="0037713F">
              <w:rPr>
                <w:sz w:val="16"/>
                <w:szCs w:val="16"/>
              </w:rPr>
              <w:t>in revenue</w:t>
            </w:r>
          </w:p>
          <w:p w14:paraId="39AD5CDF" w14:textId="77777777" w:rsidR="002E1A3F" w:rsidRPr="0037713F" w:rsidRDefault="002E1A3F" w:rsidP="008E2709">
            <w:pPr>
              <w:jc w:val="center"/>
              <w:rPr>
                <w:sz w:val="16"/>
                <w:szCs w:val="16"/>
              </w:rPr>
            </w:pPr>
          </w:p>
          <w:p w14:paraId="4AD09C78" w14:textId="77777777" w:rsidR="002E1A3F" w:rsidRPr="0037713F" w:rsidRDefault="00B00100" w:rsidP="008E2709">
            <w:pPr>
              <w:jc w:val="center"/>
              <w:rPr>
                <w:sz w:val="16"/>
                <w:szCs w:val="16"/>
              </w:rPr>
            </w:pPr>
            <w:r>
              <w:rPr>
                <w:sz w:val="16"/>
                <w:szCs w:val="16"/>
              </w:rPr>
              <w:t>703</w:t>
            </w:r>
            <w:r w:rsidR="00171B4D" w:rsidRPr="00BD146B">
              <w:rPr>
                <w:sz w:val="16"/>
                <w:szCs w:val="16"/>
              </w:rPr>
              <w:t xml:space="preserve"> </w:t>
            </w:r>
            <w:r w:rsidR="00FA42DB" w:rsidRPr="0037713F">
              <w:rPr>
                <w:sz w:val="16"/>
                <w:szCs w:val="16"/>
              </w:rPr>
              <w:t>Internships</w:t>
            </w:r>
          </w:p>
          <w:p w14:paraId="400F900B" w14:textId="77777777" w:rsidR="002E1A3F" w:rsidRPr="0037713F" w:rsidRDefault="002E1A3F" w:rsidP="008E2709">
            <w:pPr>
              <w:jc w:val="center"/>
              <w:rPr>
                <w:sz w:val="16"/>
                <w:szCs w:val="16"/>
                <w:lang w:eastAsia="fr-FR"/>
              </w:rPr>
            </w:pPr>
          </w:p>
          <w:p w14:paraId="3015D7C7" w14:textId="77777777" w:rsidR="002E1A3F" w:rsidRPr="0037713F" w:rsidRDefault="00B00100" w:rsidP="008E2709">
            <w:pPr>
              <w:jc w:val="center"/>
              <w:rPr>
                <w:sz w:val="16"/>
                <w:szCs w:val="16"/>
                <w:lang w:eastAsia="fr-FR"/>
              </w:rPr>
            </w:pPr>
            <w:r>
              <w:rPr>
                <w:sz w:val="16"/>
                <w:szCs w:val="16"/>
                <w:lang w:eastAsia="fr-FR"/>
              </w:rPr>
              <w:t>0</w:t>
            </w:r>
            <w:r w:rsidRPr="0037713F">
              <w:rPr>
                <w:sz w:val="16"/>
                <w:szCs w:val="16"/>
                <w:lang w:eastAsia="fr-FR"/>
              </w:rPr>
              <w:t xml:space="preserve"> </w:t>
            </w:r>
            <w:r w:rsidR="00FA42DB" w:rsidRPr="0037713F">
              <w:rPr>
                <w:sz w:val="16"/>
                <w:szCs w:val="16"/>
                <w:lang w:eastAsia="fr-FR"/>
              </w:rPr>
              <w:t>Entrepreneur milestones</w:t>
            </w:r>
          </w:p>
        </w:tc>
        <w:tc>
          <w:tcPr>
            <w:tcW w:w="1919" w:type="dxa"/>
            <w:tcBorders>
              <w:top w:val="single" w:sz="4" w:space="0" w:color="auto"/>
              <w:left w:val="nil"/>
              <w:bottom w:val="single" w:sz="4" w:space="0" w:color="auto"/>
              <w:right w:val="single" w:sz="4" w:space="0" w:color="auto"/>
            </w:tcBorders>
            <w:shd w:val="clear" w:color="auto" w:fill="auto"/>
            <w:vAlign w:val="center"/>
          </w:tcPr>
          <w:p w14:paraId="5103C8B4" w14:textId="77777777" w:rsidR="002E1A3F" w:rsidRPr="0037713F" w:rsidRDefault="00B00100" w:rsidP="008E2709">
            <w:pPr>
              <w:jc w:val="center"/>
              <w:rPr>
                <w:sz w:val="16"/>
                <w:szCs w:val="16"/>
              </w:rPr>
            </w:pPr>
            <w:r>
              <w:rPr>
                <w:sz w:val="16"/>
                <w:szCs w:val="16"/>
              </w:rPr>
              <w:t>3,579,089</w:t>
            </w:r>
            <w:r w:rsidR="00171B4D" w:rsidRPr="00BD146B">
              <w:rPr>
                <w:sz w:val="16"/>
                <w:szCs w:val="16"/>
              </w:rPr>
              <w:t xml:space="preserve"> </w:t>
            </w:r>
            <w:r w:rsidR="00FA42DB" w:rsidRPr="0037713F">
              <w:rPr>
                <w:sz w:val="16"/>
                <w:szCs w:val="16"/>
              </w:rPr>
              <w:t>in revenue</w:t>
            </w:r>
          </w:p>
          <w:p w14:paraId="1937924F" w14:textId="77777777" w:rsidR="002E1A3F" w:rsidRPr="0037713F" w:rsidRDefault="002E1A3F" w:rsidP="008E2709">
            <w:pPr>
              <w:jc w:val="center"/>
              <w:rPr>
                <w:sz w:val="16"/>
                <w:szCs w:val="16"/>
              </w:rPr>
            </w:pPr>
          </w:p>
          <w:p w14:paraId="03F4B047" w14:textId="77777777" w:rsidR="002E1A3F" w:rsidRPr="0037713F" w:rsidRDefault="00B00100" w:rsidP="008E2709">
            <w:pPr>
              <w:jc w:val="center"/>
              <w:rPr>
                <w:sz w:val="16"/>
                <w:szCs w:val="16"/>
              </w:rPr>
            </w:pPr>
            <w:r w:rsidRPr="000546A7">
              <w:rPr>
                <w:sz w:val="16"/>
                <w:szCs w:val="16"/>
              </w:rPr>
              <w:t>783</w:t>
            </w:r>
            <w:r w:rsidR="00171B4D" w:rsidRPr="00BD146B">
              <w:rPr>
                <w:sz w:val="16"/>
                <w:szCs w:val="16"/>
              </w:rPr>
              <w:t xml:space="preserve"> </w:t>
            </w:r>
            <w:r w:rsidR="00FA42DB" w:rsidRPr="0037713F">
              <w:rPr>
                <w:sz w:val="16"/>
                <w:szCs w:val="16"/>
              </w:rPr>
              <w:t>Internships</w:t>
            </w:r>
          </w:p>
          <w:p w14:paraId="5D1B4385" w14:textId="77777777" w:rsidR="002E1A3F" w:rsidRPr="0037713F" w:rsidRDefault="002E1A3F" w:rsidP="008E2709">
            <w:pPr>
              <w:jc w:val="center"/>
              <w:rPr>
                <w:sz w:val="16"/>
                <w:szCs w:val="16"/>
                <w:lang w:eastAsia="fr-FR"/>
              </w:rPr>
            </w:pPr>
          </w:p>
          <w:p w14:paraId="79FA3A34" w14:textId="77777777" w:rsidR="002E1A3F" w:rsidRPr="0037713F" w:rsidRDefault="00B00100" w:rsidP="008E2709">
            <w:pPr>
              <w:jc w:val="center"/>
              <w:rPr>
                <w:sz w:val="16"/>
                <w:szCs w:val="16"/>
                <w:lang w:eastAsia="fr-FR"/>
              </w:rPr>
            </w:pPr>
            <w:r>
              <w:rPr>
                <w:sz w:val="16"/>
                <w:szCs w:val="16"/>
                <w:lang w:eastAsia="fr-FR"/>
              </w:rPr>
              <w:t>1</w:t>
            </w:r>
            <w:r w:rsidR="00BD146B" w:rsidRPr="00BD146B">
              <w:rPr>
                <w:sz w:val="16"/>
                <w:szCs w:val="16"/>
                <w:lang w:eastAsia="fr-FR"/>
              </w:rPr>
              <w:t xml:space="preserve"> </w:t>
            </w:r>
            <w:r w:rsidR="00FA42DB" w:rsidRPr="0037713F">
              <w:rPr>
                <w:sz w:val="16"/>
                <w:szCs w:val="16"/>
                <w:lang w:eastAsia="fr-FR"/>
              </w:rPr>
              <w:t>Entrepreneur milestones</w:t>
            </w:r>
          </w:p>
        </w:tc>
      </w:tr>
      <w:tr w:rsidR="000C3959" w14:paraId="23DF470B" w14:textId="77777777" w:rsidTr="008E2709">
        <w:trPr>
          <w:trHeight w:val="252"/>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ADDE2" w14:textId="77777777" w:rsidR="002E1A3F" w:rsidRPr="00DB6F8A" w:rsidRDefault="00B00100" w:rsidP="00404D02">
            <w:pPr>
              <w:rPr>
                <w:i/>
                <w:iCs/>
                <w:sz w:val="16"/>
                <w:szCs w:val="16"/>
                <w:lang w:eastAsia="fr-FR"/>
              </w:rPr>
            </w:pPr>
            <w:r w:rsidRPr="00A84035">
              <w:rPr>
                <w:i/>
                <w:iCs/>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vAlign w:val="center"/>
          </w:tcPr>
          <w:p w14:paraId="54FF1073" w14:textId="77777777" w:rsidR="002E1A3F" w:rsidRPr="00DB6F8A" w:rsidRDefault="00B00100" w:rsidP="00F463C2">
            <w:pPr>
              <w:jc w:val="center"/>
              <w:rPr>
                <w:i/>
                <w:iCs/>
                <w:sz w:val="16"/>
                <w:szCs w:val="16"/>
              </w:rPr>
            </w:pPr>
            <w:r>
              <w:rPr>
                <w:sz w:val="16"/>
                <w:szCs w:val="16"/>
              </w:rPr>
              <w:t>20,083,756</w:t>
            </w:r>
          </w:p>
        </w:tc>
        <w:tc>
          <w:tcPr>
            <w:tcW w:w="610" w:type="dxa"/>
            <w:tcBorders>
              <w:top w:val="single" w:sz="4" w:space="0" w:color="auto"/>
              <w:left w:val="nil"/>
              <w:bottom w:val="single" w:sz="4" w:space="0" w:color="auto"/>
              <w:right w:val="single" w:sz="4" w:space="0" w:color="auto"/>
            </w:tcBorders>
            <w:shd w:val="clear" w:color="auto" w:fill="auto"/>
            <w:vAlign w:val="center"/>
          </w:tcPr>
          <w:p w14:paraId="5826F473" w14:textId="77777777" w:rsidR="002E1A3F" w:rsidRPr="00DB6F8A" w:rsidRDefault="00B00100" w:rsidP="00FC1A97">
            <w:pPr>
              <w:jc w:val="center"/>
              <w:rPr>
                <w:i/>
                <w:sz w:val="16"/>
                <w:szCs w:val="16"/>
                <w:lang w:eastAsia="fr-FR"/>
              </w:rPr>
            </w:pPr>
            <w:r>
              <w:rPr>
                <w:sz w:val="16"/>
                <w:szCs w:val="16"/>
              </w:rPr>
              <w:t>0</w:t>
            </w:r>
          </w:p>
        </w:tc>
        <w:tc>
          <w:tcPr>
            <w:tcW w:w="1836" w:type="dxa"/>
            <w:tcBorders>
              <w:top w:val="single" w:sz="4" w:space="0" w:color="auto"/>
              <w:left w:val="nil"/>
              <w:bottom w:val="single" w:sz="4" w:space="0" w:color="auto"/>
              <w:right w:val="single" w:sz="4" w:space="0" w:color="auto"/>
            </w:tcBorders>
            <w:shd w:val="clear" w:color="auto" w:fill="auto"/>
            <w:vAlign w:val="center"/>
          </w:tcPr>
          <w:p w14:paraId="697CD676" w14:textId="77777777" w:rsidR="002E1A3F" w:rsidRPr="00DB6F8A" w:rsidRDefault="00B00100" w:rsidP="003247A0">
            <w:pPr>
              <w:jc w:val="center"/>
              <w:rPr>
                <w:i/>
                <w:sz w:val="16"/>
                <w:szCs w:val="16"/>
                <w:lang w:eastAsia="fr-FR"/>
              </w:rPr>
            </w:pPr>
            <w:r>
              <w:rPr>
                <w:sz w:val="16"/>
                <w:szCs w:val="16"/>
              </w:rPr>
              <w:t>1,440,667</w:t>
            </w:r>
          </w:p>
        </w:tc>
        <w:tc>
          <w:tcPr>
            <w:tcW w:w="1890" w:type="dxa"/>
            <w:tcBorders>
              <w:top w:val="single" w:sz="4" w:space="0" w:color="auto"/>
              <w:left w:val="nil"/>
              <w:bottom w:val="single" w:sz="4" w:space="0" w:color="auto"/>
              <w:right w:val="single" w:sz="4" w:space="0" w:color="auto"/>
            </w:tcBorders>
            <w:shd w:val="clear" w:color="auto" w:fill="auto"/>
            <w:vAlign w:val="center"/>
          </w:tcPr>
          <w:p w14:paraId="753C6247" w14:textId="77777777" w:rsidR="002E1A3F" w:rsidRPr="00DB6F8A" w:rsidRDefault="00B00100" w:rsidP="003247A0">
            <w:pPr>
              <w:jc w:val="center"/>
              <w:rPr>
                <w:i/>
                <w:sz w:val="16"/>
                <w:szCs w:val="16"/>
                <w:lang w:eastAsia="fr-FR"/>
              </w:rPr>
            </w:pPr>
            <w:r>
              <w:rPr>
                <w:sz w:val="16"/>
                <w:szCs w:val="16"/>
              </w:rPr>
              <w:t>3,386,778</w:t>
            </w:r>
          </w:p>
        </w:tc>
        <w:tc>
          <w:tcPr>
            <w:tcW w:w="1851" w:type="dxa"/>
            <w:tcBorders>
              <w:top w:val="single" w:sz="4" w:space="0" w:color="auto"/>
              <w:left w:val="nil"/>
              <w:bottom w:val="single" w:sz="4" w:space="0" w:color="auto"/>
              <w:right w:val="single" w:sz="4" w:space="0" w:color="auto"/>
            </w:tcBorders>
            <w:shd w:val="clear" w:color="auto" w:fill="auto"/>
            <w:vAlign w:val="center"/>
          </w:tcPr>
          <w:p w14:paraId="28932FD6" w14:textId="77777777" w:rsidR="002E1A3F" w:rsidRPr="00DB6F8A" w:rsidRDefault="00B00100" w:rsidP="007118DD">
            <w:pPr>
              <w:jc w:val="center"/>
              <w:rPr>
                <w:i/>
                <w:sz w:val="16"/>
                <w:szCs w:val="16"/>
                <w:lang w:eastAsia="fr-FR"/>
              </w:rPr>
            </w:pPr>
            <w:r>
              <w:rPr>
                <w:sz w:val="16"/>
                <w:szCs w:val="16"/>
              </w:rPr>
              <w:t>5,</w:t>
            </w:r>
            <w:r w:rsidR="0079576D">
              <w:rPr>
                <w:sz w:val="16"/>
                <w:szCs w:val="16"/>
              </w:rPr>
              <w:t>746,667</w:t>
            </w:r>
          </w:p>
        </w:tc>
        <w:tc>
          <w:tcPr>
            <w:tcW w:w="1917" w:type="dxa"/>
            <w:tcBorders>
              <w:top w:val="single" w:sz="4" w:space="0" w:color="auto"/>
              <w:left w:val="nil"/>
              <w:bottom w:val="single" w:sz="4" w:space="0" w:color="auto"/>
              <w:right w:val="single" w:sz="4" w:space="0" w:color="auto"/>
            </w:tcBorders>
            <w:shd w:val="clear" w:color="auto" w:fill="auto"/>
            <w:vAlign w:val="center"/>
          </w:tcPr>
          <w:p w14:paraId="319EE9E7" w14:textId="77777777" w:rsidR="002E1A3F" w:rsidRPr="00DB6F8A" w:rsidRDefault="00B00100" w:rsidP="00B22FEF">
            <w:pPr>
              <w:jc w:val="center"/>
              <w:rPr>
                <w:i/>
                <w:sz w:val="16"/>
                <w:szCs w:val="16"/>
                <w:lang w:eastAsia="fr-FR"/>
              </w:rPr>
            </w:pPr>
            <w:r>
              <w:rPr>
                <w:sz w:val="16"/>
                <w:szCs w:val="16"/>
              </w:rPr>
              <w:t>5,047,222</w:t>
            </w:r>
          </w:p>
        </w:tc>
        <w:tc>
          <w:tcPr>
            <w:tcW w:w="1919" w:type="dxa"/>
            <w:tcBorders>
              <w:top w:val="single" w:sz="4" w:space="0" w:color="auto"/>
              <w:left w:val="nil"/>
              <w:bottom w:val="single" w:sz="4" w:space="0" w:color="auto"/>
              <w:right w:val="single" w:sz="4" w:space="0" w:color="auto"/>
            </w:tcBorders>
            <w:shd w:val="clear" w:color="auto" w:fill="auto"/>
            <w:vAlign w:val="center"/>
          </w:tcPr>
          <w:p w14:paraId="38800F7F" w14:textId="77777777" w:rsidR="002E1A3F" w:rsidRPr="00DB6F8A" w:rsidRDefault="00B00100" w:rsidP="00931B2D">
            <w:pPr>
              <w:jc w:val="center"/>
              <w:rPr>
                <w:i/>
                <w:sz w:val="16"/>
                <w:szCs w:val="16"/>
                <w:lang w:eastAsia="fr-FR"/>
              </w:rPr>
            </w:pPr>
            <w:r>
              <w:rPr>
                <w:sz w:val="16"/>
                <w:szCs w:val="16"/>
              </w:rPr>
              <w:t>4,462,422</w:t>
            </w:r>
          </w:p>
        </w:tc>
      </w:tr>
      <w:tr w:rsidR="000C3959" w14:paraId="3C92B386" w14:textId="77777777" w:rsidTr="008E2709">
        <w:trPr>
          <w:trHeight w:val="2187"/>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248C" w14:textId="77777777" w:rsidR="002E1A3F" w:rsidRPr="00DB6F8A" w:rsidRDefault="00B00100" w:rsidP="00404D02">
            <w:pPr>
              <w:rPr>
                <w:i/>
                <w:iCs/>
                <w:sz w:val="16"/>
                <w:szCs w:val="16"/>
                <w:lang w:eastAsia="fr-FR"/>
              </w:rPr>
            </w:pPr>
            <w:r w:rsidRPr="0037713F">
              <w:rPr>
                <w:b/>
                <w:bCs/>
                <w:sz w:val="16"/>
                <w:szCs w:val="16"/>
                <w:lang w:eastAsia="fr-FR"/>
              </w:rPr>
              <w:lastRenderedPageBreak/>
              <w:t>DLI 6</w:t>
            </w:r>
            <w:r w:rsidRPr="0037713F">
              <w:rPr>
                <w:sz w:val="16"/>
                <w:szCs w:val="16"/>
                <w:lang w:eastAsia="fr-FR"/>
              </w:rPr>
              <w:t>: Timeliness and quality of fiduciary reporting</w:t>
            </w:r>
          </w:p>
        </w:tc>
        <w:tc>
          <w:tcPr>
            <w:tcW w:w="1220" w:type="dxa"/>
            <w:tcBorders>
              <w:top w:val="single" w:sz="4" w:space="0" w:color="auto"/>
              <w:left w:val="nil"/>
              <w:bottom w:val="single" w:sz="4" w:space="0" w:color="auto"/>
              <w:right w:val="single" w:sz="4" w:space="0" w:color="auto"/>
            </w:tcBorders>
            <w:shd w:val="clear" w:color="auto" w:fill="auto"/>
            <w:vAlign w:val="center"/>
          </w:tcPr>
          <w:p w14:paraId="0B47E781" w14:textId="77777777" w:rsidR="002E1A3F" w:rsidRPr="0037713F" w:rsidRDefault="00B00100" w:rsidP="00F463C2">
            <w:pPr>
              <w:jc w:val="center"/>
              <w:rPr>
                <w:iCs/>
                <w:sz w:val="16"/>
                <w:szCs w:val="16"/>
              </w:rPr>
            </w:pPr>
            <w:r>
              <w:rPr>
                <w:sz w:val="16"/>
                <w:szCs w:val="16"/>
              </w:rPr>
              <w:t>4,797,667</w:t>
            </w:r>
          </w:p>
        </w:tc>
        <w:tc>
          <w:tcPr>
            <w:tcW w:w="610" w:type="dxa"/>
            <w:tcBorders>
              <w:top w:val="single" w:sz="4" w:space="0" w:color="auto"/>
              <w:left w:val="nil"/>
              <w:bottom w:val="single" w:sz="4" w:space="0" w:color="auto"/>
              <w:right w:val="single" w:sz="4" w:space="0" w:color="auto"/>
            </w:tcBorders>
            <w:shd w:val="clear" w:color="auto" w:fill="auto"/>
            <w:vAlign w:val="center"/>
          </w:tcPr>
          <w:p w14:paraId="6088EEC4" w14:textId="77777777" w:rsidR="002E1A3F" w:rsidRPr="00DB6F8A" w:rsidRDefault="00B00100" w:rsidP="00FC1A97">
            <w:pPr>
              <w:jc w:val="center"/>
              <w:rPr>
                <w:i/>
                <w:sz w:val="16"/>
                <w:szCs w:val="16"/>
                <w:lang w:eastAsia="fr-FR"/>
              </w:rPr>
            </w:pPr>
            <w:r w:rsidRPr="0037713F">
              <w:rPr>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tcPr>
          <w:p w14:paraId="003CCA2C" w14:textId="77777777" w:rsidR="002E1A3F" w:rsidRPr="0037713F" w:rsidRDefault="00B00100" w:rsidP="003247A0">
            <w:pPr>
              <w:jc w:val="center"/>
              <w:rPr>
                <w:sz w:val="16"/>
                <w:szCs w:val="16"/>
                <w:lang w:eastAsia="fr-FR"/>
              </w:rPr>
            </w:pPr>
            <w:r>
              <w:rPr>
                <w:sz w:val="16"/>
                <w:szCs w:val="16"/>
                <w:lang w:eastAsia="fr-FR"/>
              </w:rPr>
              <w:t>1</w:t>
            </w:r>
            <w:r w:rsidR="005E1421">
              <w:rPr>
                <w:sz w:val="16"/>
                <w:szCs w:val="16"/>
                <w:lang w:eastAsia="fr-FR"/>
              </w:rPr>
              <w:t>2</w:t>
            </w:r>
            <w:r w:rsidR="00FA42DB" w:rsidRPr="0037713F">
              <w:rPr>
                <w:sz w:val="16"/>
                <w:szCs w:val="16"/>
                <w:lang w:eastAsia="fr-FR"/>
              </w:rPr>
              <w:t>Timely Fiduciary reporting</w:t>
            </w:r>
          </w:p>
          <w:p w14:paraId="37249BDA" w14:textId="77777777" w:rsidR="002E1A3F" w:rsidRPr="0037713F" w:rsidRDefault="002E1A3F" w:rsidP="003247A0">
            <w:pPr>
              <w:jc w:val="center"/>
              <w:rPr>
                <w:sz w:val="16"/>
                <w:szCs w:val="16"/>
                <w:lang w:eastAsia="fr-FR"/>
              </w:rPr>
            </w:pPr>
          </w:p>
          <w:p w14:paraId="127BD7EF" w14:textId="77777777" w:rsidR="002E1A3F" w:rsidRPr="0037713F" w:rsidRDefault="00B00100" w:rsidP="007118DD">
            <w:pPr>
              <w:jc w:val="center"/>
              <w:rPr>
                <w:sz w:val="16"/>
                <w:szCs w:val="16"/>
                <w:lang w:eastAsia="fr-FR"/>
              </w:rPr>
            </w:pPr>
            <w:r>
              <w:rPr>
                <w:sz w:val="16"/>
                <w:szCs w:val="16"/>
                <w:lang w:eastAsia="fr-FR"/>
              </w:rPr>
              <w:t>2</w:t>
            </w:r>
            <w:r w:rsidR="005E1421">
              <w:rPr>
                <w:sz w:val="16"/>
                <w:szCs w:val="16"/>
                <w:lang w:eastAsia="fr-FR"/>
              </w:rPr>
              <w:t>1</w:t>
            </w:r>
            <w:r w:rsidR="00FA42DB" w:rsidRPr="0037713F">
              <w:rPr>
                <w:sz w:val="16"/>
                <w:szCs w:val="16"/>
                <w:lang w:eastAsia="fr-FR"/>
              </w:rPr>
              <w:t xml:space="preserve"> Functional institutional oversight of fiduciary mngt</w:t>
            </w:r>
          </w:p>
          <w:p w14:paraId="3417B69B" w14:textId="77777777" w:rsidR="002E1A3F" w:rsidRPr="00DB6F8A" w:rsidRDefault="002E1A3F" w:rsidP="00B22FEF">
            <w:pPr>
              <w:jc w:val="center"/>
              <w:rPr>
                <w:i/>
                <w:sz w:val="16"/>
                <w:szCs w:val="16"/>
                <w:lang w:eastAsia="fr-FR"/>
              </w:rPr>
            </w:pPr>
          </w:p>
          <w:p w14:paraId="0CC5166D" w14:textId="77777777" w:rsidR="002E1A3F" w:rsidRPr="0037713F" w:rsidRDefault="00B00100" w:rsidP="00931B2D">
            <w:pPr>
              <w:jc w:val="center"/>
              <w:rPr>
                <w:sz w:val="16"/>
                <w:szCs w:val="16"/>
                <w:lang w:eastAsia="fr-FR"/>
              </w:rPr>
            </w:pPr>
            <w:r>
              <w:rPr>
                <w:sz w:val="16"/>
                <w:szCs w:val="16"/>
                <w:lang w:eastAsia="fr-FR"/>
              </w:rPr>
              <w:t>2</w:t>
            </w:r>
            <w:r w:rsidR="00F915D6">
              <w:rPr>
                <w:sz w:val="16"/>
                <w:szCs w:val="16"/>
                <w:lang w:eastAsia="fr-FR"/>
              </w:rPr>
              <w:t>6</w:t>
            </w:r>
            <w:r w:rsidR="00713A4B" w:rsidRPr="0037713F">
              <w:rPr>
                <w:sz w:val="16"/>
                <w:szCs w:val="16"/>
                <w:lang w:eastAsia="fr-FR"/>
              </w:rPr>
              <w:t xml:space="preserve"> </w:t>
            </w:r>
            <w:r w:rsidR="00FA42DB" w:rsidRPr="0037713F">
              <w:rPr>
                <w:sz w:val="16"/>
                <w:szCs w:val="16"/>
                <w:lang w:eastAsia="fr-FR"/>
              </w:rPr>
              <w:t>transparency of ACE expenses</w:t>
            </w:r>
          </w:p>
          <w:p w14:paraId="7FFA1D53" w14:textId="77777777" w:rsidR="002E1A3F" w:rsidRPr="0037713F" w:rsidRDefault="002E1A3F" w:rsidP="00126707">
            <w:pPr>
              <w:jc w:val="center"/>
              <w:rPr>
                <w:sz w:val="16"/>
                <w:szCs w:val="16"/>
                <w:lang w:eastAsia="fr-FR"/>
              </w:rPr>
            </w:pPr>
          </w:p>
          <w:p w14:paraId="3943EF2A" w14:textId="77777777" w:rsidR="002E1A3F" w:rsidRPr="00DB6F8A" w:rsidRDefault="00B00100" w:rsidP="00BC30D6">
            <w:pPr>
              <w:jc w:val="center"/>
              <w:rPr>
                <w:i/>
                <w:sz w:val="16"/>
                <w:szCs w:val="16"/>
                <w:lang w:eastAsia="fr-FR"/>
              </w:rPr>
            </w:pPr>
            <w:r>
              <w:rPr>
                <w:sz w:val="16"/>
                <w:szCs w:val="16"/>
                <w:lang w:eastAsia="fr-FR"/>
              </w:rPr>
              <w:t>0</w:t>
            </w:r>
            <w:r w:rsidR="00FA42DB" w:rsidRPr="0037713F">
              <w:rPr>
                <w:sz w:val="16"/>
                <w:szCs w:val="16"/>
                <w:lang w:eastAsia="fr-FR"/>
              </w:rPr>
              <w:t xml:space="preserve"> quality of procurement planning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7E3AFB64" w14:textId="77777777" w:rsidR="002E1A3F" w:rsidRPr="0037713F" w:rsidRDefault="00B00100" w:rsidP="008E2709">
            <w:pPr>
              <w:jc w:val="center"/>
              <w:rPr>
                <w:sz w:val="16"/>
                <w:szCs w:val="16"/>
                <w:lang w:eastAsia="fr-FR"/>
              </w:rPr>
            </w:pPr>
            <w:r>
              <w:rPr>
                <w:sz w:val="16"/>
                <w:szCs w:val="16"/>
                <w:lang w:eastAsia="fr-FR"/>
              </w:rPr>
              <w:t>2</w:t>
            </w:r>
            <w:r w:rsidR="00F25FCA">
              <w:rPr>
                <w:sz w:val="16"/>
                <w:szCs w:val="16"/>
                <w:lang w:eastAsia="fr-FR"/>
              </w:rPr>
              <w:t>6</w:t>
            </w:r>
            <w:r w:rsidR="00713A4B">
              <w:rPr>
                <w:sz w:val="16"/>
                <w:szCs w:val="16"/>
                <w:lang w:eastAsia="fr-FR"/>
              </w:rPr>
              <w:t xml:space="preserve"> </w:t>
            </w:r>
            <w:r w:rsidR="00FA42DB" w:rsidRPr="0037713F">
              <w:rPr>
                <w:sz w:val="16"/>
                <w:szCs w:val="16"/>
                <w:lang w:eastAsia="fr-FR"/>
              </w:rPr>
              <w:t>Timely Fiduciary reporting</w:t>
            </w:r>
          </w:p>
          <w:p w14:paraId="37CB2310" w14:textId="77777777" w:rsidR="002E1A3F" w:rsidRPr="0037713F" w:rsidRDefault="002E1A3F" w:rsidP="008E2709">
            <w:pPr>
              <w:jc w:val="center"/>
              <w:rPr>
                <w:sz w:val="16"/>
                <w:szCs w:val="16"/>
                <w:lang w:eastAsia="fr-FR"/>
              </w:rPr>
            </w:pPr>
          </w:p>
          <w:p w14:paraId="070D00D8" w14:textId="77777777" w:rsidR="002E1A3F" w:rsidRPr="0037713F" w:rsidRDefault="00B00100" w:rsidP="008E2709">
            <w:pPr>
              <w:jc w:val="center"/>
              <w:rPr>
                <w:sz w:val="16"/>
                <w:szCs w:val="16"/>
                <w:lang w:eastAsia="fr-FR"/>
              </w:rPr>
            </w:pPr>
            <w:r>
              <w:rPr>
                <w:sz w:val="16"/>
                <w:szCs w:val="16"/>
                <w:lang w:eastAsia="fr-FR"/>
              </w:rPr>
              <w:t xml:space="preserve">26 </w:t>
            </w:r>
            <w:r w:rsidRPr="0037713F">
              <w:rPr>
                <w:sz w:val="16"/>
                <w:szCs w:val="16"/>
                <w:lang w:eastAsia="fr-FR"/>
              </w:rPr>
              <w:t>Functional</w:t>
            </w:r>
            <w:r w:rsidR="00FA42DB" w:rsidRPr="0037713F">
              <w:rPr>
                <w:sz w:val="16"/>
                <w:szCs w:val="16"/>
                <w:lang w:eastAsia="fr-FR"/>
              </w:rPr>
              <w:t xml:space="preserve"> institutional oversight of fiduciary mngt</w:t>
            </w:r>
          </w:p>
          <w:p w14:paraId="18E624C1" w14:textId="77777777" w:rsidR="002E1A3F" w:rsidRPr="00DB6F8A" w:rsidRDefault="002E1A3F" w:rsidP="008E2709">
            <w:pPr>
              <w:jc w:val="center"/>
              <w:rPr>
                <w:i/>
                <w:sz w:val="16"/>
                <w:szCs w:val="16"/>
                <w:lang w:eastAsia="fr-FR"/>
              </w:rPr>
            </w:pPr>
          </w:p>
          <w:p w14:paraId="501CC220" w14:textId="77777777" w:rsidR="002E1A3F" w:rsidRPr="0037713F" w:rsidRDefault="00B00100" w:rsidP="008E2709">
            <w:pPr>
              <w:jc w:val="center"/>
              <w:rPr>
                <w:sz w:val="16"/>
                <w:szCs w:val="16"/>
                <w:lang w:eastAsia="fr-FR"/>
              </w:rPr>
            </w:pPr>
            <w:r>
              <w:rPr>
                <w:sz w:val="16"/>
                <w:szCs w:val="16"/>
                <w:lang w:eastAsia="fr-FR"/>
              </w:rPr>
              <w:t>2</w:t>
            </w:r>
            <w:r w:rsidR="00FA0196">
              <w:rPr>
                <w:sz w:val="16"/>
                <w:szCs w:val="16"/>
                <w:lang w:eastAsia="fr-FR"/>
              </w:rPr>
              <w:t>6</w:t>
            </w:r>
            <w:r w:rsidR="00713A4B" w:rsidRPr="0037713F">
              <w:rPr>
                <w:sz w:val="16"/>
                <w:szCs w:val="16"/>
                <w:lang w:eastAsia="fr-FR"/>
              </w:rPr>
              <w:t xml:space="preserve"> </w:t>
            </w:r>
            <w:r w:rsidR="00FA42DB" w:rsidRPr="0037713F">
              <w:rPr>
                <w:sz w:val="16"/>
                <w:szCs w:val="16"/>
                <w:lang w:eastAsia="fr-FR"/>
              </w:rPr>
              <w:t>transparency of ACE expenses</w:t>
            </w:r>
          </w:p>
          <w:p w14:paraId="7A50206F" w14:textId="77777777" w:rsidR="002E1A3F" w:rsidRPr="0037713F" w:rsidRDefault="002E1A3F" w:rsidP="008E2709">
            <w:pPr>
              <w:jc w:val="center"/>
              <w:rPr>
                <w:sz w:val="16"/>
                <w:szCs w:val="16"/>
                <w:lang w:eastAsia="fr-FR"/>
              </w:rPr>
            </w:pPr>
          </w:p>
          <w:p w14:paraId="6EF94838" w14:textId="77777777" w:rsidR="002E1A3F" w:rsidRPr="000C46A6" w:rsidRDefault="00B00100" w:rsidP="008E2709">
            <w:pPr>
              <w:jc w:val="center"/>
              <w:rPr>
                <w:b/>
                <w:sz w:val="16"/>
                <w:szCs w:val="16"/>
                <w:lang w:eastAsia="fr-FR"/>
              </w:rPr>
            </w:pPr>
            <w:r>
              <w:rPr>
                <w:sz w:val="16"/>
                <w:szCs w:val="16"/>
                <w:lang w:eastAsia="fr-FR"/>
              </w:rPr>
              <w:t>26</w:t>
            </w:r>
            <w:r w:rsidR="00FA42DB" w:rsidRPr="0037713F">
              <w:rPr>
                <w:sz w:val="16"/>
                <w:szCs w:val="16"/>
                <w:lang w:eastAsia="fr-FR"/>
              </w:rPr>
              <w:t xml:space="preserve"> quality of procurement planning</w:t>
            </w:r>
          </w:p>
        </w:tc>
        <w:tc>
          <w:tcPr>
            <w:tcW w:w="1851" w:type="dxa"/>
            <w:tcBorders>
              <w:top w:val="single" w:sz="4" w:space="0" w:color="auto"/>
              <w:left w:val="nil"/>
              <w:bottom w:val="single" w:sz="4" w:space="0" w:color="auto"/>
              <w:right w:val="single" w:sz="4" w:space="0" w:color="auto"/>
            </w:tcBorders>
            <w:shd w:val="clear" w:color="auto" w:fill="auto"/>
            <w:vAlign w:val="center"/>
          </w:tcPr>
          <w:p w14:paraId="6C547CF5" w14:textId="77777777" w:rsidR="002E1A3F" w:rsidRPr="0037713F" w:rsidRDefault="00B00100" w:rsidP="008E2709">
            <w:pPr>
              <w:jc w:val="center"/>
              <w:rPr>
                <w:sz w:val="16"/>
                <w:szCs w:val="16"/>
                <w:lang w:eastAsia="fr-FR"/>
              </w:rPr>
            </w:pPr>
            <w:r>
              <w:rPr>
                <w:sz w:val="16"/>
                <w:szCs w:val="16"/>
                <w:lang w:eastAsia="fr-FR"/>
              </w:rPr>
              <w:t>2</w:t>
            </w:r>
            <w:r w:rsidR="00FA0196">
              <w:rPr>
                <w:sz w:val="16"/>
                <w:szCs w:val="16"/>
                <w:lang w:eastAsia="fr-FR"/>
              </w:rPr>
              <w:t>6</w:t>
            </w:r>
            <w:r w:rsidR="009A4E98" w:rsidRPr="009A4E98">
              <w:rPr>
                <w:sz w:val="16"/>
                <w:szCs w:val="16"/>
                <w:lang w:eastAsia="fr-FR"/>
              </w:rPr>
              <w:t xml:space="preserve"> </w:t>
            </w:r>
            <w:r w:rsidR="00FA42DB" w:rsidRPr="0037713F">
              <w:rPr>
                <w:sz w:val="16"/>
                <w:szCs w:val="16"/>
                <w:lang w:eastAsia="fr-FR"/>
              </w:rPr>
              <w:t>Timely Fiduciary reporting</w:t>
            </w:r>
          </w:p>
          <w:p w14:paraId="004AC383" w14:textId="77777777" w:rsidR="002E1A3F" w:rsidRPr="0037713F" w:rsidRDefault="002E1A3F" w:rsidP="008E2709">
            <w:pPr>
              <w:jc w:val="center"/>
              <w:rPr>
                <w:sz w:val="16"/>
                <w:szCs w:val="16"/>
                <w:lang w:eastAsia="fr-FR"/>
              </w:rPr>
            </w:pPr>
          </w:p>
          <w:p w14:paraId="4F3B197C" w14:textId="77777777" w:rsidR="002E1A3F" w:rsidRPr="0037713F" w:rsidRDefault="00B00100" w:rsidP="008E2709">
            <w:pPr>
              <w:jc w:val="center"/>
              <w:rPr>
                <w:sz w:val="16"/>
                <w:szCs w:val="16"/>
                <w:lang w:eastAsia="fr-FR"/>
              </w:rPr>
            </w:pPr>
            <w:r>
              <w:rPr>
                <w:sz w:val="16"/>
                <w:szCs w:val="16"/>
                <w:lang w:eastAsia="fr-FR"/>
              </w:rPr>
              <w:t>7</w:t>
            </w:r>
            <w:r w:rsidR="00FA42DB" w:rsidRPr="0037713F">
              <w:rPr>
                <w:sz w:val="16"/>
                <w:szCs w:val="16"/>
                <w:lang w:eastAsia="fr-FR"/>
              </w:rPr>
              <w:t xml:space="preserve"> Functional institutional oversight of fiduciary mngt</w:t>
            </w:r>
          </w:p>
          <w:p w14:paraId="294D79EC" w14:textId="77777777" w:rsidR="002E1A3F" w:rsidRPr="000C46A6" w:rsidRDefault="002E1A3F" w:rsidP="008E2709">
            <w:pPr>
              <w:jc w:val="center"/>
              <w:rPr>
                <w:sz w:val="16"/>
                <w:szCs w:val="16"/>
                <w:lang w:eastAsia="fr-FR"/>
              </w:rPr>
            </w:pPr>
          </w:p>
          <w:p w14:paraId="1C4B2CBA" w14:textId="77777777" w:rsidR="002E1A3F" w:rsidRPr="0037713F" w:rsidRDefault="00B00100" w:rsidP="008E2709">
            <w:pPr>
              <w:jc w:val="center"/>
              <w:rPr>
                <w:sz w:val="16"/>
                <w:szCs w:val="16"/>
                <w:lang w:eastAsia="fr-FR"/>
              </w:rPr>
            </w:pPr>
            <w:r>
              <w:rPr>
                <w:sz w:val="16"/>
                <w:szCs w:val="16"/>
                <w:lang w:eastAsia="fr-FR"/>
              </w:rPr>
              <w:t>2</w:t>
            </w:r>
            <w:r w:rsidR="00FA0196">
              <w:rPr>
                <w:sz w:val="16"/>
                <w:szCs w:val="16"/>
                <w:lang w:eastAsia="fr-FR"/>
              </w:rPr>
              <w:t>6</w:t>
            </w:r>
            <w:r w:rsidR="009A4E98" w:rsidRPr="009A4E98">
              <w:rPr>
                <w:sz w:val="16"/>
                <w:szCs w:val="16"/>
                <w:lang w:eastAsia="fr-FR"/>
              </w:rPr>
              <w:t xml:space="preserve"> </w:t>
            </w:r>
            <w:r w:rsidR="00FA42DB" w:rsidRPr="0037713F">
              <w:rPr>
                <w:sz w:val="16"/>
                <w:szCs w:val="16"/>
                <w:lang w:eastAsia="fr-FR"/>
              </w:rPr>
              <w:t>transparency of ACE expenses</w:t>
            </w:r>
          </w:p>
          <w:p w14:paraId="0AFF94D2" w14:textId="77777777" w:rsidR="002E1A3F" w:rsidRPr="0037713F" w:rsidRDefault="002E1A3F" w:rsidP="008E2709">
            <w:pPr>
              <w:jc w:val="center"/>
              <w:rPr>
                <w:sz w:val="16"/>
                <w:szCs w:val="16"/>
                <w:lang w:eastAsia="fr-FR"/>
              </w:rPr>
            </w:pPr>
          </w:p>
          <w:p w14:paraId="09FCE714" w14:textId="77777777" w:rsidR="002E1A3F" w:rsidRPr="000C46A6" w:rsidRDefault="00B00100" w:rsidP="008E2709">
            <w:pPr>
              <w:jc w:val="center"/>
              <w:rPr>
                <w:b/>
                <w:sz w:val="16"/>
                <w:szCs w:val="16"/>
                <w:lang w:eastAsia="fr-FR"/>
              </w:rPr>
            </w:pPr>
            <w:r>
              <w:rPr>
                <w:sz w:val="16"/>
                <w:szCs w:val="16"/>
                <w:lang w:eastAsia="fr-FR"/>
              </w:rPr>
              <w:t>2</w:t>
            </w:r>
            <w:r w:rsidR="00FA0196">
              <w:rPr>
                <w:sz w:val="16"/>
                <w:szCs w:val="16"/>
                <w:lang w:eastAsia="fr-FR"/>
              </w:rPr>
              <w:t>6</w:t>
            </w:r>
            <w:r w:rsidR="00FA42DB" w:rsidRPr="0037713F">
              <w:rPr>
                <w:sz w:val="16"/>
                <w:szCs w:val="16"/>
                <w:lang w:eastAsia="fr-FR"/>
              </w:rPr>
              <w:t xml:space="preserve"> quality of procurement planning</w:t>
            </w:r>
          </w:p>
        </w:tc>
        <w:tc>
          <w:tcPr>
            <w:tcW w:w="1917" w:type="dxa"/>
            <w:tcBorders>
              <w:top w:val="single" w:sz="4" w:space="0" w:color="auto"/>
              <w:left w:val="nil"/>
              <w:bottom w:val="single" w:sz="4" w:space="0" w:color="auto"/>
              <w:right w:val="single" w:sz="4" w:space="0" w:color="auto"/>
            </w:tcBorders>
            <w:shd w:val="clear" w:color="auto" w:fill="auto"/>
            <w:vAlign w:val="center"/>
          </w:tcPr>
          <w:p w14:paraId="463992E0" w14:textId="77777777" w:rsidR="002E1A3F" w:rsidRPr="0037713F" w:rsidRDefault="00B00100" w:rsidP="008E2709">
            <w:pPr>
              <w:jc w:val="center"/>
              <w:rPr>
                <w:sz w:val="16"/>
                <w:szCs w:val="16"/>
                <w:lang w:eastAsia="fr-FR"/>
              </w:rPr>
            </w:pPr>
            <w:r>
              <w:rPr>
                <w:sz w:val="16"/>
                <w:szCs w:val="16"/>
                <w:lang w:eastAsia="fr-FR"/>
              </w:rPr>
              <w:t>2</w:t>
            </w:r>
            <w:r w:rsidR="00FA0196">
              <w:rPr>
                <w:sz w:val="16"/>
                <w:szCs w:val="16"/>
                <w:lang w:eastAsia="fr-FR"/>
              </w:rPr>
              <w:t>6</w:t>
            </w:r>
            <w:r w:rsidR="00FA42DB" w:rsidRPr="0037713F">
              <w:rPr>
                <w:sz w:val="16"/>
                <w:szCs w:val="16"/>
                <w:lang w:eastAsia="fr-FR"/>
              </w:rPr>
              <w:t>Timely Fiduciary reporting</w:t>
            </w:r>
          </w:p>
          <w:p w14:paraId="29C48673" w14:textId="77777777" w:rsidR="002E1A3F" w:rsidRPr="0037713F" w:rsidRDefault="002E1A3F" w:rsidP="008E2709">
            <w:pPr>
              <w:jc w:val="center"/>
              <w:rPr>
                <w:sz w:val="16"/>
                <w:szCs w:val="16"/>
                <w:lang w:eastAsia="fr-FR"/>
              </w:rPr>
            </w:pPr>
          </w:p>
          <w:p w14:paraId="7366B2E8" w14:textId="77777777" w:rsidR="002E1A3F" w:rsidRPr="0037713F" w:rsidRDefault="00B00100" w:rsidP="008E2709">
            <w:pPr>
              <w:jc w:val="center"/>
              <w:rPr>
                <w:sz w:val="16"/>
                <w:szCs w:val="16"/>
                <w:lang w:eastAsia="fr-FR"/>
              </w:rPr>
            </w:pPr>
            <w:r>
              <w:rPr>
                <w:sz w:val="16"/>
                <w:szCs w:val="16"/>
                <w:lang w:eastAsia="fr-FR"/>
              </w:rPr>
              <w:t>2</w:t>
            </w:r>
            <w:r w:rsidR="00FA0196">
              <w:rPr>
                <w:sz w:val="16"/>
                <w:szCs w:val="16"/>
                <w:lang w:eastAsia="fr-FR"/>
              </w:rPr>
              <w:t>6</w:t>
            </w:r>
            <w:r w:rsidR="00FA42DB" w:rsidRPr="0037713F">
              <w:rPr>
                <w:sz w:val="16"/>
                <w:szCs w:val="16"/>
                <w:lang w:eastAsia="fr-FR"/>
              </w:rPr>
              <w:t xml:space="preserve"> Functional institutional oversight of fiduciary mngt</w:t>
            </w:r>
          </w:p>
          <w:p w14:paraId="45EA52E9" w14:textId="77777777" w:rsidR="002E1A3F" w:rsidRPr="000C46A6" w:rsidRDefault="002E1A3F" w:rsidP="008E2709">
            <w:pPr>
              <w:jc w:val="center"/>
              <w:rPr>
                <w:sz w:val="16"/>
                <w:szCs w:val="16"/>
                <w:lang w:eastAsia="fr-FR"/>
              </w:rPr>
            </w:pPr>
          </w:p>
          <w:p w14:paraId="497B8C63" w14:textId="77777777" w:rsidR="002E1A3F" w:rsidRPr="0037713F" w:rsidRDefault="00B00100" w:rsidP="008E2709">
            <w:pPr>
              <w:jc w:val="center"/>
              <w:rPr>
                <w:sz w:val="16"/>
                <w:szCs w:val="16"/>
                <w:lang w:eastAsia="fr-FR"/>
              </w:rPr>
            </w:pPr>
            <w:r>
              <w:rPr>
                <w:sz w:val="16"/>
                <w:szCs w:val="16"/>
                <w:lang w:eastAsia="fr-FR"/>
              </w:rPr>
              <w:t>2</w:t>
            </w:r>
            <w:r w:rsidR="00A65A45">
              <w:rPr>
                <w:sz w:val="16"/>
                <w:szCs w:val="16"/>
                <w:lang w:eastAsia="fr-FR"/>
              </w:rPr>
              <w:t>3</w:t>
            </w:r>
            <w:r w:rsidR="00FA42DB" w:rsidRPr="0037713F">
              <w:rPr>
                <w:sz w:val="16"/>
                <w:szCs w:val="16"/>
                <w:lang w:eastAsia="fr-FR"/>
              </w:rPr>
              <w:t xml:space="preserve"> transparency of ACE expenses</w:t>
            </w:r>
          </w:p>
          <w:p w14:paraId="23C58058" w14:textId="77777777" w:rsidR="002E1A3F" w:rsidRPr="0037713F" w:rsidRDefault="002E1A3F" w:rsidP="008E2709">
            <w:pPr>
              <w:jc w:val="center"/>
              <w:rPr>
                <w:sz w:val="16"/>
                <w:szCs w:val="16"/>
                <w:lang w:eastAsia="fr-FR"/>
              </w:rPr>
            </w:pPr>
          </w:p>
          <w:p w14:paraId="6AD9634B" w14:textId="77777777" w:rsidR="002E1A3F" w:rsidRPr="000C46A6" w:rsidRDefault="00B00100" w:rsidP="008E2709">
            <w:pPr>
              <w:jc w:val="center"/>
              <w:rPr>
                <w:b/>
                <w:sz w:val="16"/>
                <w:szCs w:val="16"/>
                <w:lang w:eastAsia="fr-FR"/>
              </w:rPr>
            </w:pPr>
            <w:r>
              <w:rPr>
                <w:sz w:val="16"/>
                <w:szCs w:val="16"/>
                <w:lang w:eastAsia="fr-FR"/>
              </w:rPr>
              <w:t>2</w:t>
            </w:r>
            <w:r w:rsidR="00A65A45">
              <w:rPr>
                <w:sz w:val="16"/>
                <w:szCs w:val="16"/>
                <w:lang w:eastAsia="fr-FR"/>
              </w:rPr>
              <w:t>6</w:t>
            </w:r>
            <w:r w:rsidR="00FA42DB" w:rsidRPr="0037713F">
              <w:rPr>
                <w:sz w:val="16"/>
                <w:szCs w:val="16"/>
                <w:lang w:eastAsia="fr-FR"/>
              </w:rPr>
              <w:t xml:space="preserve"> quality of procurement planning</w:t>
            </w:r>
          </w:p>
        </w:tc>
        <w:tc>
          <w:tcPr>
            <w:tcW w:w="1919" w:type="dxa"/>
            <w:tcBorders>
              <w:top w:val="single" w:sz="4" w:space="0" w:color="auto"/>
              <w:left w:val="nil"/>
              <w:bottom w:val="single" w:sz="4" w:space="0" w:color="auto"/>
              <w:right w:val="single" w:sz="4" w:space="0" w:color="auto"/>
            </w:tcBorders>
            <w:shd w:val="clear" w:color="auto" w:fill="auto"/>
            <w:vAlign w:val="center"/>
          </w:tcPr>
          <w:p w14:paraId="30C31E59" w14:textId="77777777" w:rsidR="002E1A3F" w:rsidRPr="0037713F" w:rsidRDefault="00B00100" w:rsidP="008E2709">
            <w:pPr>
              <w:jc w:val="center"/>
              <w:rPr>
                <w:sz w:val="16"/>
                <w:szCs w:val="16"/>
                <w:lang w:eastAsia="fr-FR"/>
              </w:rPr>
            </w:pPr>
            <w:r>
              <w:rPr>
                <w:sz w:val="16"/>
                <w:szCs w:val="16"/>
                <w:lang w:eastAsia="fr-FR"/>
              </w:rPr>
              <w:t>2</w:t>
            </w:r>
            <w:r w:rsidR="00A65A45">
              <w:rPr>
                <w:sz w:val="16"/>
                <w:szCs w:val="16"/>
                <w:lang w:eastAsia="fr-FR"/>
              </w:rPr>
              <w:t>6</w:t>
            </w:r>
            <w:r w:rsidR="00FA42DB">
              <w:rPr>
                <w:sz w:val="16"/>
                <w:szCs w:val="16"/>
                <w:lang w:eastAsia="fr-FR"/>
              </w:rPr>
              <w:t xml:space="preserve"> </w:t>
            </w:r>
            <w:r w:rsidR="00FA42DB" w:rsidRPr="0037713F">
              <w:rPr>
                <w:sz w:val="16"/>
                <w:szCs w:val="16"/>
                <w:lang w:eastAsia="fr-FR"/>
              </w:rPr>
              <w:t>Timely Fiduciary reporting</w:t>
            </w:r>
          </w:p>
          <w:p w14:paraId="486FF79A" w14:textId="77777777" w:rsidR="002E1A3F" w:rsidRPr="0037713F" w:rsidRDefault="002E1A3F" w:rsidP="008E2709">
            <w:pPr>
              <w:jc w:val="center"/>
              <w:rPr>
                <w:sz w:val="16"/>
                <w:szCs w:val="16"/>
                <w:lang w:eastAsia="fr-FR"/>
              </w:rPr>
            </w:pPr>
          </w:p>
          <w:p w14:paraId="0A7A9C6D" w14:textId="77777777" w:rsidR="002E1A3F" w:rsidRPr="0037713F" w:rsidRDefault="00B00100" w:rsidP="008E2709">
            <w:pPr>
              <w:jc w:val="center"/>
              <w:rPr>
                <w:sz w:val="16"/>
                <w:szCs w:val="16"/>
                <w:lang w:eastAsia="fr-FR"/>
              </w:rPr>
            </w:pPr>
            <w:r>
              <w:rPr>
                <w:sz w:val="16"/>
                <w:szCs w:val="16"/>
                <w:lang w:eastAsia="fr-FR"/>
              </w:rPr>
              <w:t>2</w:t>
            </w:r>
            <w:r w:rsidR="00091142">
              <w:rPr>
                <w:sz w:val="16"/>
                <w:szCs w:val="16"/>
                <w:lang w:eastAsia="fr-FR"/>
              </w:rPr>
              <w:t>6</w:t>
            </w:r>
            <w:r w:rsidR="00FA42DB" w:rsidRPr="0037713F">
              <w:rPr>
                <w:sz w:val="16"/>
                <w:szCs w:val="16"/>
                <w:lang w:eastAsia="fr-FR"/>
              </w:rPr>
              <w:t xml:space="preserve"> Functional institutional oversight of fiduciary mngt</w:t>
            </w:r>
          </w:p>
          <w:p w14:paraId="1CCFAE08" w14:textId="77777777" w:rsidR="002E1A3F" w:rsidRPr="000C46A6" w:rsidRDefault="002E1A3F" w:rsidP="008E2709">
            <w:pPr>
              <w:jc w:val="center"/>
              <w:rPr>
                <w:sz w:val="16"/>
                <w:szCs w:val="16"/>
                <w:lang w:eastAsia="fr-FR"/>
              </w:rPr>
            </w:pPr>
          </w:p>
          <w:p w14:paraId="665437BB" w14:textId="77777777" w:rsidR="002E1A3F" w:rsidRPr="0037713F" w:rsidRDefault="00B00100" w:rsidP="008E2709">
            <w:pPr>
              <w:jc w:val="center"/>
              <w:rPr>
                <w:sz w:val="16"/>
                <w:szCs w:val="16"/>
                <w:lang w:eastAsia="fr-FR"/>
              </w:rPr>
            </w:pPr>
            <w:r>
              <w:rPr>
                <w:sz w:val="16"/>
                <w:szCs w:val="16"/>
                <w:lang w:eastAsia="fr-FR"/>
              </w:rPr>
              <w:t>2</w:t>
            </w:r>
            <w:r w:rsidR="00091142">
              <w:rPr>
                <w:sz w:val="16"/>
                <w:szCs w:val="16"/>
                <w:lang w:eastAsia="fr-FR"/>
              </w:rPr>
              <w:t>6</w:t>
            </w:r>
            <w:r w:rsidR="00FA42DB" w:rsidRPr="0037713F">
              <w:rPr>
                <w:sz w:val="16"/>
                <w:szCs w:val="16"/>
                <w:lang w:eastAsia="fr-FR"/>
              </w:rPr>
              <w:t xml:space="preserve"> transparency of ACE expenses</w:t>
            </w:r>
          </w:p>
          <w:p w14:paraId="47EADE12" w14:textId="77777777" w:rsidR="002E1A3F" w:rsidRPr="0037713F" w:rsidRDefault="002E1A3F" w:rsidP="008E2709">
            <w:pPr>
              <w:jc w:val="center"/>
              <w:rPr>
                <w:sz w:val="16"/>
                <w:szCs w:val="16"/>
                <w:lang w:eastAsia="fr-FR"/>
              </w:rPr>
            </w:pPr>
          </w:p>
          <w:p w14:paraId="185629EA" w14:textId="77777777" w:rsidR="002E1A3F" w:rsidRPr="000C46A6" w:rsidRDefault="00B00100" w:rsidP="008E2709">
            <w:pPr>
              <w:jc w:val="center"/>
              <w:rPr>
                <w:b/>
                <w:sz w:val="16"/>
                <w:szCs w:val="16"/>
                <w:lang w:eastAsia="fr-FR"/>
              </w:rPr>
            </w:pPr>
            <w:r>
              <w:rPr>
                <w:sz w:val="16"/>
                <w:szCs w:val="16"/>
                <w:lang w:eastAsia="fr-FR"/>
              </w:rPr>
              <w:t>2</w:t>
            </w:r>
            <w:r w:rsidR="00091142">
              <w:rPr>
                <w:sz w:val="16"/>
                <w:szCs w:val="16"/>
                <w:lang w:eastAsia="fr-FR"/>
              </w:rPr>
              <w:t>3</w:t>
            </w:r>
            <w:r w:rsidR="00FA42DB" w:rsidRPr="0037713F">
              <w:rPr>
                <w:sz w:val="16"/>
                <w:szCs w:val="16"/>
                <w:lang w:eastAsia="fr-FR"/>
              </w:rPr>
              <w:t xml:space="preserve"> quality of procurement planning</w:t>
            </w:r>
          </w:p>
        </w:tc>
      </w:tr>
      <w:tr w:rsidR="000C3959" w14:paraId="1CBDBE01" w14:textId="77777777" w:rsidTr="008E2709">
        <w:trPr>
          <w:trHeight w:val="46"/>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DFA63" w14:textId="77777777" w:rsidR="002E1A3F" w:rsidRPr="000C46A6" w:rsidRDefault="00B00100" w:rsidP="00404D02">
            <w:pPr>
              <w:rPr>
                <w:sz w:val="16"/>
                <w:szCs w:val="16"/>
                <w:lang w:eastAsia="fr-FR"/>
              </w:rPr>
            </w:pPr>
            <w:r w:rsidRPr="00A84035">
              <w:rPr>
                <w:i/>
                <w:iCs/>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vAlign w:val="center"/>
          </w:tcPr>
          <w:p w14:paraId="447B9895" w14:textId="77777777" w:rsidR="002E1A3F" w:rsidRPr="000C46A6" w:rsidRDefault="00B00100" w:rsidP="00F463C2">
            <w:pPr>
              <w:jc w:val="center"/>
              <w:rPr>
                <w:sz w:val="16"/>
                <w:szCs w:val="16"/>
              </w:rPr>
            </w:pPr>
            <w:r>
              <w:rPr>
                <w:sz w:val="16"/>
                <w:szCs w:val="16"/>
              </w:rPr>
              <w:t>4,797,667</w:t>
            </w:r>
          </w:p>
        </w:tc>
        <w:tc>
          <w:tcPr>
            <w:tcW w:w="610" w:type="dxa"/>
            <w:tcBorders>
              <w:top w:val="single" w:sz="4" w:space="0" w:color="auto"/>
              <w:left w:val="nil"/>
              <w:bottom w:val="single" w:sz="4" w:space="0" w:color="auto"/>
              <w:right w:val="single" w:sz="4" w:space="0" w:color="auto"/>
            </w:tcBorders>
            <w:shd w:val="clear" w:color="auto" w:fill="auto"/>
            <w:vAlign w:val="center"/>
          </w:tcPr>
          <w:p w14:paraId="54996631" w14:textId="77777777" w:rsidR="002E1A3F" w:rsidRPr="000C46A6" w:rsidRDefault="002E1A3F" w:rsidP="00FC1A97">
            <w:pPr>
              <w:jc w:val="center"/>
              <w:rPr>
                <w:sz w:val="16"/>
                <w:szCs w:val="16"/>
                <w:lang w:eastAsia="fr-FR"/>
              </w:rPr>
            </w:pPr>
          </w:p>
        </w:tc>
        <w:tc>
          <w:tcPr>
            <w:tcW w:w="1836" w:type="dxa"/>
            <w:tcBorders>
              <w:top w:val="single" w:sz="4" w:space="0" w:color="auto"/>
              <w:left w:val="nil"/>
              <w:bottom w:val="single" w:sz="4" w:space="0" w:color="auto"/>
              <w:right w:val="single" w:sz="4" w:space="0" w:color="auto"/>
            </w:tcBorders>
            <w:shd w:val="clear" w:color="auto" w:fill="auto"/>
            <w:vAlign w:val="center"/>
          </w:tcPr>
          <w:p w14:paraId="1BF24C61" w14:textId="77777777" w:rsidR="002E1A3F" w:rsidRPr="000C46A6" w:rsidRDefault="00B00100" w:rsidP="003247A0">
            <w:pPr>
              <w:jc w:val="center"/>
              <w:rPr>
                <w:sz w:val="16"/>
                <w:szCs w:val="16"/>
                <w:lang w:eastAsia="fr-FR"/>
              </w:rPr>
            </w:pPr>
            <w:r>
              <w:rPr>
                <w:sz w:val="16"/>
                <w:szCs w:val="16"/>
              </w:rPr>
              <w:t>619,667</w:t>
            </w:r>
          </w:p>
        </w:tc>
        <w:tc>
          <w:tcPr>
            <w:tcW w:w="1890" w:type="dxa"/>
            <w:tcBorders>
              <w:top w:val="single" w:sz="4" w:space="0" w:color="auto"/>
              <w:left w:val="nil"/>
              <w:bottom w:val="single" w:sz="4" w:space="0" w:color="auto"/>
              <w:right w:val="single" w:sz="4" w:space="0" w:color="auto"/>
            </w:tcBorders>
            <w:shd w:val="clear" w:color="auto" w:fill="auto"/>
            <w:vAlign w:val="center"/>
          </w:tcPr>
          <w:p w14:paraId="3968F244" w14:textId="77777777" w:rsidR="002E1A3F" w:rsidRPr="000C46A6" w:rsidRDefault="00B00100" w:rsidP="003247A0">
            <w:pPr>
              <w:jc w:val="center"/>
              <w:rPr>
                <w:sz w:val="16"/>
                <w:szCs w:val="16"/>
                <w:lang w:eastAsia="fr-FR"/>
              </w:rPr>
            </w:pPr>
            <w:r>
              <w:rPr>
                <w:sz w:val="16"/>
                <w:szCs w:val="16"/>
              </w:rPr>
              <w:t>1,109,333</w:t>
            </w:r>
          </w:p>
        </w:tc>
        <w:tc>
          <w:tcPr>
            <w:tcW w:w="1851" w:type="dxa"/>
            <w:tcBorders>
              <w:top w:val="single" w:sz="4" w:space="0" w:color="auto"/>
              <w:left w:val="nil"/>
              <w:bottom w:val="single" w:sz="4" w:space="0" w:color="auto"/>
              <w:right w:val="single" w:sz="4" w:space="0" w:color="auto"/>
            </w:tcBorders>
            <w:shd w:val="clear" w:color="auto" w:fill="auto"/>
            <w:vAlign w:val="center"/>
          </w:tcPr>
          <w:p w14:paraId="0A22EA0E" w14:textId="77777777" w:rsidR="002E1A3F" w:rsidRPr="000C46A6" w:rsidRDefault="00B00100" w:rsidP="007118DD">
            <w:pPr>
              <w:jc w:val="center"/>
              <w:rPr>
                <w:sz w:val="16"/>
                <w:szCs w:val="16"/>
                <w:lang w:eastAsia="fr-FR"/>
              </w:rPr>
            </w:pPr>
            <w:r>
              <w:rPr>
                <w:sz w:val="16"/>
                <w:szCs w:val="16"/>
              </w:rPr>
              <w:t>916,000</w:t>
            </w:r>
          </w:p>
        </w:tc>
        <w:tc>
          <w:tcPr>
            <w:tcW w:w="1917" w:type="dxa"/>
            <w:tcBorders>
              <w:top w:val="single" w:sz="4" w:space="0" w:color="auto"/>
              <w:left w:val="nil"/>
              <w:bottom w:val="single" w:sz="4" w:space="0" w:color="auto"/>
              <w:right w:val="single" w:sz="4" w:space="0" w:color="auto"/>
            </w:tcBorders>
            <w:shd w:val="clear" w:color="auto" w:fill="auto"/>
            <w:vAlign w:val="center"/>
          </w:tcPr>
          <w:p w14:paraId="7879DC45" w14:textId="77777777" w:rsidR="002E1A3F" w:rsidRPr="000C46A6" w:rsidRDefault="00B00100" w:rsidP="00B22FEF">
            <w:pPr>
              <w:jc w:val="center"/>
              <w:rPr>
                <w:sz w:val="16"/>
                <w:szCs w:val="16"/>
                <w:lang w:eastAsia="fr-FR"/>
              </w:rPr>
            </w:pPr>
            <w:r>
              <w:rPr>
                <w:sz w:val="16"/>
                <w:szCs w:val="16"/>
              </w:rPr>
              <w:t>1,088,333</w:t>
            </w:r>
          </w:p>
        </w:tc>
        <w:tc>
          <w:tcPr>
            <w:tcW w:w="1919" w:type="dxa"/>
            <w:tcBorders>
              <w:top w:val="single" w:sz="4" w:space="0" w:color="auto"/>
              <w:left w:val="nil"/>
              <w:bottom w:val="single" w:sz="4" w:space="0" w:color="auto"/>
              <w:right w:val="single" w:sz="4" w:space="0" w:color="auto"/>
            </w:tcBorders>
            <w:shd w:val="clear" w:color="auto" w:fill="auto"/>
            <w:vAlign w:val="center"/>
          </w:tcPr>
          <w:p w14:paraId="76044451" w14:textId="77777777" w:rsidR="002E1A3F" w:rsidRPr="000C46A6" w:rsidRDefault="00B00100" w:rsidP="00931B2D">
            <w:pPr>
              <w:jc w:val="center"/>
              <w:rPr>
                <w:sz w:val="16"/>
                <w:szCs w:val="16"/>
                <w:lang w:eastAsia="fr-FR"/>
              </w:rPr>
            </w:pPr>
            <w:r>
              <w:rPr>
                <w:sz w:val="16"/>
                <w:szCs w:val="16"/>
              </w:rPr>
              <w:t>1,064,333</w:t>
            </w:r>
          </w:p>
        </w:tc>
      </w:tr>
      <w:tr w:rsidR="000C3959" w14:paraId="1C474F85" w14:textId="77777777" w:rsidTr="008E2709">
        <w:trPr>
          <w:trHeight w:val="2890"/>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EF977" w14:textId="77777777" w:rsidR="002E1A3F" w:rsidRPr="000C46A6" w:rsidRDefault="00B00100" w:rsidP="00404D02">
            <w:pPr>
              <w:rPr>
                <w:sz w:val="16"/>
                <w:szCs w:val="16"/>
                <w:lang w:eastAsia="fr-FR"/>
              </w:rPr>
            </w:pPr>
            <w:r w:rsidRPr="0037713F">
              <w:rPr>
                <w:b/>
                <w:bCs/>
                <w:sz w:val="16"/>
                <w:szCs w:val="16"/>
                <w:lang w:eastAsia="fr-FR"/>
              </w:rPr>
              <w:t>DLI 7</w:t>
            </w:r>
            <w:r w:rsidRPr="0037713F">
              <w:rPr>
                <w:sz w:val="16"/>
                <w:szCs w:val="16"/>
                <w:lang w:eastAsia="fr-FR"/>
              </w:rPr>
              <w:t xml:space="preserve">: Institutional </w:t>
            </w:r>
            <w:r w:rsidR="00443584">
              <w:rPr>
                <w:sz w:val="16"/>
                <w:szCs w:val="16"/>
                <w:lang w:eastAsia="fr-FR"/>
              </w:rPr>
              <w:t>i</w:t>
            </w:r>
            <w:r w:rsidRPr="0037713F">
              <w:rPr>
                <w:sz w:val="16"/>
                <w:szCs w:val="16"/>
                <w:lang w:eastAsia="fr-FR"/>
              </w:rPr>
              <w:t>mpact</w:t>
            </w:r>
          </w:p>
        </w:tc>
        <w:tc>
          <w:tcPr>
            <w:tcW w:w="1220" w:type="dxa"/>
            <w:tcBorders>
              <w:top w:val="single" w:sz="4" w:space="0" w:color="auto"/>
              <w:left w:val="nil"/>
              <w:bottom w:val="single" w:sz="4" w:space="0" w:color="auto"/>
              <w:right w:val="single" w:sz="4" w:space="0" w:color="auto"/>
            </w:tcBorders>
            <w:shd w:val="clear" w:color="auto" w:fill="auto"/>
            <w:vAlign w:val="center"/>
          </w:tcPr>
          <w:p w14:paraId="4325208C" w14:textId="77777777" w:rsidR="002E1A3F" w:rsidRPr="000C46A6" w:rsidRDefault="00B00100" w:rsidP="00F463C2">
            <w:pPr>
              <w:jc w:val="center"/>
              <w:rPr>
                <w:sz w:val="16"/>
                <w:szCs w:val="16"/>
                <w:lang w:eastAsia="fr-FR"/>
              </w:rPr>
            </w:pPr>
            <w:r>
              <w:rPr>
                <w:sz w:val="16"/>
                <w:szCs w:val="16"/>
              </w:rPr>
              <w:t>1</w:t>
            </w:r>
            <w:r w:rsidR="00274BEF">
              <w:rPr>
                <w:sz w:val="16"/>
                <w:szCs w:val="16"/>
              </w:rPr>
              <w:t>3,886,667</w:t>
            </w:r>
          </w:p>
        </w:tc>
        <w:tc>
          <w:tcPr>
            <w:tcW w:w="610" w:type="dxa"/>
            <w:tcBorders>
              <w:top w:val="single" w:sz="4" w:space="0" w:color="auto"/>
              <w:left w:val="nil"/>
              <w:bottom w:val="single" w:sz="4" w:space="0" w:color="auto"/>
              <w:right w:val="single" w:sz="4" w:space="0" w:color="auto"/>
            </w:tcBorders>
            <w:shd w:val="clear" w:color="auto" w:fill="auto"/>
            <w:vAlign w:val="center"/>
          </w:tcPr>
          <w:p w14:paraId="025E7E4B" w14:textId="77777777" w:rsidR="002E1A3F" w:rsidRPr="000C46A6" w:rsidRDefault="00B00100" w:rsidP="00FC1A97">
            <w:pPr>
              <w:jc w:val="center"/>
              <w:rPr>
                <w:sz w:val="16"/>
                <w:szCs w:val="16"/>
                <w:lang w:eastAsia="fr-FR"/>
              </w:rPr>
            </w:pPr>
            <w:r w:rsidRPr="0037713F">
              <w:rPr>
                <w:sz w:val="16"/>
                <w:szCs w:val="16"/>
                <w:lang w:eastAsia="fr-FR"/>
              </w:rPr>
              <w:t>0</w:t>
            </w:r>
          </w:p>
        </w:tc>
        <w:tc>
          <w:tcPr>
            <w:tcW w:w="1836" w:type="dxa"/>
            <w:tcBorders>
              <w:top w:val="single" w:sz="4" w:space="0" w:color="auto"/>
              <w:left w:val="nil"/>
              <w:bottom w:val="single" w:sz="4" w:space="0" w:color="auto"/>
              <w:right w:val="single" w:sz="4" w:space="0" w:color="auto"/>
            </w:tcBorders>
            <w:shd w:val="clear" w:color="auto" w:fill="auto"/>
            <w:vAlign w:val="center"/>
          </w:tcPr>
          <w:p w14:paraId="7E1FB824" w14:textId="77777777" w:rsidR="002E1A3F" w:rsidRPr="0037713F" w:rsidRDefault="00B00100" w:rsidP="003247A0">
            <w:pPr>
              <w:jc w:val="center"/>
              <w:rPr>
                <w:sz w:val="16"/>
                <w:szCs w:val="16"/>
                <w:lang w:eastAsia="fr-FR"/>
              </w:rPr>
            </w:pPr>
            <w:r>
              <w:rPr>
                <w:sz w:val="16"/>
                <w:szCs w:val="16"/>
                <w:lang w:eastAsia="fr-FR"/>
              </w:rPr>
              <w:t>0</w:t>
            </w:r>
            <w:r w:rsidRPr="00647F9F">
              <w:rPr>
                <w:sz w:val="16"/>
                <w:szCs w:val="16"/>
                <w:lang w:eastAsia="fr-FR"/>
              </w:rPr>
              <w:t xml:space="preserve"> </w:t>
            </w:r>
            <w:r w:rsidR="00FA42DB" w:rsidRPr="0037713F">
              <w:rPr>
                <w:sz w:val="16"/>
                <w:szCs w:val="16"/>
                <w:lang w:eastAsia="fr-FR"/>
              </w:rPr>
              <w:t>University regional strategy</w:t>
            </w:r>
          </w:p>
          <w:p w14:paraId="21E8466D" w14:textId="77777777" w:rsidR="002E1A3F" w:rsidRPr="0037713F" w:rsidRDefault="002E1A3F" w:rsidP="003247A0">
            <w:pPr>
              <w:jc w:val="center"/>
              <w:rPr>
                <w:sz w:val="16"/>
                <w:szCs w:val="16"/>
                <w:lang w:eastAsia="fr-FR"/>
              </w:rPr>
            </w:pPr>
          </w:p>
          <w:p w14:paraId="66E28C0D" w14:textId="77777777" w:rsidR="002E1A3F" w:rsidRPr="0037713F" w:rsidRDefault="00B00100" w:rsidP="007118DD">
            <w:pPr>
              <w:jc w:val="center"/>
              <w:rPr>
                <w:sz w:val="16"/>
                <w:szCs w:val="16"/>
                <w:lang w:eastAsia="fr-FR"/>
              </w:rPr>
            </w:pPr>
            <w:r>
              <w:rPr>
                <w:sz w:val="16"/>
                <w:szCs w:val="16"/>
                <w:lang w:eastAsia="fr-FR"/>
              </w:rPr>
              <w:t>0</w:t>
            </w:r>
          </w:p>
          <w:p w14:paraId="1C23C15E" w14:textId="77777777" w:rsidR="002E1A3F" w:rsidRPr="0037713F" w:rsidRDefault="00B00100" w:rsidP="00B22FEF">
            <w:pPr>
              <w:jc w:val="center"/>
              <w:rPr>
                <w:sz w:val="16"/>
                <w:szCs w:val="16"/>
                <w:lang w:eastAsia="fr-FR"/>
              </w:rPr>
            </w:pPr>
            <w:r w:rsidRPr="0037713F">
              <w:rPr>
                <w:sz w:val="16"/>
                <w:szCs w:val="16"/>
                <w:lang w:eastAsia="fr-FR"/>
              </w:rPr>
              <w:t>Open and competitive selection of the head of university or dean</w:t>
            </w:r>
          </w:p>
          <w:p w14:paraId="22BDE32E" w14:textId="77777777" w:rsidR="002E1A3F" w:rsidRPr="0037713F" w:rsidRDefault="002E1A3F" w:rsidP="00931B2D">
            <w:pPr>
              <w:jc w:val="center"/>
              <w:rPr>
                <w:sz w:val="16"/>
                <w:szCs w:val="16"/>
                <w:lang w:eastAsia="fr-FR"/>
              </w:rPr>
            </w:pPr>
          </w:p>
          <w:p w14:paraId="69C11FBE" w14:textId="77777777" w:rsidR="002E1A3F" w:rsidRPr="0037713F" w:rsidRDefault="00B00100" w:rsidP="00126707">
            <w:pPr>
              <w:jc w:val="center"/>
              <w:rPr>
                <w:sz w:val="16"/>
                <w:szCs w:val="16"/>
                <w:lang w:eastAsia="fr-FR"/>
              </w:rPr>
            </w:pPr>
            <w:r>
              <w:rPr>
                <w:sz w:val="16"/>
                <w:szCs w:val="16"/>
                <w:lang w:eastAsia="fr-FR"/>
              </w:rPr>
              <w:t>0</w:t>
            </w:r>
          </w:p>
          <w:p w14:paraId="30EBB988" w14:textId="77777777" w:rsidR="002E1A3F" w:rsidRPr="0037713F" w:rsidRDefault="00B00100" w:rsidP="00BC30D6">
            <w:pPr>
              <w:jc w:val="center"/>
              <w:rPr>
                <w:sz w:val="16"/>
                <w:szCs w:val="16"/>
                <w:lang w:eastAsia="fr-FR"/>
              </w:rPr>
            </w:pPr>
            <w:r w:rsidRPr="0037713F">
              <w:rPr>
                <w:sz w:val="16"/>
                <w:szCs w:val="16"/>
                <w:lang w:eastAsia="fr-FR"/>
              </w:rPr>
              <w:t>Institutional accreditation steps</w:t>
            </w:r>
          </w:p>
          <w:p w14:paraId="5E395365" w14:textId="77777777" w:rsidR="002E1A3F" w:rsidRPr="0037713F" w:rsidRDefault="002E1A3F" w:rsidP="008E2709">
            <w:pPr>
              <w:jc w:val="center"/>
              <w:rPr>
                <w:sz w:val="16"/>
                <w:szCs w:val="16"/>
                <w:lang w:eastAsia="fr-FR"/>
              </w:rPr>
            </w:pPr>
          </w:p>
          <w:p w14:paraId="58414459" w14:textId="77777777" w:rsidR="002E1A3F" w:rsidRPr="0037713F" w:rsidRDefault="00B00100" w:rsidP="008E2709">
            <w:pPr>
              <w:jc w:val="center"/>
              <w:rPr>
                <w:sz w:val="16"/>
                <w:szCs w:val="16"/>
                <w:lang w:eastAsia="fr-FR"/>
              </w:rPr>
            </w:pPr>
            <w:r>
              <w:rPr>
                <w:sz w:val="16"/>
                <w:szCs w:val="16"/>
                <w:lang w:eastAsia="fr-FR"/>
              </w:rPr>
              <w:t>0</w:t>
            </w:r>
          </w:p>
          <w:p w14:paraId="5AE7F16F" w14:textId="77777777" w:rsidR="002E1A3F" w:rsidRPr="0037713F" w:rsidRDefault="00B00100" w:rsidP="008E2709">
            <w:pPr>
              <w:jc w:val="center"/>
              <w:rPr>
                <w:sz w:val="16"/>
                <w:szCs w:val="16"/>
                <w:lang w:eastAsia="fr-FR"/>
              </w:rPr>
            </w:pPr>
            <w:r w:rsidRPr="0037713F">
              <w:rPr>
                <w:sz w:val="16"/>
                <w:szCs w:val="16"/>
                <w:lang w:eastAsia="fr-FR"/>
              </w:rPr>
              <w:t>PASET Benchmarking</w:t>
            </w:r>
          </w:p>
          <w:p w14:paraId="0F2606C5" w14:textId="77777777" w:rsidR="002E1A3F" w:rsidRPr="0037713F" w:rsidRDefault="002E1A3F" w:rsidP="008E2709">
            <w:pPr>
              <w:jc w:val="center"/>
              <w:rPr>
                <w:sz w:val="16"/>
                <w:szCs w:val="16"/>
              </w:rPr>
            </w:pPr>
          </w:p>
          <w:p w14:paraId="40DE6611" w14:textId="77777777" w:rsidR="002E1A3F" w:rsidRDefault="00B00100" w:rsidP="008E2709">
            <w:pPr>
              <w:jc w:val="center"/>
              <w:rPr>
                <w:sz w:val="16"/>
                <w:szCs w:val="16"/>
              </w:rPr>
            </w:pPr>
            <w:r>
              <w:rPr>
                <w:sz w:val="16"/>
                <w:szCs w:val="16"/>
              </w:rPr>
              <w:t>0</w:t>
            </w:r>
            <w:r w:rsidR="00FA42DB" w:rsidRPr="0037713F">
              <w:rPr>
                <w:sz w:val="16"/>
                <w:szCs w:val="16"/>
              </w:rPr>
              <w:t xml:space="preserve"> Milestones on institutional impact</w:t>
            </w:r>
          </w:p>
          <w:p w14:paraId="2EFE845A" w14:textId="77777777" w:rsidR="007D5BC8" w:rsidRDefault="007D5BC8" w:rsidP="008E2709">
            <w:pPr>
              <w:jc w:val="center"/>
              <w:rPr>
                <w:sz w:val="16"/>
                <w:szCs w:val="16"/>
              </w:rPr>
            </w:pPr>
          </w:p>
          <w:p w14:paraId="752832EE" w14:textId="77777777" w:rsidR="002E1A3F" w:rsidRPr="000C46A6" w:rsidRDefault="00B00100" w:rsidP="008E2709">
            <w:pPr>
              <w:jc w:val="center"/>
              <w:rPr>
                <w:sz w:val="16"/>
                <w:szCs w:val="16"/>
                <w:lang w:eastAsia="fr-FR"/>
              </w:rPr>
            </w:pPr>
            <w:r>
              <w:rPr>
                <w:sz w:val="16"/>
                <w:szCs w:val="16"/>
              </w:rPr>
              <w:t xml:space="preserve">16 ICT </w:t>
            </w:r>
            <w:r w:rsidR="0067702A">
              <w:rPr>
                <w:sz w:val="16"/>
                <w:szCs w:val="16"/>
              </w:rPr>
              <w:t>Services</w:t>
            </w:r>
            <w:r w:rsidR="00F903E7">
              <w:rPr>
                <w:sz w:val="16"/>
                <w:szCs w:val="16"/>
              </w:rPr>
              <w:t xml:space="preserve"> for innovation in teaching and research</w:t>
            </w:r>
          </w:p>
        </w:tc>
        <w:tc>
          <w:tcPr>
            <w:tcW w:w="1890" w:type="dxa"/>
            <w:tcBorders>
              <w:top w:val="single" w:sz="4" w:space="0" w:color="auto"/>
              <w:left w:val="nil"/>
              <w:bottom w:val="single" w:sz="4" w:space="0" w:color="auto"/>
              <w:right w:val="single" w:sz="4" w:space="0" w:color="auto"/>
            </w:tcBorders>
            <w:shd w:val="clear" w:color="auto" w:fill="auto"/>
            <w:vAlign w:val="center"/>
          </w:tcPr>
          <w:p w14:paraId="2236C42E" w14:textId="77777777" w:rsidR="002E1A3F" w:rsidRPr="0037713F" w:rsidRDefault="00B00100" w:rsidP="008E2709">
            <w:pPr>
              <w:jc w:val="center"/>
              <w:rPr>
                <w:sz w:val="16"/>
                <w:szCs w:val="16"/>
                <w:lang w:eastAsia="fr-FR"/>
              </w:rPr>
            </w:pPr>
            <w:r>
              <w:rPr>
                <w:sz w:val="16"/>
                <w:szCs w:val="16"/>
                <w:lang w:eastAsia="fr-FR"/>
              </w:rPr>
              <w:t>15</w:t>
            </w:r>
            <w:r w:rsidRPr="003A1E35">
              <w:rPr>
                <w:sz w:val="16"/>
                <w:szCs w:val="16"/>
                <w:lang w:eastAsia="fr-FR"/>
              </w:rPr>
              <w:t xml:space="preserve"> </w:t>
            </w:r>
            <w:r w:rsidR="00FA42DB" w:rsidRPr="0037713F">
              <w:rPr>
                <w:sz w:val="16"/>
                <w:szCs w:val="16"/>
                <w:lang w:eastAsia="fr-FR"/>
              </w:rPr>
              <w:t>University regional strategy</w:t>
            </w:r>
          </w:p>
          <w:p w14:paraId="2A10EBF5" w14:textId="77777777" w:rsidR="002E1A3F" w:rsidRPr="0037713F" w:rsidRDefault="002E1A3F" w:rsidP="008E2709">
            <w:pPr>
              <w:jc w:val="center"/>
              <w:rPr>
                <w:sz w:val="16"/>
                <w:szCs w:val="16"/>
                <w:lang w:eastAsia="fr-FR"/>
              </w:rPr>
            </w:pPr>
          </w:p>
          <w:p w14:paraId="6638E846" w14:textId="77777777" w:rsidR="002E1A3F" w:rsidRPr="0037713F" w:rsidRDefault="00B00100" w:rsidP="008E2709">
            <w:pPr>
              <w:jc w:val="center"/>
              <w:rPr>
                <w:sz w:val="16"/>
                <w:szCs w:val="16"/>
                <w:lang w:eastAsia="fr-FR"/>
              </w:rPr>
            </w:pPr>
            <w:r>
              <w:rPr>
                <w:sz w:val="16"/>
                <w:szCs w:val="16"/>
                <w:lang w:eastAsia="fr-FR"/>
              </w:rPr>
              <w:t>0</w:t>
            </w:r>
          </w:p>
          <w:p w14:paraId="3033B034" w14:textId="77777777" w:rsidR="002E1A3F" w:rsidRPr="0037713F" w:rsidRDefault="00B00100" w:rsidP="008E2709">
            <w:pPr>
              <w:jc w:val="center"/>
              <w:rPr>
                <w:sz w:val="16"/>
                <w:szCs w:val="16"/>
                <w:lang w:eastAsia="fr-FR"/>
              </w:rPr>
            </w:pPr>
            <w:r w:rsidRPr="0037713F">
              <w:rPr>
                <w:sz w:val="16"/>
                <w:szCs w:val="16"/>
                <w:lang w:eastAsia="fr-FR"/>
              </w:rPr>
              <w:t>Open and competitive selection of the head of university or dean</w:t>
            </w:r>
          </w:p>
          <w:p w14:paraId="49FB8E83" w14:textId="77777777" w:rsidR="002E1A3F" w:rsidRPr="0037713F" w:rsidRDefault="002E1A3F" w:rsidP="008E2709">
            <w:pPr>
              <w:jc w:val="center"/>
              <w:rPr>
                <w:sz w:val="16"/>
                <w:szCs w:val="16"/>
                <w:lang w:eastAsia="fr-FR"/>
              </w:rPr>
            </w:pPr>
          </w:p>
          <w:p w14:paraId="52970657" w14:textId="77777777" w:rsidR="002E1A3F" w:rsidRPr="0037713F" w:rsidRDefault="00B00100" w:rsidP="008E2709">
            <w:pPr>
              <w:jc w:val="center"/>
              <w:rPr>
                <w:sz w:val="16"/>
                <w:szCs w:val="16"/>
                <w:lang w:eastAsia="fr-FR"/>
              </w:rPr>
            </w:pPr>
            <w:r>
              <w:rPr>
                <w:sz w:val="16"/>
                <w:szCs w:val="16"/>
                <w:lang w:eastAsia="fr-FR"/>
              </w:rPr>
              <w:t>0</w:t>
            </w:r>
          </w:p>
          <w:p w14:paraId="06DB0DC7" w14:textId="77777777" w:rsidR="002E1A3F" w:rsidRPr="0037713F" w:rsidRDefault="00B00100" w:rsidP="008E2709">
            <w:pPr>
              <w:jc w:val="center"/>
              <w:rPr>
                <w:sz w:val="16"/>
                <w:szCs w:val="16"/>
                <w:lang w:eastAsia="fr-FR"/>
              </w:rPr>
            </w:pPr>
            <w:r w:rsidRPr="0037713F">
              <w:rPr>
                <w:sz w:val="16"/>
                <w:szCs w:val="16"/>
                <w:lang w:eastAsia="fr-FR"/>
              </w:rPr>
              <w:t>Institutional accreditation steps</w:t>
            </w:r>
          </w:p>
          <w:p w14:paraId="1CAC3A6D" w14:textId="77777777" w:rsidR="002E1A3F" w:rsidRPr="0037713F" w:rsidRDefault="002E1A3F" w:rsidP="008E2709">
            <w:pPr>
              <w:jc w:val="center"/>
              <w:rPr>
                <w:sz w:val="16"/>
                <w:szCs w:val="16"/>
                <w:lang w:eastAsia="fr-FR"/>
              </w:rPr>
            </w:pPr>
          </w:p>
          <w:p w14:paraId="164A24BE" w14:textId="77777777" w:rsidR="002E1A3F" w:rsidRPr="0037713F" w:rsidRDefault="00B00100" w:rsidP="008E2709">
            <w:pPr>
              <w:jc w:val="center"/>
              <w:rPr>
                <w:sz w:val="16"/>
                <w:szCs w:val="16"/>
                <w:lang w:eastAsia="fr-FR"/>
              </w:rPr>
            </w:pPr>
            <w:r>
              <w:rPr>
                <w:sz w:val="16"/>
                <w:szCs w:val="16"/>
                <w:lang w:eastAsia="fr-FR"/>
              </w:rPr>
              <w:t>2</w:t>
            </w:r>
            <w:r w:rsidR="008675B7">
              <w:rPr>
                <w:sz w:val="16"/>
                <w:szCs w:val="16"/>
                <w:lang w:eastAsia="fr-FR"/>
              </w:rPr>
              <w:t>5</w:t>
            </w:r>
          </w:p>
          <w:p w14:paraId="357048E4" w14:textId="77777777" w:rsidR="002E1A3F" w:rsidRPr="0037713F" w:rsidRDefault="00B00100" w:rsidP="008E2709">
            <w:pPr>
              <w:jc w:val="center"/>
              <w:rPr>
                <w:sz w:val="16"/>
                <w:szCs w:val="16"/>
                <w:lang w:eastAsia="fr-FR"/>
              </w:rPr>
            </w:pPr>
            <w:r w:rsidRPr="0037713F">
              <w:rPr>
                <w:sz w:val="16"/>
                <w:szCs w:val="16"/>
                <w:lang w:eastAsia="fr-FR"/>
              </w:rPr>
              <w:t>PASET Benchmarking</w:t>
            </w:r>
          </w:p>
          <w:p w14:paraId="2FA931B0" w14:textId="77777777" w:rsidR="002E1A3F" w:rsidRPr="0037713F" w:rsidRDefault="002E1A3F" w:rsidP="008E2709">
            <w:pPr>
              <w:jc w:val="center"/>
              <w:rPr>
                <w:sz w:val="16"/>
                <w:szCs w:val="16"/>
              </w:rPr>
            </w:pPr>
          </w:p>
          <w:p w14:paraId="08E40522" w14:textId="77777777" w:rsidR="002E1A3F" w:rsidRDefault="00B00100" w:rsidP="008E2709">
            <w:pPr>
              <w:jc w:val="center"/>
              <w:rPr>
                <w:sz w:val="16"/>
                <w:szCs w:val="16"/>
              </w:rPr>
            </w:pPr>
            <w:r>
              <w:rPr>
                <w:sz w:val="16"/>
                <w:szCs w:val="16"/>
              </w:rPr>
              <w:t>0</w:t>
            </w:r>
            <w:r w:rsidR="00FA42DB" w:rsidRPr="0037713F">
              <w:rPr>
                <w:sz w:val="16"/>
                <w:szCs w:val="16"/>
              </w:rPr>
              <w:t xml:space="preserve"> Milestones on institutional impact</w:t>
            </w:r>
          </w:p>
          <w:p w14:paraId="2EA594D0" w14:textId="77777777" w:rsidR="0054180D" w:rsidRDefault="0054180D" w:rsidP="008E2709">
            <w:pPr>
              <w:jc w:val="center"/>
              <w:rPr>
                <w:sz w:val="16"/>
                <w:szCs w:val="16"/>
              </w:rPr>
            </w:pPr>
          </w:p>
          <w:p w14:paraId="214AB087" w14:textId="77777777" w:rsidR="002E1A3F" w:rsidRPr="0037713F" w:rsidRDefault="00B00100" w:rsidP="008E2709">
            <w:pPr>
              <w:jc w:val="center"/>
              <w:rPr>
                <w:sz w:val="16"/>
                <w:szCs w:val="16"/>
                <w:lang w:eastAsia="fr-FR"/>
              </w:rPr>
            </w:pPr>
            <w:r>
              <w:rPr>
                <w:sz w:val="16"/>
                <w:szCs w:val="16"/>
              </w:rPr>
              <w:t>16 ICT Services for innovation in teaching and research</w:t>
            </w:r>
          </w:p>
        </w:tc>
        <w:tc>
          <w:tcPr>
            <w:tcW w:w="1851" w:type="dxa"/>
            <w:tcBorders>
              <w:top w:val="single" w:sz="4" w:space="0" w:color="auto"/>
              <w:left w:val="nil"/>
              <w:bottom w:val="single" w:sz="4" w:space="0" w:color="auto"/>
              <w:right w:val="single" w:sz="4" w:space="0" w:color="auto"/>
            </w:tcBorders>
            <w:shd w:val="clear" w:color="auto" w:fill="auto"/>
            <w:vAlign w:val="center"/>
          </w:tcPr>
          <w:p w14:paraId="4962F107" w14:textId="77777777" w:rsidR="002E1A3F" w:rsidRPr="0037713F" w:rsidRDefault="00B00100" w:rsidP="008E2709">
            <w:pPr>
              <w:jc w:val="center"/>
              <w:rPr>
                <w:sz w:val="16"/>
                <w:szCs w:val="16"/>
                <w:lang w:eastAsia="fr-FR"/>
              </w:rPr>
            </w:pPr>
            <w:r>
              <w:rPr>
                <w:sz w:val="16"/>
                <w:szCs w:val="16"/>
                <w:lang w:eastAsia="fr-FR"/>
              </w:rPr>
              <w:t>0</w:t>
            </w:r>
            <w:r w:rsidRPr="002150B1">
              <w:rPr>
                <w:sz w:val="16"/>
                <w:szCs w:val="16"/>
                <w:lang w:eastAsia="fr-FR"/>
              </w:rPr>
              <w:t xml:space="preserve"> </w:t>
            </w:r>
            <w:r w:rsidR="00FA42DB" w:rsidRPr="0037713F">
              <w:rPr>
                <w:sz w:val="16"/>
                <w:szCs w:val="16"/>
                <w:lang w:eastAsia="fr-FR"/>
              </w:rPr>
              <w:t>University regional strategy</w:t>
            </w:r>
          </w:p>
          <w:p w14:paraId="73C5660B" w14:textId="77777777" w:rsidR="002E1A3F" w:rsidRPr="0037713F" w:rsidRDefault="002E1A3F" w:rsidP="008E2709">
            <w:pPr>
              <w:jc w:val="center"/>
              <w:rPr>
                <w:sz w:val="16"/>
                <w:szCs w:val="16"/>
                <w:lang w:eastAsia="fr-FR"/>
              </w:rPr>
            </w:pPr>
          </w:p>
          <w:p w14:paraId="76E89F4A" w14:textId="77777777" w:rsidR="002E1A3F" w:rsidRPr="0037713F" w:rsidRDefault="00B00100" w:rsidP="008E2709">
            <w:pPr>
              <w:jc w:val="center"/>
              <w:rPr>
                <w:sz w:val="16"/>
                <w:szCs w:val="16"/>
                <w:lang w:eastAsia="fr-FR"/>
              </w:rPr>
            </w:pPr>
            <w:r>
              <w:rPr>
                <w:sz w:val="16"/>
                <w:szCs w:val="16"/>
                <w:lang w:eastAsia="fr-FR"/>
              </w:rPr>
              <w:t>0</w:t>
            </w:r>
          </w:p>
          <w:p w14:paraId="5533DE48" w14:textId="77777777" w:rsidR="002E1A3F" w:rsidRPr="0037713F" w:rsidRDefault="00B00100" w:rsidP="008E2709">
            <w:pPr>
              <w:jc w:val="center"/>
              <w:rPr>
                <w:sz w:val="16"/>
                <w:szCs w:val="16"/>
                <w:lang w:eastAsia="fr-FR"/>
              </w:rPr>
            </w:pPr>
            <w:r w:rsidRPr="0037713F">
              <w:rPr>
                <w:sz w:val="16"/>
                <w:szCs w:val="16"/>
                <w:lang w:eastAsia="fr-FR"/>
              </w:rPr>
              <w:t>Open and competitive selection of the head of university or dean</w:t>
            </w:r>
          </w:p>
          <w:p w14:paraId="41E3487F" w14:textId="77777777" w:rsidR="002E1A3F" w:rsidRPr="0037713F" w:rsidRDefault="002E1A3F" w:rsidP="008E2709">
            <w:pPr>
              <w:jc w:val="center"/>
              <w:rPr>
                <w:sz w:val="16"/>
                <w:szCs w:val="16"/>
                <w:lang w:eastAsia="fr-FR"/>
              </w:rPr>
            </w:pPr>
          </w:p>
          <w:p w14:paraId="47610FE5" w14:textId="77777777" w:rsidR="002E1A3F" w:rsidRPr="0037713F" w:rsidRDefault="00B00100" w:rsidP="008E2709">
            <w:pPr>
              <w:jc w:val="center"/>
              <w:rPr>
                <w:sz w:val="16"/>
                <w:szCs w:val="16"/>
                <w:lang w:eastAsia="fr-FR"/>
              </w:rPr>
            </w:pPr>
            <w:r>
              <w:rPr>
                <w:sz w:val="16"/>
                <w:szCs w:val="16"/>
                <w:lang w:eastAsia="fr-FR"/>
              </w:rPr>
              <w:t>2</w:t>
            </w:r>
            <w:r w:rsidR="008675B7">
              <w:rPr>
                <w:sz w:val="16"/>
                <w:szCs w:val="16"/>
                <w:lang w:eastAsia="fr-FR"/>
              </w:rPr>
              <w:t>5</w:t>
            </w:r>
          </w:p>
          <w:p w14:paraId="71ABA346" w14:textId="77777777" w:rsidR="002E1A3F" w:rsidRPr="0037713F" w:rsidRDefault="00B00100" w:rsidP="008E2709">
            <w:pPr>
              <w:jc w:val="center"/>
              <w:rPr>
                <w:sz w:val="16"/>
                <w:szCs w:val="16"/>
                <w:lang w:eastAsia="fr-FR"/>
              </w:rPr>
            </w:pPr>
            <w:r w:rsidRPr="0037713F">
              <w:rPr>
                <w:sz w:val="16"/>
                <w:szCs w:val="16"/>
                <w:lang w:eastAsia="fr-FR"/>
              </w:rPr>
              <w:t>Institutional accreditation steps</w:t>
            </w:r>
          </w:p>
          <w:p w14:paraId="60A3A186" w14:textId="77777777" w:rsidR="002E1A3F" w:rsidRPr="0037713F" w:rsidRDefault="002E1A3F" w:rsidP="008E2709">
            <w:pPr>
              <w:jc w:val="center"/>
              <w:rPr>
                <w:sz w:val="16"/>
                <w:szCs w:val="16"/>
                <w:lang w:eastAsia="fr-FR"/>
              </w:rPr>
            </w:pPr>
          </w:p>
          <w:p w14:paraId="00787D81" w14:textId="77777777" w:rsidR="002E1A3F" w:rsidRPr="0037713F" w:rsidRDefault="00B00100" w:rsidP="008E2709">
            <w:pPr>
              <w:jc w:val="center"/>
              <w:rPr>
                <w:sz w:val="16"/>
                <w:szCs w:val="16"/>
                <w:lang w:eastAsia="fr-FR"/>
              </w:rPr>
            </w:pPr>
            <w:r>
              <w:rPr>
                <w:sz w:val="16"/>
                <w:szCs w:val="16"/>
                <w:lang w:eastAsia="fr-FR"/>
              </w:rPr>
              <w:t>0</w:t>
            </w:r>
          </w:p>
          <w:p w14:paraId="29737FF4" w14:textId="77777777" w:rsidR="002E1A3F" w:rsidRPr="0037713F" w:rsidRDefault="00B00100" w:rsidP="008E2709">
            <w:pPr>
              <w:jc w:val="center"/>
              <w:rPr>
                <w:sz w:val="16"/>
                <w:szCs w:val="16"/>
                <w:lang w:eastAsia="fr-FR"/>
              </w:rPr>
            </w:pPr>
            <w:r w:rsidRPr="0037713F">
              <w:rPr>
                <w:sz w:val="16"/>
                <w:szCs w:val="16"/>
                <w:lang w:eastAsia="fr-FR"/>
              </w:rPr>
              <w:t>PASET Benchmarking</w:t>
            </w:r>
          </w:p>
          <w:p w14:paraId="4F006F0F" w14:textId="77777777" w:rsidR="002E1A3F" w:rsidRPr="0037713F" w:rsidRDefault="002E1A3F" w:rsidP="008E2709">
            <w:pPr>
              <w:jc w:val="center"/>
              <w:rPr>
                <w:sz w:val="16"/>
                <w:szCs w:val="16"/>
              </w:rPr>
            </w:pPr>
          </w:p>
          <w:p w14:paraId="5EB1795D" w14:textId="77777777" w:rsidR="002E1A3F" w:rsidRDefault="00B00100" w:rsidP="008E2709">
            <w:pPr>
              <w:jc w:val="center"/>
              <w:rPr>
                <w:sz w:val="16"/>
                <w:szCs w:val="16"/>
              </w:rPr>
            </w:pPr>
            <w:r>
              <w:rPr>
                <w:sz w:val="16"/>
                <w:szCs w:val="16"/>
              </w:rPr>
              <w:t>0</w:t>
            </w:r>
            <w:r w:rsidR="00FA42DB" w:rsidRPr="0037713F">
              <w:rPr>
                <w:sz w:val="16"/>
                <w:szCs w:val="16"/>
              </w:rPr>
              <w:t xml:space="preserve"> Milestones on institutional impact</w:t>
            </w:r>
          </w:p>
          <w:p w14:paraId="5989BDF3" w14:textId="77777777" w:rsidR="0054180D" w:rsidRDefault="0054180D" w:rsidP="008E2709">
            <w:pPr>
              <w:jc w:val="center"/>
              <w:rPr>
                <w:sz w:val="16"/>
                <w:szCs w:val="16"/>
              </w:rPr>
            </w:pPr>
          </w:p>
          <w:p w14:paraId="1448F2F7" w14:textId="77777777" w:rsidR="002E1A3F" w:rsidRPr="000C46A6" w:rsidRDefault="00B00100" w:rsidP="008E2709">
            <w:pPr>
              <w:jc w:val="center"/>
              <w:rPr>
                <w:sz w:val="16"/>
                <w:szCs w:val="16"/>
                <w:lang w:eastAsia="fr-FR"/>
              </w:rPr>
            </w:pPr>
            <w:r>
              <w:rPr>
                <w:sz w:val="16"/>
                <w:szCs w:val="16"/>
              </w:rPr>
              <w:t>16 ICT Services for innovation in teaching and research</w:t>
            </w:r>
          </w:p>
        </w:tc>
        <w:tc>
          <w:tcPr>
            <w:tcW w:w="1917" w:type="dxa"/>
            <w:tcBorders>
              <w:top w:val="single" w:sz="4" w:space="0" w:color="auto"/>
              <w:left w:val="nil"/>
              <w:bottom w:val="single" w:sz="4" w:space="0" w:color="auto"/>
              <w:right w:val="single" w:sz="4" w:space="0" w:color="auto"/>
            </w:tcBorders>
            <w:shd w:val="clear" w:color="auto" w:fill="auto"/>
            <w:vAlign w:val="center"/>
          </w:tcPr>
          <w:p w14:paraId="4D9D9F7B" w14:textId="77777777" w:rsidR="002E1A3F" w:rsidRPr="0037713F" w:rsidRDefault="00B00100" w:rsidP="008E2709">
            <w:pPr>
              <w:jc w:val="center"/>
              <w:rPr>
                <w:sz w:val="16"/>
                <w:szCs w:val="16"/>
                <w:lang w:eastAsia="fr-FR"/>
              </w:rPr>
            </w:pPr>
            <w:r>
              <w:rPr>
                <w:sz w:val="16"/>
                <w:szCs w:val="16"/>
                <w:lang w:eastAsia="fr-FR"/>
              </w:rPr>
              <w:t>8</w:t>
            </w:r>
            <w:r w:rsidR="002150B1" w:rsidRPr="002150B1">
              <w:rPr>
                <w:sz w:val="16"/>
                <w:szCs w:val="16"/>
                <w:lang w:eastAsia="fr-FR"/>
              </w:rPr>
              <w:t xml:space="preserve"> </w:t>
            </w:r>
            <w:r w:rsidR="00FA42DB" w:rsidRPr="0037713F">
              <w:rPr>
                <w:sz w:val="16"/>
                <w:szCs w:val="16"/>
                <w:lang w:eastAsia="fr-FR"/>
              </w:rPr>
              <w:t>University regional strategy</w:t>
            </w:r>
          </w:p>
          <w:p w14:paraId="32FC22E7" w14:textId="77777777" w:rsidR="002E1A3F" w:rsidRPr="0037713F" w:rsidRDefault="002E1A3F" w:rsidP="008E2709">
            <w:pPr>
              <w:jc w:val="center"/>
              <w:rPr>
                <w:sz w:val="16"/>
                <w:szCs w:val="16"/>
                <w:lang w:eastAsia="fr-FR"/>
              </w:rPr>
            </w:pPr>
          </w:p>
          <w:p w14:paraId="0DD3BD01" w14:textId="77777777" w:rsidR="002E1A3F" w:rsidRPr="0037713F" w:rsidRDefault="00B00100" w:rsidP="008E2709">
            <w:pPr>
              <w:jc w:val="center"/>
              <w:rPr>
                <w:sz w:val="16"/>
                <w:szCs w:val="16"/>
                <w:lang w:eastAsia="fr-FR"/>
              </w:rPr>
            </w:pPr>
            <w:r>
              <w:rPr>
                <w:sz w:val="16"/>
                <w:szCs w:val="16"/>
                <w:lang w:eastAsia="fr-FR"/>
              </w:rPr>
              <w:t>3</w:t>
            </w:r>
          </w:p>
          <w:p w14:paraId="0F0694FA" w14:textId="77777777" w:rsidR="002E1A3F" w:rsidRPr="0037713F" w:rsidRDefault="00B00100" w:rsidP="008E2709">
            <w:pPr>
              <w:jc w:val="center"/>
              <w:rPr>
                <w:sz w:val="16"/>
                <w:szCs w:val="16"/>
                <w:lang w:eastAsia="fr-FR"/>
              </w:rPr>
            </w:pPr>
            <w:r w:rsidRPr="0037713F">
              <w:rPr>
                <w:sz w:val="16"/>
                <w:szCs w:val="16"/>
                <w:lang w:eastAsia="fr-FR"/>
              </w:rPr>
              <w:t>Open and competitive selection of the head of university or dean</w:t>
            </w:r>
          </w:p>
          <w:p w14:paraId="0A8DE47C" w14:textId="77777777" w:rsidR="002E1A3F" w:rsidRPr="0037713F" w:rsidRDefault="002E1A3F" w:rsidP="008E2709">
            <w:pPr>
              <w:jc w:val="center"/>
              <w:rPr>
                <w:sz w:val="16"/>
                <w:szCs w:val="16"/>
                <w:lang w:eastAsia="fr-FR"/>
              </w:rPr>
            </w:pPr>
          </w:p>
          <w:p w14:paraId="00831C3A" w14:textId="77777777" w:rsidR="002E1A3F" w:rsidRPr="0037713F" w:rsidRDefault="00B00100" w:rsidP="008E2709">
            <w:pPr>
              <w:jc w:val="center"/>
              <w:rPr>
                <w:sz w:val="16"/>
                <w:szCs w:val="16"/>
                <w:lang w:eastAsia="fr-FR"/>
              </w:rPr>
            </w:pPr>
            <w:r>
              <w:rPr>
                <w:sz w:val="16"/>
                <w:szCs w:val="16"/>
                <w:lang w:eastAsia="fr-FR"/>
              </w:rPr>
              <w:t>0</w:t>
            </w:r>
          </w:p>
          <w:p w14:paraId="40DE92DE" w14:textId="77777777" w:rsidR="002E1A3F" w:rsidRPr="0037713F" w:rsidRDefault="00B00100" w:rsidP="008E2709">
            <w:pPr>
              <w:jc w:val="center"/>
              <w:rPr>
                <w:sz w:val="16"/>
                <w:szCs w:val="16"/>
                <w:lang w:eastAsia="fr-FR"/>
              </w:rPr>
            </w:pPr>
            <w:r w:rsidRPr="0037713F">
              <w:rPr>
                <w:sz w:val="16"/>
                <w:szCs w:val="16"/>
                <w:lang w:eastAsia="fr-FR"/>
              </w:rPr>
              <w:t>Institutional accreditation steps</w:t>
            </w:r>
          </w:p>
          <w:p w14:paraId="35B53886" w14:textId="77777777" w:rsidR="002E1A3F" w:rsidRPr="0037713F" w:rsidRDefault="002E1A3F" w:rsidP="008E2709">
            <w:pPr>
              <w:jc w:val="center"/>
              <w:rPr>
                <w:sz w:val="16"/>
                <w:szCs w:val="16"/>
                <w:lang w:eastAsia="fr-FR"/>
              </w:rPr>
            </w:pPr>
          </w:p>
          <w:p w14:paraId="044644E0" w14:textId="77777777" w:rsidR="002E1A3F" w:rsidRPr="0037713F" w:rsidRDefault="00B00100" w:rsidP="008E2709">
            <w:pPr>
              <w:jc w:val="center"/>
              <w:rPr>
                <w:sz w:val="16"/>
                <w:szCs w:val="16"/>
                <w:lang w:eastAsia="fr-FR"/>
              </w:rPr>
            </w:pPr>
            <w:r>
              <w:rPr>
                <w:sz w:val="16"/>
                <w:szCs w:val="16"/>
                <w:lang w:eastAsia="fr-FR"/>
              </w:rPr>
              <w:t>2</w:t>
            </w:r>
            <w:r w:rsidR="008675B7">
              <w:rPr>
                <w:sz w:val="16"/>
                <w:szCs w:val="16"/>
                <w:lang w:eastAsia="fr-FR"/>
              </w:rPr>
              <w:t>5</w:t>
            </w:r>
          </w:p>
          <w:p w14:paraId="16CCF0D6" w14:textId="77777777" w:rsidR="002E1A3F" w:rsidRPr="0037713F" w:rsidRDefault="00B00100" w:rsidP="008E2709">
            <w:pPr>
              <w:jc w:val="center"/>
              <w:rPr>
                <w:sz w:val="16"/>
                <w:szCs w:val="16"/>
                <w:lang w:eastAsia="fr-FR"/>
              </w:rPr>
            </w:pPr>
            <w:r w:rsidRPr="0037713F">
              <w:rPr>
                <w:sz w:val="16"/>
                <w:szCs w:val="16"/>
                <w:lang w:eastAsia="fr-FR"/>
              </w:rPr>
              <w:t>PASET Benchmarking</w:t>
            </w:r>
          </w:p>
          <w:p w14:paraId="4F4002B4" w14:textId="77777777" w:rsidR="002E1A3F" w:rsidRPr="0037713F" w:rsidRDefault="002E1A3F" w:rsidP="008E2709">
            <w:pPr>
              <w:jc w:val="center"/>
              <w:rPr>
                <w:sz w:val="16"/>
                <w:szCs w:val="16"/>
              </w:rPr>
            </w:pPr>
          </w:p>
          <w:p w14:paraId="65B49FBC" w14:textId="77777777" w:rsidR="002E1A3F" w:rsidRDefault="00B00100" w:rsidP="008E2709">
            <w:pPr>
              <w:jc w:val="center"/>
              <w:rPr>
                <w:sz w:val="16"/>
                <w:szCs w:val="16"/>
              </w:rPr>
            </w:pPr>
            <w:r>
              <w:rPr>
                <w:sz w:val="16"/>
                <w:szCs w:val="16"/>
              </w:rPr>
              <w:t xml:space="preserve">8 </w:t>
            </w:r>
            <w:r w:rsidR="00FA42DB" w:rsidRPr="0037713F">
              <w:rPr>
                <w:sz w:val="16"/>
                <w:szCs w:val="16"/>
              </w:rPr>
              <w:t>Milestones on institutional impact</w:t>
            </w:r>
          </w:p>
          <w:p w14:paraId="5D60E229" w14:textId="77777777" w:rsidR="0054180D" w:rsidRDefault="0054180D" w:rsidP="008E2709">
            <w:pPr>
              <w:jc w:val="center"/>
              <w:rPr>
                <w:sz w:val="16"/>
                <w:szCs w:val="16"/>
              </w:rPr>
            </w:pPr>
          </w:p>
          <w:p w14:paraId="68D12A31" w14:textId="77777777" w:rsidR="002E1A3F" w:rsidRPr="0037713F" w:rsidRDefault="00B00100" w:rsidP="008E2709">
            <w:pPr>
              <w:jc w:val="center"/>
              <w:rPr>
                <w:sz w:val="16"/>
                <w:szCs w:val="16"/>
                <w:lang w:eastAsia="fr-FR"/>
              </w:rPr>
            </w:pPr>
            <w:r>
              <w:rPr>
                <w:sz w:val="16"/>
                <w:szCs w:val="16"/>
              </w:rPr>
              <w:t>16 ICT Services for innovation in teaching and research</w:t>
            </w:r>
          </w:p>
        </w:tc>
        <w:tc>
          <w:tcPr>
            <w:tcW w:w="1919" w:type="dxa"/>
            <w:tcBorders>
              <w:top w:val="single" w:sz="4" w:space="0" w:color="auto"/>
              <w:left w:val="nil"/>
              <w:bottom w:val="single" w:sz="4" w:space="0" w:color="auto"/>
              <w:right w:val="single" w:sz="4" w:space="0" w:color="auto"/>
            </w:tcBorders>
            <w:shd w:val="clear" w:color="auto" w:fill="auto"/>
            <w:vAlign w:val="center"/>
          </w:tcPr>
          <w:p w14:paraId="3B4C77D6" w14:textId="77777777" w:rsidR="002E1A3F" w:rsidRPr="0037713F" w:rsidRDefault="00B00100" w:rsidP="008E2709">
            <w:pPr>
              <w:jc w:val="center"/>
              <w:rPr>
                <w:sz w:val="16"/>
                <w:szCs w:val="16"/>
                <w:lang w:eastAsia="fr-FR"/>
              </w:rPr>
            </w:pPr>
            <w:r>
              <w:rPr>
                <w:sz w:val="16"/>
                <w:szCs w:val="16"/>
                <w:lang w:eastAsia="fr-FR"/>
              </w:rPr>
              <w:t>0</w:t>
            </w:r>
            <w:r w:rsidRPr="005C6699">
              <w:rPr>
                <w:sz w:val="16"/>
                <w:szCs w:val="16"/>
                <w:lang w:eastAsia="fr-FR"/>
              </w:rPr>
              <w:t xml:space="preserve"> </w:t>
            </w:r>
            <w:r w:rsidR="00FA42DB" w:rsidRPr="0037713F">
              <w:rPr>
                <w:sz w:val="16"/>
                <w:szCs w:val="16"/>
                <w:lang w:eastAsia="fr-FR"/>
              </w:rPr>
              <w:t>University regional strategy</w:t>
            </w:r>
          </w:p>
          <w:p w14:paraId="7F9E2501" w14:textId="77777777" w:rsidR="002E1A3F" w:rsidRPr="0037713F" w:rsidRDefault="002E1A3F" w:rsidP="008E2709">
            <w:pPr>
              <w:jc w:val="center"/>
              <w:rPr>
                <w:sz w:val="16"/>
                <w:szCs w:val="16"/>
                <w:lang w:eastAsia="fr-FR"/>
              </w:rPr>
            </w:pPr>
          </w:p>
          <w:p w14:paraId="70FE9684" w14:textId="77777777" w:rsidR="002E1A3F" w:rsidRPr="0037713F" w:rsidRDefault="00B00100" w:rsidP="008E2709">
            <w:pPr>
              <w:jc w:val="center"/>
              <w:rPr>
                <w:sz w:val="16"/>
                <w:szCs w:val="16"/>
                <w:lang w:eastAsia="fr-FR"/>
              </w:rPr>
            </w:pPr>
            <w:r>
              <w:rPr>
                <w:sz w:val="16"/>
                <w:szCs w:val="16"/>
                <w:lang w:eastAsia="fr-FR"/>
              </w:rPr>
              <w:t>0</w:t>
            </w:r>
          </w:p>
          <w:p w14:paraId="71E1293B" w14:textId="77777777" w:rsidR="002E1A3F" w:rsidRPr="0037713F" w:rsidRDefault="00B00100" w:rsidP="008E2709">
            <w:pPr>
              <w:jc w:val="center"/>
              <w:rPr>
                <w:sz w:val="16"/>
                <w:szCs w:val="16"/>
                <w:lang w:eastAsia="fr-FR"/>
              </w:rPr>
            </w:pPr>
            <w:r w:rsidRPr="0037713F">
              <w:rPr>
                <w:sz w:val="16"/>
                <w:szCs w:val="16"/>
                <w:lang w:eastAsia="fr-FR"/>
              </w:rPr>
              <w:t>Open and competitive selection of the head of university or dean</w:t>
            </w:r>
          </w:p>
          <w:p w14:paraId="65F7B032" w14:textId="77777777" w:rsidR="002E1A3F" w:rsidRPr="0037713F" w:rsidRDefault="002E1A3F" w:rsidP="008E2709">
            <w:pPr>
              <w:jc w:val="center"/>
              <w:rPr>
                <w:sz w:val="16"/>
                <w:szCs w:val="16"/>
                <w:lang w:eastAsia="fr-FR"/>
              </w:rPr>
            </w:pPr>
          </w:p>
          <w:p w14:paraId="6A2F606D" w14:textId="77777777" w:rsidR="002E1A3F" w:rsidRPr="0037713F" w:rsidRDefault="00B00100" w:rsidP="008E2709">
            <w:pPr>
              <w:jc w:val="center"/>
              <w:rPr>
                <w:sz w:val="16"/>
                <w:szCs w:val="16"/>
                <w:lang w:eastAsia="fr-FR"/>
              </w:rPr>
            </w:pPr>
            <w:r>
              <w:rPr>
                <w:sz w:val="16"/>
                <w:szCs w:val="16"/>
                <w:lang w:eastAsia="fr-FR"/>
              </w:rPr>
              <w:t>2</w:t>
            </w:r>
            <w:r w:rsidR="008675B7">
              <w:rPr>
                <w:sz w:val="16"/>
                <w:szCs w:val="16"/>
                <w:lang w:eastAsia="fr-FR"/>
              </w:rPr>
              <w:t>3</w:t>
            </w:r>
          </w:p>
          <w:p w14:paraId="369335E0" w14:textId="77777777" w:rsidR="002E1A3F" w:rsidRPr="0037713F" w:rsidRDefault="00B00100" w:rsidP="008E2709">
            <w:pPr>
              <w:jc w:val="center"/>
              <w:rPr>
                <w:sz w:val="16"/>
                <w:szCs w:val="16"/>
                <w:lang w:eastAsia="fr-FR"/>
              </w:rPr>
            </w:pPr>
            <w:r w:rsidRPr="0037713F">
              <w:rPr>
                <w:sz w:val="16"/>
                <w:szCs w:val="16"/>
                <w:lang w:eastAsia="fr-FR"/>
              </w:rPr>
              <w:t>Institutional accreditation steps</w:t>
            </w:r>
          </w:p>
          <w:p w14:paraId="4886AB04" w14:textId="77777777" w:rsidR="002E1A3F" w:rsidRPr="0037713F" w:rsidRDefault="002E1A3F" w:rsidP="008E2709">
            <w:pPr>
              <w:jc w:val="center"/>
              <w:rPr>
                <w:sz w:val="16"/>
                <w:szCs w:val="16"/>
                <w:lang w:eastAsia="fr-FR"/>
              </w:rPr>
            </w:pPr>
          </w:p>
          <w:p w14:paraId="715B8DB8" w14:textId="77777777" w:rsidR="002E1A3F" w:rsidRPr="0037713F" w:rsidRDefault="00B00100" w:rsidP="008E2709">
            <w:pPr>
              <w:jc w:val="center"/>
              <w:rPr>
                <w:sz w:val="16"/>
                <w:szCs w:val="16"/>
                <w:lang w:eastAsia="fr-FR"/>
              </w:rPr>
            </w:pPr>
            <w:r>
              <w:rPr>
                <w:sz w:val="16"/>
                <w:szCs w:val="16"/>
                <w:lang w:eastAsia="fr-FR"/>
              </w:rPr>
              <w:t>0</w:t>
            </w:r>
          </w:p>
          <w:p w14:paraId="6058C0CE" w14:textId="77777777" w:rsidR="002E1A3F" w:rsidRPr="0037713F" w:rsidRDefault="00B00100" w:rsidP="008E2709">
            <w:pPr>
              <w:jc w:val="center"/>
              <w:rPr>
                <w:sz w:val="16"/>
                <w:szCs w:val="16"/>
                <w:lang w:eastAsia="fr-FR"/>
              </w:rPr>
            </w:pPr>
            <w:r w:rsidRPr="0037713F">
              <w:rPr>
                <w:sz w:val="16"/>
                <w:szCs w:val="16"/>
                <w:lang w:eastAsia="fr-FR"/>
              </w:rPr>
              <w:t>PASET Benchmarking</w:t>
            </w:r>
          </w:p>
          <w:p w14:paraId="47E98D81" w14:textId="77777777" w:rsidR="002E1A3F" w:rsidRPr="0037713F" w:rsidRDefault="002E1A3F" w:rsidP="008E2709">
            <w:pPr>
              <w:jc w:val="center"/>
              <w:rPr>
                <w:sz w:val="16"/>
                <w:szCs w:val="16"/>
              </w:rPr>
            </w:pPr>
          </w:p>
          <w:p w14:paraId="65E67291" w14:textId="77777777" w:rsidR="002E1A3F" w:rsidRDefault="00B00100" w:rsidP="008E2709">
            <w:pPr>
              <w:jc w:val="center"/>
              <w:rPr>
                <w:sz w:val="16"/>
                <w:szCs w:val="16"/>
              </w:rPr>
            </w:pPr>
            <w:r>
              <w:rPr>
                <w:sz w:val="16"/>
                <w:szCs w:val="16"/>
              </w:rPr>
              <w:t xml:space="preserve">7 </w:t>
            </w:r>
            <w:r w:rsidRPr="0037713F">
              <w:rPr>
                <w:sz w:val="16"/>
                <w:szCs w:val="16"/>
              </w:rPr>
              <w:t>Milestones</w:t>
            </w:r>
            <w:r w:rsidR="00FA42DB" w:rsidRPr="0037713F">
              <w:rPr>
                <w:sz w:val="16"/>
                <w:szCs w:val="16"/>
              </w:rPr>
              <w:t xml:space="preserve"> on institutional impact</w:t>
            </w:r>
          </w:p>
          <w:p w14:paraId="54C6034F" w14:textId="77777777" w:rsidR="0054180D" w:rsidRDefault="0054180D" w:rsidP="008E2709">
            <w:pPr>
              <w:jc w:val="center"/>
              <w:rPr>
                <w:sz w:val="16"/>
                <w:szCs w:val="16"/>
              </w:rPr>
            </w:pPr>
          </w:p>
          <w:p w14:paraId="4B79D759" w14:textId="77777777" w:rsidR="002E1A3F" w:rsidRPr="0037713F" w:rsidRDefault="00B00100" w:rsidP="008E2709">
            <w:pPr>
              <w:jc w:val="center"/>
              <w:rPr>
                <w:sz w:val="16"/>
                <w:szCs w:val="16"/>
                <w:lang w:eastAsia="fr-FR"/>
              </w:rPr>
            </w:pPr>
            <w:r>
              <w:rPr>
                <w:sz w:val="16"/>
                <w:szCs w:val="16"/>
              </w:rPr>
              <w:t>16 ICT Services for innovation in teaching and research</w:t>
            </w:r>
          </w:p>
        </w:tc>
      </w:tr>
      <w:tr w:rsidR="000C3959" w14:paraId="010CA338" w14:textId="77777777" w:rsidTr="008E2709">
        <w:trPr>
          <w:trHeight w:val="93"/>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26127" w14:textId="77777777" w:rsidR="002E1A3F" w:rsidRPr="000C46A6" w:rsidRDefault="00B00100" w:rsidP="00404D02">
            <w:pPr>
              <w:rPr>
                <w:sz w:val="16"/>
                <w:szCs w:val="16"/>
                <w:lang w:eastAsia="fr-FR"/>
              </w:rPr>
            </w:pPr>
            <w:r w:rsidRPr="00A84035">
              <w:rPr>
                <w:i/>
                <w:iCs/>
                <w:sz w:val="16"/>
                <w:szCs w:val="16"/>
                <w:lang w:eastAsia="fr-FR"/>
              </w:rPr>
              <w:t>Allocated amount:</w:t>
            </w:r>
          </w:p>
        </w:tc>
        <w:tc>
          <w:tcPr>
            <w:tcW w:w="1220" w:type="dxa"/>
            <w:tcBorders>
              <w:top w:val="single" w:sz="4" w:space="0" w:color="auto"/>
              <w:left w:val="nil"/>
              <w:bottom w:val="single" w:sz="4" w:space="0" w:color="auto"/>
              <w:right w:val="single" w:sz="4" w:space="0" w:color="auto"/>
            </w:tcBorders>
            <w:shd w:val="clear" w:color="auto" w:fill="auto"/>
            <w:vAlign w:val="center"/>
          </w:tcPr>
          <w:p w14:paraId="1A160C15" w14:textId="77777777" w:rsidR="002E1A3F" w:rsidRPr="000C46A6" w:rsidRDefault="00B00100" w:rsidP="00F463C2">
            <w:pPr>
              <w:jc w:val="center"/>
              <w:rPr>
                <w:sz w:val="16"/>
                <w:szCs w:val="16"/>
              </w:rPr>
            </w:pPr>
            <w:r>
              <w:rPr>
                <w:sz w:val="16"/>
                <w:szCs w:val="16"/>
              </w:rPr>
              <w:t>13,886,667</w:t>
            </w:r>
          </w:p>
        </w:tc>
        <w:tc>
          <w:tcPr>
            <w:tcW w:w="610" w:type="dxa"/>
            <w:tcBorders>
              <w:top w:val="single" w:sz="4" w:space="0" w:color="auto"/>
              <w:left w:val="nil"/>
              <w:bottom w:val="single" w:sz="4" w:space="0" w:color="auto"/>
              <w:right w:val="single" w:sz="4" w:space="0" w:color="auto"/>
            </w:tcBorders>
            <w:shd w:val="clear" w:color="auto" w:fill="auto"/>
            <w:vAlign w:val="center"/>
          </w:tcPr>
          <w:p w14:paraId="5ADA3F4B" w14:textId="77777777" w:rsidR="002E1A3F" w:rsidRPr="000C46A6" w:rsidRDefault="002E1A3F" w:rsidP="00FC1A97">
            <w:pPr>
              <w:jc w:val="center"/>
              <w:rPr>
                <w:sz w:val="16"/>
                <w:szCs w:val="16"/>
                <w:lang w:eastAsia="fr-FR"/>
              </w:rPr>
            </w:pPr>
          </w:p>
        </w:tc>
        <w:tc>
          <w:tcPr>
            <w:tcW w:w="1836" w:type="dxa"/>
            <w:tcBorders>
              <w:top w:val="single" w:sz="4" w:space="0" w:color="auto"/>
              <w:left w:val="nil"/>
              <w:bottom w:val="single" w:sz="4" w:space="0" w:color="auto"/>
              <w:right w:val="single" w:sz="4" w:space="0" w:color="auto"/>
            </w:tcBorders>
            <w:shd w:val="clear" w:color="auto" w:fill="auto"/>
            <w:vAlign w:val="center"/>
          </w:tcPr>
          <w:p w14:paraId="01BB0CE5" w14:textId="77777777" w:rsidR="002E1A3F" w:rsidRPr="000C46A6" w:rsidRDefault="00B00100" w:rsidP="003247A0">
            <w:pPr>
              <w:jc w:val="center"/>
              <w:rPr>
                <w:sz w:val="16"/>
                <w:szCs w:val="16"/>
                <w:lang w:eastAsia="fr-FR"/>
              </w:rPr>
            </w:pPr>
            <w:r>
              <w:rPr>
                <w:sz w:val="16"/>
                <w:szCs w:val="16"/>
              </w:rPr>
              <w:t>988,889</w:t>
            </w:r>
          </w:p>
        </w:tc>
        <w:tc>
          <w:tcPr>
            <w:tcW w:w="1890" w:type="dxa"/>
            <w:tcBorders>
              <w:top w:val="single" w:sz="4" w:space="0" w:color="auto"/>
              <w:left w:val="nil"/>
              <w:bottom w:val="single" w:sz="4" w:space="0" w:color="auto"/>
              <w:right w:val="single" w:sz="4" w:space="0" w:color="auto"/>
            </w:tcBorders>
            <w:shd w:val="clear" w:color="auto" w:fill="auto"/>
            <w:vAlign w:val="center"/>
          </w:tcPr>
          <w:p w14:paraId="7FEA6F33" w14:textId="77777777" w:rsidR="002E1A3F" w:rsidRPr="000C46A6" w:rsidRDefault="00B00100" w:rsidP="003247A0">
            <w:pPr>
              <w:jc w:val="center"/>
              <w:rPr>
                <w:sz w:val="16"/>
                <w:szCs w:val="16"/>
                <w:lang w:eastAsia="fr-FR"/>
              </w:rPr>
            </w:pPr>
            <w:r>
              <w:rPr>
                <w:sz w:val="16"/>
                <w:szCs w:val="16"/>
              </w:rPr>
              <w:t>2,748,889</w:t>
            </w:r>
          </w:p>
        </w:tc>
        <w:tc>
          <w:tcPr>
            <w:tcW w:w="1851" w:type="dxa"/>
            <w:tcBorders>
              <w:top w:val="single" w:sz="4" w:space="0" w:color="auto"/>
              <w:left w:val="nil"/>
              <w:bottom w:val="single" w:sz="4" w:space="0" w:color="auto"/>
              <w:right w:val="single" w:sz="4" w:space="0" w:color="auto"/>
            </w:tcBorders>
            <w:shd w:val="clear" w:color="auto" w:fill="auto"/>
            <w:vAlign w:val="center"/>
          </w:tcPr>
          <w:p w14:paraId="5FB8F8B4" w14:textId="77777777" w:rsidR="002E1A3F" w:rsidRPr="000C46A6" w:rsidRDefault="00B00100" w:rsidP="007118DD">
            <w:pPr>
              <w:jc w:val="center"/>
              <w:rPr>
                <w:sz w:val="16"/>
                <w:szCs w:val="16"/>
                <w:lang w:eastAsia="fr-FR"/>
              </w:rPr>
            </w:pPr>
            <w:r>
              <w:rPr>
                <w:sz w:val="16"/>
                <w:szCs w:val="16"/>
              </w:rPr>
              <w:t>2,</w:t>
            </w:r>
            <w:r w:rsidR="00585693">
              <w:rPr>
                <w:sz w:val="16"/>
                <w:szCs w:val="16"/>
              </w:rPr>
              <w:t>285,556</w:t>
            </w:r>
          </w:p>
        </w:tc>
        <w:tc>
          <w:tcPr>
            <w:tcW w:w="1917" w:type="dxa"/>
            <w:tcBorders>
              <w:top w:val="single" w:sz="4" w:space="0" w:color="auto"/>
              <w:left w:val="nil"/>
              <w:bottom w:val="single" w:sz="4" w:space="0" w:color="auto"/>
              <w:right w:val="single" w:sz="4" w:space="0" w:color="auto"/>
            </w:tcBorders>
            <w:shd w:val="clear" w:color="auto" w:fill="auto"/>
            <w:vAlign w:val="center"/>
          </w:tcPr>
          <w:p w14:paraId="562A0800" w14:textId="77777777" w:rsidR="002E1A3F" w:rsidRPr="000C46A6" w:rsidRDefault="00B00100" w:rsidP="00B22FEF">
            <w:pPr>
              <w:jc w:val="center"/>
              <w:rPr>
                <w:sz w:val="16"/>
                <w:szCs w:val="16"/>
                <w:lang w:eastAsia="fr-FR"/>
              </w:rPr>
            </w:pPr>
            <w:r>
              <w:rPr>
                <w:sz w:val="16"/>
                <w:szCs w:val="16"/>
              </w:rPr>
              <w:t>3,276,667</w:t>
            </w:r>
          </w:p>
        </w:tc>
        <w:tc>
          <w:tcPr>
            <w:tcW w:w="1919" w:type="dxa"/>
            <w:tcBorders>
              <w:top w:val="single" w:sz="4" w:space="0" w:color="auto"/>
              <w:left w:val="nil"/>
              <w:bottom w:val="single" w:sz="4" w:space="0" w:color="auto"/>
              <w:right w:val="single" w:sz="4" w:space="0" w:color="auto"/>
            </w:tcBorders>
            <w:shd w:val="clear" w:color="auto" w:fill="auto"/>
            <w:vAlign w:val="center"/>
          </w:tcPr>
          <w:p w14:paraId="2581D672" w14:textId="77777777" w:rsidR="002E1A3F" w:rsidRPr="000C46A6" w:rsidRDefault="00B00100" w:rsidP="00931B2D">
            <w:pPr>
              <w:jc w:val="center"/>
              <w:rPr>
                <w:sz w:val="16"/>
                <w:szCs w:val="16"/>
                <w:lang w:eastAsia="fr-FR"/>
              </w:rPr>
            </w:pPr>
            <w:r>
              <w:rPr>
                <w:sz w:val="16"/>
                <w:szCs w:val="16"/>
              </w:rPr>
              <w:t>4,586,667</w:t>
            </w:r>
          </w:p>
        </w:tc>
      </w:tr>
      <w:tr w:rsidR="000C3959" w14:paraId="7894615E" w14:textId="77777777" w:rsidTr="008E2709">
        <w:trPr>
          <w:trHeight w:val="264"/>
        </w:trPr>
        <w:tc>
          <w:tcPr>
            <w:tcW w:w="2004" w:type="dxa"/>
            <w:tcBorders>
              <w:top w:val="nil"/>
              <w:left w:val="single" w:sz="4" w:space="0" w:color="auto"/>
              <w:bottom w:val="single" w:sz="4" w:space="0" w:color="auto"/>
              <w:right w:val="single" w:sz="4" w:space="0" w:color="auto"/>
            </w:tcBorders>
            <w:shd w:val="clear" w:color="auto" w:fill="auto"/>
            <w:vAlign w:val="center"/>
            <w:hideMark/>
          </w:tcPr>
          <w:p w14:paraId="5CDE399D" w14:textId="77777777" w:rsidR="002E1A3F" w:rsidRPr="0037713F" w:rsidRDefault="00B00100" w:rsidP="00404D02">
            <w:pPr>
              <w:rPr>
                <w:b/>
                <w:bCs/>
                <w:sz w:val="16"/>
                <w:szCs w:val="16"/>
              </w:rPr>
            </w:pPr>
            <w:r w:rsidRPr="0037713F">
              <w:rPr>
                <w:b/>
                <w:bCs/>
                <w:sz w:val="16"/>
                <w:szCs w:val="16"/>
              </w:rPr>
              <w:t>Total IDA Financing for DLIs</w:t>
            </w:r>
          </w:p>
        </w:tc>
        <w:tc>
          <w:tcPr>
            <w:tcW w:w="1220" w:type="dxa"/>
            <w:tcBorders>
              <w:top w:val="nil"/>
              <w:left w:val="nil"/>
              <w:bottom w:val="single" w:sz="4" w:space="0" w:color="auto"/>
              <w:right w:val="single" w:sz="4" w:space="0" w:color="auto"/>
            </w:tcBorders>
            <w:shd w:val="clear" w:color="auto" w:fill="auto"/>
            <w:noWrap/>
            <w:vAlign w:val="center"/>
            <w:hideMark/>
          </w:tcPr>
          <w:p w14:paraId="5455248F" w14:textId="77777777" w:rsidR="00361D27" w:rsidRPr="00B81291" w:rsidRDefault="00B00100" w:rsidP="00F463C2">
            <w:pPr>
              <w:jc w:val="center"/>
              <w:rPr>
                <w:b/>
                <w:bCs/>
                <w:sz w:val="16"/>
                <w:szCs w:val="16"/>
              </w:rPr>
            </w:pPr>
            <w:r>
              <w:rPr>
                <w:b/>
                <w:bCs/>
                <w:sz w:val="16"/>
                <w:szCs w:val="16"/>
              </w:rPr>
              <w:t>96,800,000</w:t>
            </w:r>
          </w:p>
          <w:p w14:paraId="61687629" w14:textId="77777777" w:rsidR="002E1A3F" w:rsidRPr="0037713F" w:rsidRDefault="002E1A3F" w:rsidP="00FC1A97">
            <w:pPr>
              <w:jc w:val="center"/>
              <w:rPr>
                <w:b/>
                <w:bCs/>
                <w:sz w:val="16"/>
                <w:szCs w:val="16"/>
              </w:rPr>
            </w:pPr>
          </w:p>
        </w:tc>
        <w:tc>
          <w:tcPr>
            <w:tcW w:w="610" w:type="dxa"/>
            <w:tcBorders>
              <w:top w:val="nil"/>
              <w:left w:val="nil"/>
              <w:bottom w:val="single" w:sz="4" w:space="0" w:color="auto"/>
              <w:right w:val="single" w:sz="4" w:space="0" w:color="auto"/>
            </w:tcBorders>
            <w:shd w:val="clear" w:color="auto" w:fill="auto"/>
            <w:noWrap/>
            <w:vAlign w:val="center"/>
            <w:hideMark/>
          </w:tcPr>
          <w:p w14:paraId="7F89F887" w14:textId="77777777" w:rsidR="002E1A3F" w:rsidRPr="0037713F" w:rsidRDefault="002E1A3F" w:rsidP="003247A0">
            <w:pPr>
              <w:jc w:val="center"/>
              <w:rPr>
                <w:b/>
                <w:bCs/>
                <w:sz w:val="16"/>
                <w:szCs w:val="16"/>
              </w:rPr>
            </w:pPr>
          </w:p>
        </w:tc>
        <w:tc>
          <w:tcPr>
            <w:tcW w:w="1836" w:type="dxa"/>
            <w:tcBorders>
              <w:top w:val="nil"/>
              <w:left w:val="nil"/>
              <w:bottom w:val="single" w:sz="4" w:space="0" w:color="auto"/>
              <w:right w:val="single" w:sz="4" w:space="0" w:color="auto"/>
            </w:tcBorders>
            <w:shd w:val="clear" w:color="auto" w:fill="auto"/>
            <w:noWrap/>
            <w:vAlign w:val="center"/>
          </w:tcPr>
          <w:p w14:paraId="6B1059FD" w14:textId="77777777" w:rsidR="002E1A3F" w:rsidRPr="0037713F" w:rsidRDefault="00B00100" w:rsidP="003247A0">
            <w:pPr>
              <w:jc w:val="center"/>
              <w:rPr>
                <w:b/>
                <w:sz w:val="16"/>
                <w:szCs w:val="16"/>
              </w:rPr>
            </w:pPr>
            <w:r>
              <w:rPr>
                <w:b/>
                <w:sz w:val="16"/>
                <w:szCs w:val="16"/>
              </w:rPr>
              <w:t>14,415,911</w:t>
            </w:r>
          </w:p>
        </w:tc>
        <w:tc>
          <w:tcPr>
            <w:tcW w:w="1890" w:type="dxa"/>
            <w:tcBorders>
              <w:top w:val="nil"/>
              <w:left w:val="nil"/>
              <w:bottom w:val="single" w:sz="4" w:space="0" w:color="auto"/>
              <w:right w:val="single" w:sz="4" w:space="0" w:color="auto"/>
            </w:tcBorders>
            <w:shd w:val="clear" w:color="auto" w:fill="auto"/>
            <w:noWrap/>
            <w:vAlign w:val="center"/>
          </w:tcPr>
          <w:p w14:paraId="6D591DFE" w14:textId="77777777" w:rsidR="002E1A3F" w:rsidRPr="0037713F" w:rsidRDefault="00B00100" w:rsidP="007118DD">
            <w:pPr>
              <w:jc w:val="center"/>
              <w:rPr>
                <w:b/>
                <w:sz w:val="16"/>
                <w:szCs w:val="16"/>
              </w:rPr>
            </w:pPr>
            <w:r>
              <w:rPr>
                <w:b/>
                <w:bCs/>
                <w:sz w:val="16"/>
                <w:szCs w:val="16"/>
              </w:rPr>
              <w:t>14,273,011</w:t>
            </w:r>
          </w:p>
        </w:tc>
        <w:tc>
          <w:tcPr>
            <w:tcW w:w="1851" w:type="dxa"/>
            <w:tcBorders>
              <w:top w:val="nil"/>
              <w:left w:val="nil"/>
              <w:bottom w:val="single" w:sz="4" w:space="0" w:color="auto"/>
              <w:right w:val="single" w:sz="4" w:space="0" w:color="auto"/>
            </w:tcBorders>
            <w:shd w:val="clear" w:color="auto" w:fill="auto"/>
            <w:noWrap/>
            <w:vAlign w:val="center"/>
          </w:tcPr>
          <w:p w14:paraId="0EE08673" w14:textId="77777777" w:rsidR="002E1A3F" w:rsidRPr="0037713F" w:rsidRDefault="00B00100" w:rsidP="00B22FEF">
            <w:pPr>
              <w:jc w:val="center"/>
              <w:rPr>
                <w:b/>
                <w:sz w:val="16"/>
                <w:szCs w:val="16"/>
              </w:rPr>
            </w:pPr>
            <w:r>
              <w:rPr>
                <w:b/>
                <w:bCs/>
                <w:sz w:val="16"/>
                <w:szCs w:val="16"/>
              </w:rPr>
              <w:t>25,577,811</w:t>
            </w:r>
          </w:p>
        </w:tc>
        <w:tc>
          <w:tcPr>
            <w:tcW w:w="1917" w:type="dxa"/>
            <w:tcBorders>
              <w:top w:val="nil"/>
              <w:left w:val="nil"/>
              <w:bottom w:val="single" w:sz="4" w:space="0" w:color="auto"/>
              <w:right w:val="single" w:sz="4" w:space="0" w:color="auto"/>
            </w:tcBorders>
            <w:shd w:val="clear" w:color="auto" w:fill="auto"/>
            <w:noWrap/>
            <w:vAlign w:val="center"/>
          </w:tcPr>
          <w:p w14:paraId="56928FEA" w14:textId="77777777" w:rsidR="002E1A3F" w:rsidRPr="0037713F" w:rsidRDefault="00B00100" w:rsidP="00931B2D">
            <w:pPr>
              <w:jc w:val="center"/>
              <w:rPr>
                <w:b/>
                <w:sz w:val="16"/>
                <w:szCs w:val="16"/>
              </w:rPr>
            </w:pPr>
            <w:r>
              <w:rPr>
                <w:b/>
                <w:bCs/>
                <w:sz w:val="16"/>
                <w:szCs w:val="16"/>
              </w:rPr>
              <w:t>22,493,367</w:t>
            </w:r>
          </w:p>
        </w:tc>
        <w:tc>
          <w:tcPr>
            <w:tcW w:w="1919" w:type="dxa"/>
            <w:tcBorders>
              <w:top w:val="nil"/>
              <w:left w:val="nil"/>
              <w:bottom w:val="single" w:sz="4" w:space="0" w:color="auto"/>
              <w:right w:val="single" w:sz="4" w:space="0" w:color="auto"/>
            </w:tcBorders>
            <w:shd w:val="clear" w:color="auto" w:fill="auto"/>
            <w:noWrap/>
            <w:vAlign w:val="center"/>
          </w:tcPr>
          <w:p w14:paraId="4FA7EF4E" w14:textId="77777777" w:rsidR="002E1A3F" w:rsidRPr="0037713F" w:rsidRDefault="00B00100" w:rsidP="00126707">
            <w:pPr>
              <w:jc w:val="center"/>
              <w:rPr>
                <w:b/>
                <w:sz w:val="16"/>
                <w:szCs w:val="16"/>
              </w:rPr>
            </w:pPr>
            <w:r>
              <w:rPr>
                <w:b/>
                <w:bCs/>
                <w:sz w:val="16"/>
                <w:szCs w:val="16"/>
              </w:rPr>
              <w:t>20,039,900</w:t>
            </w:r>
          </w:p>
        </w:tc>
      </w:tr>
    </w:tbl>
    <w:p w14:paraId="6F6851C6" w14:textId="77777777" w:rsidR="0020672B" w:rsidRPr="0020672B" w:rsidRDefault="00B00100" w:rsidP="009B5606">
      <w:pPr>
        <w:pStyle w:val="Normal4"/>
        <w:spacing w:after="0" w:line="14" w:lineRule="exact"/>
        <w:ind w:left="-907"/>
        <w:sectPr w:rsidR="0020672B" w:rsidRPr="0020672B" w:rsidSect="003615CB">
          <w:type w:val="continuous"/>
          <w:pgSz w:w="15840" w:h="12240" w:orient="landscape"/>
          <w:pgMar w:top="1440" w:right="1440" w:bottom="1440" w:left="1440" w:header="720" w:footer="720" w:gutter="0"/>
          <w:cols w:space="720"/>
          <w:docGrid w:linePitch="360"/>
        </w:sectPr>
      </w:pPr>
      <w:r>
        <w:br w:type="textWrapping" w:clear="all"/>
      </w:r>
      <w:sdt>
        <w:sdtPr>
          <w:id w:val="13296301"/>
          <w:lock w:val="sdtContentLocked"/>
          <w:placeholder>
            <w:docPart w:val="DC24153066F24F00AACEADBC73512BAC"/>
          </w:placeholder>
          <w:showingPlcHdr/>
        </w:sdtPr>
        <w:sdtEndPr/>
        <w:sdtContent>
          <w:r w:rsidR="004E68F9">
            <w:t xml:space="preserve"> </w:t>
          </w:r>
        </w:sdtContent>
      </w:sdt>
    </w:p>
    <w:p w14:paraId="1016183C" w14:textId="77777777" w:rsidR="003615CB" w:rsidRDefault="003615CB" w:rsidP="00E003D0">
      <w:pPr>
        <w:widowControl/>
        <w:autoSpaceDE/>
        <w:autoSpaceDN/>
        <w:adjustRightInd/>
        <w:spacing w:after="160" w:line="14" w:lineRule="exact"/>
        <w:rPr>
          <w:rFonts w:asciiTheme="minorHAnsi" w:hAnsiTheme="minorHAnsi"/>
          <w:b/>
          <w:bCs/>
          <w:color w:val="7F7F7F" w:themeColor="text1" w:themeTint="80"/>
          <w:sz w:val="22"/>
          <w:szCs w:val="22"/>
        </w:rPr>
      </w:pPr>
    </w:p>
    <w:p w14:paraId="3AAC80A7" w14:textId="77777777" w:rsidR="002E1A3F" w:rsidRPr="002E1A3F" w:rsidRDefault="002E1A3F" w:rsidP="002E1A3F">
      <w:pPr>
        <w:widowControl/>
        <w:autoSpaceDE/>
        <w:autoSpaceDN/>
        <w:adjustRightInd/>
        <w:spacing w:after="160" w:line="14" w:lineRule="exact"/>
        <w:rPr>
          <w:rFonts w:ascii="Calibri" w:eastAsia="Times New Roman" w:hAnsi="Calibri"/>
          <w:b/>
          <w:bCs/>
          <w:color w:val="7F7F7F"/>
          <w:sz w:val="22"/>
          <w:szCs w:val="22"/>
        </w:rPr>
      </w:pPr>
    </w:p>
    <w:tbl>
      <w:tblPr>
        <w:tblW w:w="10962" w:type="dxa"/>
        <w:tblInd w:w="-882" w:type="dxa"/>
        <w:shd w:val="clear" w:color="auto" w:fill="F2F7FC"/>
        <w:tblLayout w:type="fixed"/>
        <w:tblLook w:val="04A0" w:firstRow="1" w:lastRow="0" w:firstColumn="1" w:lastColumn="0" w:noHBand="0" w:noVBand="1"/>
      </w:tblPr>
      <w:tblGrid>
        <w:gridCol w:w="10962"/>
      </w:tblGrid>
      <w:tr w:rsidR="000C3959" w14:paraId="7FF6F0B8" w14:textId="77777777" w:rsidTr="009277AD">
        <w:trPr>
          <w:trHeight w:val="432"/>
        </w:trPr>
        <w:tc>
          <w:tcPr>
            <w:tcW w:w="10962" w:type="dxa"/>
            <w:shd w:val="clear" w:color="auto" w:fill="F2F7FC"/>
            <w:vAlign w:val="center"/>
          </w:tcPr>
          <w:p w14:paraId="06D04BC1" w14:textId="77777777" w:rsidR="002E1A3F" w:rsidRPr="002E1A3F" w:rsidRDefault="00B00100"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374" w:name="_Toc256000154"/>
            <w:bookmarkStart w:id="375" w:name="_Toc256000125"/>
            <w:bookmarkStart w:id="376" w:name="_Toc256000095"/>
            <w:bookmarkStart w:id="377" w:name="_Toc256000063"/>
            <w:bookmarkStart w:id="378" w:name="_Toc256000031"/>
            <w:bookmarkStart w:id="379" w:name="_Toc8301939"/>
            <w:bookmarkStart w:id="380" w:name="_Toc14789361"/>
            <w:bookmarkStart w:id="381" w:name="_Toc22655928"/>
            <w:bookmarkStart w:id="382" w:name="_Toc23779854"/>
            <w:bookmarkStart w:id="383" w:name="_Toc23866070"/>
            <w:bookmarkStart w:id="384" w:name="_Toc23930681"/>
            <w:r w:rsidRPr="002E1A3F">
              <w:rPr>
                <w:rFonts w:ascii="Calibri" w:eastAsia="Times New Roman" w:hAnsi="Calibri" w:cs="Times New Roman"/>
                <w:b/>
                <w:iCs/>
                <w:color w:val="auto"/>
                <w:sz w:val="22"/>
                <w:szCs w:val="22"/>
              </w:rPr>
              <w:t>ANNEX 1: Project Institutional and Implementation Arrangements</w:t>
            </w:r>
            <w:bookmarkEnd w:id="374"/>
            <w:bookmarkEnd w:id="375"/>
            <w:bookmarkEnd w:id="376"/>
            <w:bookmarkEnd w:id="377"/>
            <w:bookmarkEnd w:id="378"/>
            <w:bookmarkEnd w:id="379"/>
            <w:bookmarkEnd w:id="380"/>
            <w:bookmarkEnd w:id="381"/>
            <w:bookmarkEnd w:id="382"/>
            <w:bookmarkEnd w:id="383"/>
            <w:bookmarkEnd w:id="384"/>
          </w:p>
        </w:tc>
      </w:tr>
    </w:tbl>
    <w:p w14:paraId="3F7DB93B" w14:textId="77777777" w:rsidR="002E1A3F" w:rsidRPr="002E1A3F" w:rsidRDefault="002E1A3F" w:rsidP="002E1A3F">
      <w:pPr>
        <w:ind w:left="-540"/>
        <w:rPr>
          <w:rFonts w:ascii="Calibri" w:eastAsia="Times New Roman" w:hAnsi="Calibri"/>
          <w:b/>
          <w:bCs/>
          <w:color w:val="7F7F7F"/>
          <w:sz w:val="22"/>
          <w:szCs w:val="22"/>
        </w:rPr>
      </w:pPr>
    </w:p>
    <w:p w14:paraId="5537E5F9" w14:textId="77777777" w:rsidR="002E1A3F" w:rsidRPr="002E1A3F" w:rsidRDefault="00B00100" w:rsidP="008E2709">
      <w:pPr>
        <w:widowControl/>
        <w:numPr>
          <w:ilvl w:val="0"/>
          <w:numId w:val="12"/>
        </w:numPr>
        <w:tabs>
          <w:tab w:val="left" w:pos="720"/>
        </w:tabs>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The following entities will be directly</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involved in various aspects of the project, including implementation, steering, facilitation and M&amp;E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the PSC, RFU, NSCs</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ACE Impact centers, partner academic and research institutions, industry and other sectoral partners and </w:t>
      </w:r>
      <w:r w:rsidR="00974ACF">
        <w:rPr>
          <w:rFonts w:ascii="Calibri" w:eastAsia="Calibri" w:hAnsi="Calibri" w:cs="Times New Roman"/>
          <w:color w:val="auto"/>
          <w:sz w:val="22"/>
          <w:szCs w:val="22"/>
          <w:lang w:eastAsia="ko-KR"/>
        </w:rPr>
        <w:t>DPs</w:t>
      </w:r>
      <w:r w:rsidRPr="002E1A3F">
        <w:rPr>
          <w:rFonts w:ascii="Calibri" w:eastAsia="Calibri" w:hAnsi="Calibri" w:cs="Times New Roman"/>
          <w:color w:val="auto"/>
          <w:sz w:val="22"/>
          <w:szCs w:val="22"/>
          <w:lang w:eastAsia="ko-KR"/>
        </w:rPr>
        <w:t>. The roles and responsibilities for each of these players are described below. Detailed ToRs are in the POM</w:t>
      </w:r>
      <w:r w:rsidRPr="002E1A3F">
        <w:rPr>
          <w:rFonts w:ascii="Batang" w:eastAsia="Batang" w:hAnsi="Batang" w:cs="Batang"/>
          <w:color w:val="auto"/>
          <w:sz w:val="22"/>
          <w:szCs w:val="22"/>
          <w:lang w:eastAsia="ko-KR"/>
        </w:rPr>
        <w:t>.</w:t>
      </w:r>
    </w:p>
    <w:p w14:paraId="5C7E5D9E" w14:textId="77777777" w:rsidR="002E1A3F" w:rsidRPr="002E1A3F" w:rsidRDefault="00B00100" w:rsidP="008E2709">
      <w:pPr>
        <w:widowControl/>
        <w:numPr>
          <w:ilvl w:val="0"/>
          <w:numId w:val="11"/>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ACE Impact Center</w:t>
      </w:r>
      <w:r w:rsidRPr="002E1A3F">
        <w:rPr>
          <w:rFonts w:ascii="Calibri" w:eastAsia="Times New Roman" w:hAnsi="Calibri" w:cs="Times New Roman"/>
          <w:color w:val="auto"/>
          <w:sz w:val="22"/>
          <w:szCs w:val="22"/>
        </w:rPr>
        <w:t>. The project activities will principally be implemented by the selected centers with support from their respective host universities. The individual center is responsible for its strategic planning, proposal preparation and implementation, fiduciary activities, M&amp;E, and reporting.</w:t>
      </w:r>
    </w:p>
    <w:p w14:paraId="76DA6045" w14:textId="77777777" w:rsidR="002E1A3F" w:rsidRPr="002E1A3F" w:rsidRDefault="00B00100" w:rsidP="008E2709">
      <w:pPr>
        <w:widowControl/>
        <w:numPr>
          <w:ilvl w:val="0"/>
          <w:numId w:val="11"/>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Regional Facilitation Unit (RFU)</w:t>
      </w:r>
      <w:r w:rsidRPr="002E1A3F">
        <w:rPr>
          <w:rFonts w:ascii="Calibri" w:eastAsia="Times New Roman" w:hAnsi="Calibri" w:cs="Times New Roman"/>
          <w:color w:val="auto"/>
          <w:sz w:val="22"/>
          <w:szCs w:val="22"/>
        </w:rPr>
        <w:t>. The RFU hosted within the AAU will coordinate and facilitate regional-level activities and provide capacity building support to the ACE Impact centers.</w:t>
      </w:r>
    </w:p>
    <w:p w14:paraId="32AC2A28" w14:textId="77777777" w:rsidR="002E1A3F" w:rsidRPr="002E1A3F" w:rsidRDefault="00B00100" w:rsidP="008E2709">
      <w:pPr>
        <w:widowControl/>
        <w:numPr>
          <w:ilvl w:val="0"/>
          <w:numId w:val="11"/>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ACE National Steering Committee (NSC) and other government-level arrangements</w:t>
      </w:r>
      <w:r w:rsidRPr="002E1A3F">
        <w:rPr>
          <w:rFonts w:ascii="Calibri" w:eastAsia="Times New Roman" w:hAnsi="Calibri" w:cs="Times New Roman"/>
          <w:color w:val="auto"/>
          <w:sz w:val="22"/>
          <w:szCs w:val="22"/>
        </w:rPr>
        <w:t xml:space="preserve">.  Implementation support at the national level will be provided by the NSC. Other government stakeholders will also support the project at the national level as described further below. </w:t>
      </w:r>
    </w:p>
    <w:p w14:paraId="11DA1A60" w14:textId="77777777" w:rsidR="002E1A3F" w:rsidRPr="002E1A3F" w:rsidRDefault="00B00100" w:rsidP="008E2709">
      <w:pPr>
        <w:widowControl/>
        <w:numPr>
          <w:ilvl w:val="0"/>
          <w:numId w:val="11"/>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ACE Project Steering Committee (PSC).</w:t>
      </w:r>
      <w:r w:rsidRPr="002E1A3F">
        <w:rPr>
          <w:rFonts w:ascii="Calibri" w:eastAsia="Times New Roman" w:hAnsi="Calibri" w:cs="Times New Roman"/>
          <w:color w:val="auto"/>
          <w:sz w:val="22"/>
          <w:szCs w:val="22"/>
        </w:rPr>
        <w:t xml:space="preserve"> The project will operate under the overall guidance and oversight of the PSC whose main task is to set guidelines for the project and to ensure that the project objectives are achieved</w:t>
      </w:r>
    </w:p>
    <w:p w14:paraId="7732802E" w14:textId="77777777" w:rsidR="002E1A3F" w:rsidRPr="002E1A3F" w:rsidRDefault="00B00100" w:rsidP="008E2709">
      <w:pPr>
        <w:widowControl/>
        <w:numPr>
          <w:ilvl w:val="6"/>
          <w:numId w:val="10"/>
        </w:numPr>
        <w:autoSpaceDE/>
        <w:autoSpaceDN/>
        <w:adjustRightInd/>
        <w:spacing w:after="240"/>
        <w:rPr>
          <w:rFonts w:ascii="Calibri" w:eastAsia="Times New Roman" w:hAnsi="Calibri" w:cs="Calibri"/>
          <w:b/>
          <w:color w:val="0070C0"/>
          <w:sz w:val="22"/>
          <w:szCs w:val="22"/>
        </w:rPr>
      </w:pPr>
      <w:r w:rsidRPr="002E1A3F">
        <w:rPr>
          <w:rFonts w:ascii="Calibri" w:eastAsia="Times New Roman" w:hAnsi="Calibri" w:cs="Calibri"/>
          <w:b/>
          <w:color w:val="0070C0"/>
          <w:sz w:val="22"/>
          <w:szCs w:val="22"/>
        </w:rPr>
        <w:t>ACE Impact Centers</w:t>
      </w:r>
    </w:p>
    <w:p w14:paraId="676C6476" w14:textId="77777777" w:rsidR="002E1A3F" w:rsidRPr="002E1A3F" w:rsidRDefault="00B00100" w:rsidP="008E2709">
      <w:pPr>
        <w:widowControl/>
        <w:numPr>
          <w:ilvl w:val="0"/>
          <w:numId w:val="12"/>
        </w:numPr>
        <w:autoSpaceDE/>
        <w:autoSpaceDN/>
        <w:adjustRightInd/>
        <w:spacing w:after="240"/>
        <w:ind w:left="0" w:firstLine="0"/>
        <w:jc w:val="both"/>
        <w:rPr>
          <w:rFonts w:ascii="Calibri" w:eastAsia="Calibri" w:hAnsi="Calibri" w:cs="Times New Roman"/>
          <w:color w:val="auto"/>
          <w:sz w:val="22"/>
          <w:szCs w:val="22"/>
          <w:lang w:eastAsia="ko-KR"/>
        </w:rPr>
      </w:pPr>
      <w:r w:rsidRPr="002E1A3F">
        <w:rPr>
          <w:rFonts w:ascii="Calibri" w:eastAsia="Calibri" w:hAnsi="Calibri" w:cs="Times New Roman"/>
          <w:color w:val="auto"/>
          <w:sz w:val="22"/>
          <w:szCs w:val="22"/>
          <w:lang w:eastAsia="ko-KR"/>
        </w:rPr>
        <w:t xml:space="preserve">Each selected center will be responsible for implementing its own proposal as part of Components 1 and 2. Each center will implement and monitor project activities both at the national and regional levels that fall under its respective responsibilities. Each selected center will ensure that project funds are planned for and invested according to the schedule and within the framework agreed upon in the PFA signed with the government. Table A1.1 below shows all the centers (New </w:t>
      </w:r>
      <w:r w:rsidR="00974ACF">
        <w:rPr>
          <w:rFonts w:ascii="Calibri" w:eastAsia="Calibri" w:hAnsi="Calibri" w:cs="Times New Roman"/>
          <w:color w:val="auto"/>
          <w:sz w:val="22"/>
          <w:szCs w:val="22"/>
          <w:lang w:eastAsia="ko-KR"/>
        </w:rPr>
        <w:t>centers</w:t>
      </w:r>
      <w:r w:rsidRPr="002E1A3F">
        <w:rPr>
          <w:rFonts w:ascii="Calibri" w:eastAsia="Calibri" w:hAnsi="Calibri" w:cs="Times New Roman"/>
          <w:color w:val="auto"/>
          <w:sz w:val="22"/>
          <w:szCs w:val="22"/>
          <w:lang w:eastAsia="ko-KR"/>
        </w:rPr>
        <w:t xml:space="preserve">, Renewal </w:t>
      </w:r>
      <w:r w:rsidR="00974ACF">
        <w:rPr>
          <w:rFonts w:ascii="Calibri" w:eastAsia="Calibri" w:hAnsi="Calibri" w:cs="Times New Roman"/>
          <w:color w:val="auto"/>
          <w:sz w:val="22"/>
          <w:szCs w:val="22"/>
          <w:lang w:eastAsia="ko-KR"/>
        </w:rPr>
        <w:t>centers</w:t>
      </w:r>
      <w:r w:rsidRPr="002E1A3F">
        <w:rPr>
          <w:rFonts w:ascii="Calibri" w:eastAsia="Calibri" w:hAnsi="Calibri" w:cs="Times New Roman"/>
          <w:color w:val="auto"/>
          <w:sz w:val="22"/>
          <w:szCs w:val="22"/>
          <w:lang w:eastAsia="ko-KR"/>
        </w:rPr>
        <w:t>, and Emerging centers) selected to participate in the</w:t>
      </w:r>
      <w:r w:rsidR="00974ACF">
        <w:rPr>
          <w:rFonts w:ascii="Calibri" w:eastAsia="Calibri" w:hAnsi="Calibri" w:cs="Times New Roman"/>
          <w:color w:val="auto"/>
          <w:sz w:val="22"/>
          <w:szCs w:val="22"/>
          <w:lang w:eastAsia="ko-KR"/>
        </w:rPr>
        <w:t xml:space="preserve"> proposed</w:t>
      </w:r>
      <w:r w:rsidRPr="002E1A3F">
        <w:rPr>
          <w:rFonts w:ascii="Calibri" w:eastAsia="Calibri" w:hAnsi="Calibri" w:cs="Times New Roman"/>
          <w:color w:val="auto"/>
          <w:sz w:val="22"/>
          <w:szCs w:val="22"/>
          <w:lang w:eastAsia="ko-KR"/>
        </w:rPr>
        <w:t xml:space="preserve"> Second </w:t>
      </w:r>
      <w:r w:rsidR="00BB4A89">
        <w:rPr>
          <w:rFonts w:ascii="Calibri" w:eastAsia="Calibri" w:hAnsi="Calibri" w:cs="Times New Roman"/>
          <w:color w:val="auto"/>
          <w:sz w:val="22"/>
          <w:szCs w:val="22"/>
          <w:lang w:eastAsia="ko-KR"/>
        </w:rPr>
        <w:t>ACE Impact Project</w:t>
      </w:r>
      <w:r w:rsidRPr="002E1A3F">
        <w:rPr>
          <w:rFonts w:ascii="Calibri" w:eastAsia="Calibri" w:hAnsi="Calibri" w:cs="Times New Roman"/>
          <w:color w:val="auto"/>
          <w:sz w:val="22"/>
          <w:szCs w:val="22"/>
          <w:lang w:eastAsia="ko-KR"/>
        </w:rPr>
        <w:t xml:space="preserve">. </w:t>
      </w:r>
    </w:p>
    <w:p w14:paraId="4456F788" w14:textId="77777777" w:rsidR="002E1A3F" w:rsidRPr="002E1A3F" w:rsidRDefault="002E1A3F">
      <w:pPr>
        <w:spacing w:after="120"/>
        <w:jc w:val="both"/>
        <w:rPr>
          <w:rFonts w:eastAsia="Times New Roman"/>
          <w:lang w:eastAsia="ko-KR"/>
        </w:rPr>
      </w:pPr>
    </w:p>
    <w:p w14:paraId="5762EF20" w14:textId="77777777" w:rsidR="002E1A3F" w:rsidRPr="002E1A3F" w:rsidRDefault="002E1A3F" w:rsidP="00F463C2">
      <w:pPr>
        <w:ind w:left="-540"/>
        <w:rPr>
          <w:rFonts w:ascii="Calibri" w:eastAsia="Times New Roman" w:hAnsi="Calibri"/>
          <w:b/>
          <w:bCs/>
          <w:color w:val="7F7F7F"/>
          <w:sz w:val="22"/>
          <w:szCs w:val="22"/>
        </w:rPr>
      </w:pPr>
    </w:p>
    <w:p w14:paraId="097C8CD9" w14:textId="77777777" w:rsidR="002E1A3F" w:rsidRPr="002E1A3F" w:rsidRDefault="002E1A3F" w:rsidP="00FC1A97">
      <w:pPr>
        <w:ind w:left="-540"/>
        <w:rPr>
          <w:rFonts w:ascii="Calibri" w:eastAsia="Times New Roman" w:hAnsi="Calibri"/>
          <w:b/>
          <w:bCs/>
          <w:color w:val="7F7F7F"/>
          <w:sz w:val="22"/>
          <w:szCs w:val="22"/>
        </w:rPr>
      </w:pPr>
    </w:p>
    <w:p w14:paraId="0A341BBB" w14:textId="77777777" w:rsidR="002E1A3F" w:rsidRPr="002E1A3F" w:rsidRDefault="002E1A3F" w:rsidP="003247A0">
      <w:pPr>
        <w:ind w:left="-540"/>
        <w:rPr>
          <w:rFonts w:ascii="Calibri" w:eastAsia="Times New Roman" w:hAnsi="Calibri"/>
          <w:b/>
          <w:bCs/>
          <w:color w:val="7F7F7F"/>
          <w:sz w:val="22"/>
          <w:szCs w:val="22"/>
        </w:rPr>
      </w:pPr>
    </w:p>
    <w:p w14:paraId="0C187F92" w14:textId="77777777" w:rsidR="002E1A3F" w:rsidRPr="002E1A3F" w:rsidRDefault="002E1A3F" w:rsidP="003247A0">
      <w:pPr>
        <w:ind w:left="-540"/>
        <w:rPr>
          <w:rFonts w:ascii="Calibri" w:eastAsia="Times New Roman" w:hAnsi="Calibri"/>
          <w:b/>
          <w:bCs/>
          <w:color w:val="7F7F7F"/>
          <w:sz w:val="22"/>
          <w:szCs w:val="22"/>
        </w:rPr>
      </w:pPr>
    </w:p>
    <w:p w14:paraId="22E2C514" w14:textId="77777777" w:rsidR="002E1A3F" w:rsidRPr="002E1A3F" w:rsidRDefault="002E1A3F" w:rsidP="007118DD">
      <w:pPr>
        <w:ind w:left="-540"/>
        <w:rPr>
          <w:rFonts w:ascii="Calibri" w:eastAsia="Times New Roman" w:hAnsi="Calibri"/>
          <w:b/>
          <w:bCs/>
          <w:color w:val="7F7F7F"/>
          <w:sz w:val="22"/>
          <w:szCs w:val="22"/>
        </w:rPr>
      </w:pPr>
    </w:p>
    <w:p w14:paraId="70AF5D37" w14:textId="77777777" w:rsidR="002E1A3F" w:rsidRPr="002E1A3F" w:rsidRDefault="002E1A3F" w:rsidP="00B22FEF">
      <w:pPr>
        <w:ind w:left="-540"/>
        <w:rPr>
          <w:rFonts w:ascii="Calibri" w:eastAsia="Times New Roman" w:hAnsi="Calibri"/>
          <w:b/>
          <w:bCs/>
          <w:color w:val="7F7F7F"/>
          <w:sz w:val="22"/>
          <w:szCs w:val="22"/>
        </w:rPr>
      </w:pPr>
    </w:p>
    <w:p w14:paraId="1297F5BA" w14:textId="77777777" w:rsidR="006538A0" w:rsidRPr="006538A0" w:rsidRDefault="006538A0" w:rsidP="006538A0">
      <w:pPr>
        <w:ind w:left="-540"/>
        <w:rPr>
          <w:rFonts w:ascii="Calibri" w:eastAsia="Times New Roman" w:hAnsi="Calibri"/>
          <w:b/>
          <w:bCs/>
          <w:color w:val="7F7F7F"/>
          <w:sz w:val="22"/>
          <w:szCs w:val="22"/>
        </w:rPr>
      </w:pPr>
    </w:p>
    <w:p w14:paraId="6ABAA607" w14:textId="77777777" w:rsidR="00E555CF" w:rsidRDefault="00E555CF" w:rsidP="00D936A3">
      <w:pPr>
        <w:ind w:left="-540"/>
        <w:rPr>
          <w:rFonts w:ascii="Calibri" w:eastAsia="Times New Roman" w:hAnsi="Calibri"/>
          <w:b/>
          <w:bCs/>
          <w:color w:val="7F7F7F"/>
          <w:sz w:val="22"/>
          <w:szCs w:val="22"/>
        </w:rPr>
      </w:pPr>
    </w:p>
    <w:p w14:paraId="158042FF" w14:textId="77777777" w:rsidR="00E555CF" w:rsidRDefault="00E555CF" w:rsidP="00B22FEF">
      <w:pPr>
        <w:ind w:left="-540"/>
        <w:rPr>
          <w:rFonts w:ascii="Calibri" w:eastAsia="Times New Roman" w:hAnsi="Calibri"/>
          <w:b/>
          <w:bCs/>
          <w:color w:val="7F7F7F"/>
          <w:sz w:val="22"/>
          <w:szCs w:val="22"/>
        </w:rPr>
      </w:pPr>
    </w:p>
    <w:p w14:paraId="7496EC0D" w14:textId="77777777" w:rsidR="00BD1E42" w:rsidRPr="002E1A3F" w:rsidRDefault="00BD1E42" w:rsidP="00931B2D">
      <w:pPr>
        <w:ind w:left="-540"/>
        <w:rPr>
          <w:rFonts w:ascii="Calibri" w:eastAsia="Times New Roman" w:hAnsi="Calibri"/>
          <w:b/>
          <w:bCs/>
          <w:color w:val="7F7F7F"/>
          <w:sz w:val="22"/>
          <w:szCs w:val="22"/>
        </w:rPr>
      </w:pPr>
    </w:p>
    <w:p w14:paraId="5CEAB07F" w14:textId="77777777" w:rsidR="002E1A3F" w:rsidRPr="002E1A3F" w:rsidRDefault="002E1A3F" w:rsidP="00126707">
      <w:pPr>
        <w:ind w:left="-540"/>
        <w:rPr>
          <w:rFonts w:ascii="Calibri" w:eastAsia="Times New Roman" w:hAnsi="Calibri"/>
          <w:b/>
          <w:bCs/>
          <w:color w:val="7F7F7F"/>
          <w:sz w:val="22"/>
          <w:szCs w:val="22"/>
        </w:rPr>
      </w:pPr>
    </w:p>
    <w:p w14:paraId="3281E90E" w14:textId="77777777" w:rsidR="002E1A3F" w:rsidRPr="002E1A3F" w:rsidRDefault="002E1A3F" w:rsidP="00BC30D6">
      <w:pPr>
        <w:ind w:left="-540"/>
        <w:rPr>
          <w:rFonts w:ascii="Calibri" w:eastAsia="Times New Roman" w:hAnsi="Calibri"/>
          <w:b/>
          <w:bCs/>
          <w:color w:val="7F7F7F"/>
          <w:sz w:val="22"/>
          <w:szCs w:val="22"/>
        </w:rPr>
      </w:pPr>
    </w:p>
    <w:p w14:paraId="3CD68DA9" w14:textId="77777777" w:rsidR="00974ACF" w:rsidRDefault="00B00100" w:rsidP="00BC30D6">
      <w:pPr>
        <w:ind w:left="-187" w:right="-547"/>
        <w:jc w:val="center"/>
        <w:rPr>
          <w:rFonts w:ascii="Calibri" w:eastAsia="Times New Roman" w:hAnsi="Calibri" w:cs="Calibri"/>
          <w:b/>
          <w:i/>
          <w:sz w:val="22"/>
          <w:szCs w:val="22"/>
          <w:lang w:eastAsia="ko-KR"/>
        </w:rPr>
      </w:pPr>
      <w:r w:rsidRPr="002E1A3F">
        <w:rPr>
          <w:rFonts w:ascii="Calibri" w:eastAsia="Times New Roman" w:hAnsi="Calibri" w:cs="Calibri"/>
          <w:b/>
          <w:sz w:val="22"/>
          <w:szCs w:val="22"/>
          <w:lang w:eastAsia="ko-KR"/>
        </w:rPr>
        <w:lastRenderedPageBreak/>
        <w:t xml:space="preserve">Table A1.1. </w:t>
      </w:r>
      <w:r w:rsidRPr="002E1A3F">
        <w:rPr>
          <w:rFonts w:ascii="Calibri" w:eastAsia="Times New Roman" w:hAnsi="Calibri" w:cs="Calibri"/>
          <w:b/>
          <w:i/>
          <w:sz w:val="22"/>
          <w:szCs w:val="22"/>
          <w:lang w:eastAsia="ko-KR"/>
        </w:rPr>
        <w:t xml:space="preserve">Selected ACE Impact Centers </w:t>
      </w:r>
      <w:r>
        <w:rPr>
          <w:rFonts w:ascii="Calibri" w:eastAsia="Times New Roman" w:hAnsi="Calibri" w:cs="Calibri"/>
          <w:b/>
          <w:i/>
          <w:sz w:val="22"/>
          <w:szCs w:val="22"/>
          <w:lang w:eastAsia="ko-KR"/>
        </w:rPr>
        <w:t>for Proposed Second ACE Impact Project</w:t>
      </w:r>
    </w:p>
    <w:p w14:paraId="7FA023EE" w14:textId="556C9B8A" w:rsidR="00974ACF" w:rsidRPr="002E1A3F" w:rsidRDefault="00B00100" w:rsidP="008E2709">
      <w:pPr>
        <w:ind w:left="-187" w:right="-547"/>
        <w:jc w:val="center"/>
        <w:rPr>
          <w:rFonts w:ascii="Calibri" w:eastAsia="Times New Roman" w:hAnsi="Calibri" w:cs="Calibri"/>
          <w:b/>
          <w:i/>
          <w:sz w:val="22"/>
          <w:szCs w:val="22"/>
          <w:lang w:eastAsia="ko-KR"/>
        </w:rPr>
      </w:pPr>
      <w:r w:rsidRPr="002E1A3F">
        <w:rPr>
          <w:rFonts w:ascii="Calibri" w:eastAsia="Times New Roman" w:hAnsi="Calibri" w:cs="Calibri"/>
          <w:b/>
          <w:i/>
          <w:sz w:val="22"/>
          <w:szCs w:val="22"/>
          <w:lang w:eastAsia="ko-KR"/>
        </w:rPr>
        <w:t>(Renewals, New and Emerging</w:t>
      </w:r>
      <w:r w:rsidR="00974ACF">
        <w:rPr>
          <w:rFonts w:ascii="Calibri" w:eastAsia="Times New Roman" w:hAnsi="Calibri" w:cs="Calibri"/>
          <w:b/>
          <w:i/>
          <w:sz w:val="22"/>
          <w:szCs w:val="22"/>
          <w:lang w:eastAsia="ko-KR"/>
        </w:rPr>
        <w:t xml:space="preserve"> centers</w:t>
      </w:r>
      <w:r w:rsidRPr="002E1A3F">
        <w:rPr>
          <w:rFonts w:ascii="Calibri" w:eastAsia="Times New Roman" w:hAnsi="Calibri" w:cs="Calibri"/>
          <w:b/>
          <w:i/>
          <w:sz w:val="22"/>
          <w:szCs w:val="22"/>
          <w:lang w:eastAsia="ko-KR"/>
        </w:rPr>
        <w:t>)</w:t>
      </w:r>
    </w:p>
    <w:tbl>
      <w:tblPr>
        <w:tblW w:w="54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3686"/>
        <w:gridCol w:w="1709"/>
        <w:gridCol w:w="1441"/>
        <w:gridCol w:w="1535"/>
        <w:gridCol w:w="1531"/>
      </w:tblGrid>
      <w:tr w:rsidR="000C3959" w14:paraId="42B370B5" w14:textId="77777777" w:rsidTr="000C46A6">
        <w:trPr>
          <w:trHeight w:val="125"/>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vAlign w:val="center"/>
          </w:tcPr>
          <w:p w14:paraId="3D8F6F73" w14:textId="77777777" w:rsidR="002E1A3F" w:rsidRPr="000C46A6" w:rsidRDefault="00B00100" w:rsidP="008E2709">
            <w:pPr>
              <w:spacing w:after="240"/>
              <w:ind w:left="720"/>
              <w:contextualSpacing/>
              <w:jc w:val="center"/>
              <w:rPr>
                <w:rFonts w:ascii="Calibri" w:eastAsia="Calibri" w:hAnsi="Calibri" w:cs="Calibri"/>
                <w:b/>
                <w:sz w:val="18"/>
                <w:szCs w:val="18"/>
              </w:rPr>
            </w:pPr>
            <w:r w:rsidRPr="000C46A6">
              <w:rPr>
                <w:rFonts w:ascii="Calibri" w:eastAsia="Calibri" w:hAnsi="Calibri" w:cs="Calibri"/>
                <w:b/>
                <w:sz w:val="18"/>
                <w:szCs w:val="18"/>
              </w:rPr>
              <w:t>Sub-</w:t>
            </w:r>
            <w:r w:rsidR="005E205D" w:rsidRPr="000C46A6">
              <w:rPr>
                <w:rFonts w:ascii="Calibri" w:eastAsia="Calibri" w:hAnsi="Calibri" w:cs="Calibri"/>
                <w:b/>
                <w:sz w:val="18"/>
                <w:szCs w:val="18"/>
              </w:rPr>
              <w:t>c</w:t>
            </w:r>
            <w:r w:rsidRPr="000C46A6">
              <w:rPr>
                <w:rFonts w:ascii="Calibri" w:eastAsia="Calibri" w:hAnsi="Calibri" w:cs="Calibri"/>
                <w:b/>
                <w:sz w:val="18"/>
                <w:szCs w:val="18"/>
              </w:rPr>
              <w:t>omponent 1.1: EXISTING AFRICA CENTERS OF EXCELLENCE THAT HAVE BEEN RENEWED (Renewal centers)</w:t>
            </w:r>
          </w:p>
        </w:tc>
      </w:tr>
      <w:tr w:rsidR="000C3959" w14:paraId="7E2E4F6D" w14:textId="77777777" w:rsidTr="006C70A5">
        <w:tblPrEx>
          <w:jc w:val="center"/>
        </w:tblPrEx>
        <w:trPr>
          <w:trHeight w:val="440"/>
          <w:jc w:val="center"/>
        </w:trPr>
        <w:tc>
          <w:tcPr>
            <w:tcW w:w="175" w:type="pct"/>
          </w:tcPr>
          <w:p w14:paraId="78F7B91A" w14:textId="77777777" w:rsidR="002E1A3F" w:rsidRPr="002E1A3F" w:rsidRDefault="00B00100" w:rsidP="008E2709">
            <w:pPr>
              <w:widowControl/>
              <w:numPr>
                <w:ilvl w:val="0"/>
                <w:numId w:val="49"/>
              </w:numPr>
              <w:autoSpaceDE/>
              <w:autoSpaceDN/>
              <w:adjustRightInd/>
              <w:spacing w:after="160"/>
              <w:contextualSpacing/>
              <w:jc w:val="center"/>
              <w:rPr>
                <w:rFonts w:ascii="Calibri" w:eastAsia="Calibri" w:hAnsi="Calibri" w:cs="Calibri"/>
                <w:sz w:val="16"/>
                <w:szCs w:val="16"/>
              </w:rPr>
            </w:pPr>
            <w:r w:rsidRPr="002E1A3F">
              <w:rPr>
                <w:rFonts w:ascii="Calibri" w:eastAsia="Calibri" w:hAnsi="Calibri" w:cs="Calibri"/>
                <w:sz w:val="16"/>
                <w:szCs w:val="16"/>
              </w:rPr>
              <w:t>1.</w:t>
            </w:r>
          </w:p>
        </w:tc>
        <w:tc>
          <w:tcPr>
            <w:tcW w:w="1796" w:type="pct"/>
          </w:tcPr>
          <w:p w14:paraId="5285031F"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Calibri" w:hAnsi="Calibri" w:cs="Calibri"/>
                <w:sz w:val="18"/>
                <w:szCs w:val="18"/>
              </w:rPr>
              <w:t>ACE: Mathematical Sciences, Computer Science and Applications</w:t>
            </w:r>
          </w:p>
        </w:tc>
        <w:tc>
          <w:tcPr>
            <w:tcW w:w="833" w:type="pct"/>
          </w:tcPr>
          <w:p w14:paraId="53D58CA9" w14:textId="77777777" w:rsidR="002E1A3F" w:rsidRPr="003E0CBD" w:rsidRDefault="00B00100" w:rsidP="008E2709">
            <w:pPr>
              <w:widowControl/>
              <w:autoSpaceDE/>
              <w:autoSpaceDN/>
              <w:adjustRightInd/>
              <w:rPr>
                <w:rFonts w:ascii="Calibri" w:eastAsia="Calibri" w:hAnsi="Calibri" w:cs="Calibri"/>
                <w:sz w:val="18"/>
                <w:szCs w:val="18"/>
              </w:rPr>
            </w:pPr>
            <w:bookmarkStart w:id="385" w:name="_Hlk8719812"/>
            <w:r w:rsidRPr="003E0CBD">
              <w:rPr>
                <w:rFonts w:ascii="Calibri" w:eastAsia="Calibri" w:hAnsi="Calibri" w:cs="Calibri"/>
                <w:sz w:val="18"/>
                <w:szCs w:val="18"/>
              </w:rPr>
              <w:t xml:space="preserve">University of Abomey Calavi </w:t>
            </w:r>
            <w:bookmarkEnd w:id="385"/>
          </w:p>
        </w:tc>
        <w:tc>
          <w:tcPr>
            <w:tcW w:w="702" w:type="pct"/>
          </w:tcPr>
          <w:p w14:paraId="4282056A"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Calibri" w:hAnsi="Calibri" w:cs="Calibri"/>
                <w:sz w:val="18"/>
                <w:szCs w:val="18"/>
              </w:rPr>
              <w:t xml:space="preserve">Benin </w:t>
            </w:r>
          </w:p>
        </w:tc>
        <w:tc>
          <w:tcPr>
            <w:tcW w:w="748" w:type="pct"/>
          </w:tcPr>
          <w:p w14:paraId="11167B11"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Calibri" w:hAnsi="Calibri" w:cs="Calibri"/>
                <w:sz w:val="18"/>
                <w:szCs w:val="18"/>
              </w:rPr>
              <w:t xml:space="preserve">Applied math &amp; statistics </w:t>
            </w:r>
          </w:p>
        </w:tc>
        <w:tc>
          <w:tcPr>
            <w:tcW w:w="746" w:type="pct"/>
          </w:tcPr>
          <w:p w14:paraId="267C0090"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Calibri" w:hAnsi="Calibri" w:cs="Calibri"/>
                <w:sz w:val="18"/>
                <w:szCs w:val="18"/>
              </w:rPr>
              <w:t>STEM</w:t>
            </w:r>
          </w:p>
        </w:tc>
      </w:tr>
      <w:tr w:rsidR="000C3959" w14:paraId="23224D23" w14:textId="77777777" w:rsidTr="006C70A5">
        <w:tblPrEx>
          <w:jc w:val="center"/>
        </w:tblPrEx>
        <w:trPr>
          <w:trHeight w:val="423"/>
          <w:jc w:val="center"/>
        </w:trPr>
        <w:tc>
          <w:tcPr>
            <w:tcW w:w="175" w:type="pct"/>
          </w:tcPr>
          <w:p w14:paraId="51AA14DD"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bookmarkStart w:id="386" w:name="_Hlk8720345"/>
            <w:r w:rsidRPr="002E1A3F">
              <w:rPr>
                <w:rFonts w:ascii="Calibri" w:eastAsia="Times New Roman" w:hAnsi="Calibri" w:cs="Calibri"/>
                <w:sz w:val="16"/>
                <w:szCs w:val="16"/>
              </w:rPr>
              <w:t xml:space="preserve">9. </w:t>
            </w:r>
          </w:p>
        </w:tc>
        <w:tc>
          <w:tcPr>
            <w:tcW w:w="1796" w:type="pct"/>
          </w:tcPr>
          <w:p w14:paraId="04EF3D54"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Genomics of Infectious Diseases (ACEGID) </w:t>
            </w:r>
          </w:p>
        </w:tc>
        <w:tc>
          <w:tcPr>
            <w:tcW w:w="833" w:type="pct"/>
          </w:tcPr>
          <w:p w14:paraId="6910673A"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Redeemer's University </w:t>
            </w:r>
          </w:p>
        </w:tc>
        <w:tc>
          <w:tcPr>
            <w:tcW w:w="702" w:type="pct"/>
          </w:tcPr>
          <w:p w14:paraId="35550040"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Nigeria </w:t>
            </w:r>
          </w:p>
        </w:tc>
        <w:tc>
          <w:tcPr>
            <w:tcW w:w="748" w:type="pct"/>
          </w:tcPr>
          <w:p w14:paraId="18F76B79"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Genomics of infectious diseases </w:t>
            </w:r>
          </w:p>
        </w:tc>
        <w:tc>
          <w:tcPr>
            <w:tcW w:w="746" w:type="pct"/>
          </w:tcPr>
          <w:p w14:paraId="66E2BABA"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Health </w:t>
            </w:r>
          </w:p>
        </w:tc>
      </w:tr>
      <w:tr w:rsidR="000C3959" w14:paraId="183A9D88" w14:textId="77777777" w:rsidTr="006C70A5">
        <w:tblPrEx>
          <w:jc w:val="center"/>
        </w:tblPrEx>
        <w:trPr>
          <w:trHeight w:val="377"/>
          <w:jc w:val="center"/>
        </w:trPr>
        <w:tc>
          <w:tcPr>
            <w:tcW w:w="175" w:type="pct"/>
          </w:tcPr>
          <w:p w14:paraId="75F5E9D7"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10. </w:t>
            </w:r>
          </w:p>
        </w:tc>
        <w:tc>
          <w:tcPr>
            <w:tcW w:w="1796" w:type="pct"/>
          </w:tcPr>
          <w:p w14:paraId="7618CACC"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Neglected Tropical Diseases and Forensic Biotechnology (ACENTDFB) </w:t>
            </w:r>
          </w:p>
        </w:tc>
        <w:tc>
          <w:tcPr>
            <w:tcW w:w="833" w:type="pct"/>
          </w:tcPr>
          <w:p w14:paraId="3028F151"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 xml:space="preserve">Ahmadu Bello University </w:t>
            </w:r>
          </w:p>
        </w:tc>
        <w:tc>
          <w:tcPr>
            <w:tcW w:w="702" w:type="pct"/>
          </w:tcPr>
          <w:p w14:paraId="2DBE77FC" w14:textId="77777777" w:rsidR="002E1A3F" w:rsidRPr="003E0CBD" w:rsidRDefault="00B00100" w:rsidP="008E2709">
            <w:pPr>
              <w:widowControl/>
              <w:autoSpaceDE/>
              <w:autoSpaceDN/>
              <w:adjustRightInd/>
              <w:jc w:val="center"/>
              <w:rPr>
                <w:rFonts w:ascii="Calibri" w:eastAsia="Calibri" w:hAnsi="Calibri" w:cs="Calibri"/>
                <w:sz w:val="18"/>
                <w:szCs w:val="18"/>
                <w:lang w:val="fr-FR"/>
              </w:rPr>
            </w:pPr>
            <w:r w:rsidRPr="003E0CBD">
              <w:rPr>
                <w:rFonts w:ascii="Calibri" w:eastAsia="Times New Roman" w:hAnsi="Calibri" w:cs="Calibri"/>
                <w:sz w:val="18"/>
                <w:szCs w:val="18"/>
              </w:rPr>
              <w:t xml:space="preserve">Nigeria </w:t>
            </w:r>
          </w:p>
        </w:tc>
        <w:tc>
          <w:tcPr>
            <w:tcW w:w="748" w:type="pct"/>
          </w:tcPr>
          <w:p w14:paraId="7F0DC3ED"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Neglected tropical diseases </w:t>
            </w:r>
          </w:p>
        </w:tc>
        <w:tc>
          <w:tcPr>
            <w:tcW w:w="746" w:type="pct"/>
          </w:tcPr>
          <w:p w14:paraId="4E2262F1"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Health </w:t>
            </w:r>
          </w:p>
        </w:tc>
      </w:tr>
      <w:tr w:rsidR="000C3959" w14:paraId="1F876427" w14:textId="77777777" w:rsidTr="006C70A5">
        <w:tblPrEx>
          <w:jc w:val="center"/>
        </w:tblPrEx>
        <w:trPr>
          <w:trHeight w:val="340"/>
          <w:jc w:val="center"/>
        </w:trPr>
        <w:tc>
          <w:tcPr>
            <w:tcW w:w="175" w:type="pct"/>
          </w:tcPr>
          <w:p w14:paraId="1BBA260D"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 </w:t>
            </w:r>
          </w:p>
        </w:tc>
        <w:tc>
          <w:tcPr>
            <w:tcW w:w="1796" w:type="pct"/>
          </w:tcPr>
          <w:p w14:paraId="4F528AAD"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Reproductive Health Innovation (CERHI) </w:t>
            </w:r>
          </w:p>
        </w:tc>
        <w:tc>
          <w:tcPr>
            <w:tcW w:w="833" w:type="pct"/>
          </w:tcPr>
          <w:p w14:paraId="2C9EF367"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 xml:space="preserve">University of Benin </w:t>
            </w:r>
          </w:p>
        </w:tc>
        <w:tc>
          <w:tcPr>
            <w:tcW w:w="702" w:type="pct"/>
          </w:tcPr>
          <w:p w14:paraId="68EC871D" w14:textId="77777777" w:rsidR="002E1A3F" w:rsidRPr="003E0CBD" w:rsidRDefault="00B00100" w:rsidP="008E2709">
            <w:pPr>
              <w:widowControl/>
              <w:autoSpaceDE/>
              <w:autoSpaceDN/>
              <w:adjustRightInd/>
              <w:jc w:val="center"/>
              <w:rPr>
                <w:rFonts w:ascii="Calibri" w:eastAsia="Calibri" w:hAnsi="Calibri" w:cs="Calibri"/>
                <w:sz w:val="18"/>
                <w:szCs w:val="18"/>
                <w:lang w:val="fr-FR"/>
              </w:rPr>
            </w:pPr>
            <w:r w:rsidRPr="003E0CBD">
              <w:rPr>
                <w:rFonts w:ascii="Calibri" w:eastAsia="Times New Roman" w:hAnsi="Calibri" w:cs="Calibri"/>
                <w:sz w:val="18"/>
                <w:szCs w:val="18"/>
              </w:rPr>
              <w:t>Nigeria</w:t>
            </w:r>
          </w:p>
        </w:tc>
        <w:tc>
          <w:tcPr>
            <w:tcW w:w="748" w:type="pct"/>
          </w:tcPr>
          <w:p w14:paraId="5508556D"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Reproductive Health </w:t>
            </w:r>
          </w:p>
        </w:tc>
        <w:tc>
          <w:tcPr>
            <w:tcW w:w="746" w:type="pct"/>
          </w:tcPr>
          <w:p w14:paraId="3BC21409"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Health </w:t>
            </w:r>
          </w:p>
        </w:tc>
      </w:tr>
      <w:tr w:rsidR="000C3959" w14:paraId="061A2E9F" w14:textId="77777777" w:rsidTr="006C70A5">
        <w:tblPrEx>
          <w:jc w:val="center"/>
        </w:tblPrEx>
        <w:trPr>
          <w:trHeight w:val="323"/>
          <w:jc w:val="center"/>
        </w:trPr>
        <w:tc>
          <w:tcPr>
            <w:tcW w:w="175" w:type="pct"/>
          </w:tcPr>
          <w:p w14:paraId="2819FF91"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 </w:t>
            </w:r>
          </w:p>
        </w:tc>
        <w:tc>
          <w:tcPr>
            <w:tcW w:w="1796" w:type="pct"/>
          </w:tcPr>
          <w:p w14:paraId="086E1786"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Dry Land Agriculture (CDA) </w:t>
            </w:r>
          </w:p>
        </w:tc>
        <w:tc>
          <w:tcPr>
            <w:tcW w:w="833" w:type="pct"/>
          </w:tcPr>
          <w:p w14:paraId="02892BDA"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 xml:space="preserve">Bayero University, Kano </w:t>
            </w:r>
          </w:p>
        </w:tc>
        <w:tc>
          <w:tcPr>
            <w:tcW w:w="702" w:type="pct"/>
          </w:tcPr>
          <w:p w14:paraId="6363F833" w14:textId="77777777" w:rsidR="002E1A3F" w:rsidRPr="003E0CBD" w:rsidRDefault="00B00100" w:rsidP="008E2709">
            <w:pPr>
              <w:widowControl/>
              <w:autoSpaceDE/>
              <w:autoSpaceDN/>
              <w:adjustRightInd/>
              <w:jc w:val="center"/>
              <w:rPr>
                <w:rFonts w:ascii="Calibri" w:eastAsia="Calibri" w:hAnsi="Calibri" w:cs="Calibri"/>
                <w:sz w:val="18"/>
                <w:szCs w:val="18"/>
                <w:lang w:val="fr-FR"/>
              </w:rPr>
            </w:pPr>
            <w:r w:rsidRPr="003E0CBD">
              <w:rPr>
                <w:rFonts w:ascii="Calibri" w:eastAsia="Times New Roman" w:hAnsi="Calibri" w:cs="Calibri"/>
                <w:sz w:val="18"/>
                <w:szCs w:val="18"/>
              </w:rPr>
              <w:t xml:space="preserve">Nigeria </w:t>
            </w:r>
          </w:p>
        </w:tc>
        <w:tc>
          <w:tcPr>
            <w:tcW w:w="748" w:type="pct"/>
          </w:tcPr>
          <w:p w14:paraId="0D35AA9A"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Dryland Agriculture </w:t>
            </w:r>
          </w:p>
        </w:tc>
        <w:tc>
          <w:tcPr>
            <w:tcW w:w="746" w:type="pct"/>
          </w:tcPr>
          <w:p w14:paraId="5EDE99E7"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Agric</w:t>
            </w:r>
          </w:p>
          <w:p w14:paraId="1CC32975" w14:textId="77777777" w:rsidR="002E1A3F" w:rsidRPr="003E0CBD" w:rsidRDefault="002E1A3F" w:rsidP="008E2709">
            <w:pPr>
              <w:widowControl/>
              <w:autoSpaceDE/>
              <w:autoSpaceDN/>
              <w:adjustRightInd/>
              <w:jc w:val="center"/>
              <w:rPr>
                <w:rFonts w:ascii="Calibri" w:eastAsia="Calibri" w:hAnsi="Calibri" w:cs="Calibri"/>
                <w:sz w:val="18"/>
                <w:szCs w:val="18"/>
              </w:rPr>
            </w:pPr>
          </w:p>
        </w:tc>
      </w:tr>
      <w:tr w:rsidR="000C3959" w14:paraId="77E746FF" w14:textId="77777777" w:rsidTr="006C70A5">
        <w:tblPrEx>
          <w:jc w:val="center"/>
        </w:tblPrEx>
        <w:trPr>
          <w:trHeight w:val="125"/>
          <w:jc w:val="center"/>
        </w:trPr>
        <w:tc>
          <w:tcPr>
            <w:tcW w:w="175" w:type="pct"/>
          </w:tcPr>
          <w:p w14:paraId="357B3752"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3. </w:t>
            </w:r>
          </w:p>
        </w:tc>
        <w:tc>
          <w:tcPr>
            <w:tcW w:w="1796" w:type="pct"/>
          </w:tcPr>
          <w:p w14:paraId="5306090C"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Food Technology and Research (CEFTER) </w:t>
            </w:r>
          </w:p>
        </w:tc>
        <w:tc>
          <w:tcPr>
            <w:tcW w:w="833" w:type="pct"/>
          </w:tcPr>
          <w:p w14:paraId="2995FD68"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 xml:space="preserve">Benue State University </w:t>
            </w:r>
          </w:p>
        </w:tc>
        <w:tc>
          <w:tcPr>
            <w:tcW w:w="702" w:type="pct"/>
          </w:tcPr>
          <w:p w14:paraId="7A2755C5" w14:textId="77777777" w:rsidR="002E1A3F" w:rsidRPr="003E0CBD" w:rsidRDefault="00B00100" w:rsidP="008E2709">
            <w:pPr>
              <w:widowControl/>
              <w:autoSpaceDE/>
              <w:autoSpaceDN/>
              <w:adjustRightInd/>
              <w:jc w:val="center"/>
              <w:rPr>
                <w:rFonts w:ascii="Calibri" w:eastAsia="Calibri" w:hAnsi="Calibri" w:cs="Calibri"/>
                <w:sz w:val="18"/>
                <w:szCs w:val="18"/>
                <w:lang w:val="fr-FR"/>
              </w:rPr>
            </w:pPr>
            <w:r w:rsidRPr="003E0CBD">
              <w:rPr>
                <w:rFonts w:ascii="Calibri" w:eastAsia="Times New Roman" w:hAnsi="Calibri" w:cs="Calibri"/>
                <w:sz w:val="18"/>
                <w:szCs w:val="18"/>
              </w:rPr>
              <w:t xml:space="preserve">Nigeria </w:t>
            </w:r>
          </w:p>
        </w:tc>
        <w:tc>
          <w:tcPr>
            <w:tcW w:w="748" w:type="pct"/>
          </w:tcPr>
          <w:p w14:paraId="52126259"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Food tech and research </w:t>
            </w:r>
          </w:p>
        </w:tc>
        <w:tc>
          <w:tcPr>
            <w:tcW w:w="746" w:type="pct"/>
          </w:tcPr>
          <w:p w14:paraId="2653CCDF"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Agric </w:t>
            </w:r>
          </w:p>
        </w:tc>
      </w:tr>
      <w:tr w:rsidR="000C3959" w14:paraId="14B57519" w14:textId="77777777" w:rsidTr="006C70A5">
        <w:tblPrEx>
          <w:jc w:val="center"/>
        </w:tblPrEx>
        <w:trPr>
          <w:trHeight w:val="125"/>
          <w:jc w:val="center"/>
        </w:trPr>
        <w:tc>
          <w:tcPr>
            <w:tcW w:w="175" w:type="pct"/>
          </w:tcPr>
          <w:p w14:paraId="7E9BA97B" w14:textId="77777777" w:rsidR="002E1A3F" w:rsidRPr="002E1A3F" w:rsidRDefault="002E1A3F" w:rsidP="008E2709">
            <w:pPr>
              <w:widowControl/>
              <w:numPr>
                <w:ilvl w:val="0"/>
                <w:numId w:val="49"/>
              </w:numPr>
              <w:autoSpaceDE/>
              <w:autoSpaceDN/>
              <w:adjustRightInd/>
              <w:spacing w:after="160"/>
              <w:contextualSpacing/>
              <w:rPr>
                <w:rFonts w:ascii="Calibri" w:eastAsia="Times New Roman" w:hAnsi="Calibri" w:cs="Calibri"/>
                <w:sz w:val="16"/>
                <w:szCs w:val="16"/>
              </w:rPr>
            </w:pPr>
          </w:p>
        </w:tc>
        <w:tc>
          <w:tcPr>
            <w:tcW w:w="1796" w:type="pct"/>
          </w:tcPr>
          <w:p w14:paraId="34C1D5D6"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OAU ICT-DRIVEN KNOWLEDGE PARK (OAU-OAK)</w:t>
            </w:r>
          </w:p>
        </w:tc>
        <w:tc>
          <w:tcPr>
            <w:tcW w:w="833" w:type="pct"/>
          </w:tcPr>
          <w:p w14:paraId="0B3539DA" w14:textId="77777777" w:rsidR="002E1A3F" w:rsidRPr="003E0CBD" w:rsidRDefault="00B00100" w:rsidP="008E2709">
            <w:pPr>
              <w:widowControl/>
              <w:autoSpaceDE/>
              <w:autoSpaceDN/>
              <w:adjustRightInd/>
              <w:rPr>
                <w:rFonts w:ascii="Calibri" w:eastAsia="Times New Roman" w:hAnsi="Calibri" w:cs="Calibri"/>
                <w:b/>
                <w:sz w:val="18"/>
                <w:szCs w:val="18"/>
              </w:rPr>
            </w:pPr>
            <w:r w:rsidRPr="003E0CBD">
              <w:rPr>
                <w:rFonts w:ascii="Calibri" w:eastAsia="Times New Roman" w:hAnsi="Calibri" w:cs="Calibri"/>
                <w:sz w:val="18"/>
                <w:szCs w:val="18"/>
              </w:rPr>
              <w:t xml:space="preserve">Obafemi Awolowo University </w:t>
            </w:r>
          </w:p>
        </w:tc>
        <w:tc>
          <w:tcPr>
            <w:tcW w:w="702" w:type="pct"/>
          </w:tcPr>
          <w:p w14:paraId="13F92223"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579F4632"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Digital Development </w:t>
            </w:r>
          </w:p>
        </w:tc>
        <w:tc>
          <w:tcPr>
            <w:tcW w:w="746" w:type="pct"/>
          </w:tcPr>
          <w:p w14:paraId="1454CFD2"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STEM </w:t>
            </w:r>
          </w:p>
        </w:tc>
      </w:tr>
      <w:tr w:rsidR="000C3959" w14:paraId="2B4EBA92" w14:textId="77777777" w:rsidTr="006C70A5">
        <w:tblPrEx>
          <w:jc w:val="center"/>
        </w:tblPrEx>
        <w:trPr>
          <w:trHeight w:val="125"/>
          <w:jc w:val="center"/>
        </w:trPr>
        <w:tc>
          <w:tcPr>
            <w:tcW w:w="175" w:type="pct"/>
          </w:tcPr>
          <w:p w14:paraId="1059F057"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5. </w:t>
            </w:r>
          </w:p>
        </w:tc>
        <w:tc>
          <w:tcPr>
            <w:tcW w:w="1796" w:type="pct"/>
          </w:tcPr>
          <w:p w14:paraId="6565EC2E"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ACE: Oilfield Chemicals Research (CEFOR) </w:t>
            </w:r>
          </w:p>
        </w:tc>
        <w:tc>
          <w:tcPr>
            <w:tcW w:w="833" w:type="pct"/>
          </w:tcPr>
          <w:p w14:paraId="122291DB"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 xml:space="preserve">University of Port Harcourt </w:t>
            </w:r>
          </w:p>
        </w:tc>
        <w:tc>
          <w:tcPr>
            <w:tcW w:w="702" w:type="pct"/>
          </w:tcPr>
          <w:p w14:paraId="53423CAC" w14:textId="77777777" w:rsidR="002E1A3F" w:rsidRPr="003E0CBD" w:rsidRDefault="00B00100" w:rsidP="008E2709">
            <w:pPr>
              <w:widowControl/>
              <w:autoSpaceDE/>
              <w:autoSpaceDN/>
              <w:adjustRightInd/>
              <w:jc w:val="center"/>
              <w:rPr>
                <w:rFonts w:ascii="Calibri" w:eastAsia="Calibri" w:hAnsi="Calibri" w:cs="Calibri"/>
                <w:sz w:val="18"/>
                <w:szCs w:val="18"/>
                <w:lang w:val="fr-FR"/>
              </w:rPr>
            </w:pPr>
            <w:r w:rsidRPr="003E0CBD">
              <w:rPr>
                <w:rFonts w:ascii="Calibri" w:eastAsia="Times New Roman" w:hAnsi="Calibri" w:cs="Calibri"/>
                <w:sz w:val="18"/>
                <w:szCs w:val="18"/>
              </w:rPr>
              <w:t xml:space="preserve">Nigeria </w:t>
            </w:r>
          </w:p>
        </w:tc>
        <w:tc>
          <w:tcPr>
            <w:tcW w:w="748" w:type="pct"/>
          </w:tcPr>
          <w:p w14:paraId="2F1E8294"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Oil and gas </w:t>
            </w:r>
          </w:p>
        </w:tc>
        <w:tc>
          <w:tcPr>
            <w:tcW w:w="746" w:type="pct"/>
          </w:tcPr>
          <w:p w14:paraId="4084376A"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 xml:space="preserve">STEM </w:t>
            </w:r>
          </w:p>
        </w:tc>
      </w:tr>
      <w:bookmarkEnd w:id="386"/>
      <w:tr w:rsidR="000C3959" w14:paraId="63AE3633" w14:textId="77777777" w:rsidTr="006C70A5">
        <w:tblPrEx>
          <w:jc w:val="center"/>
        </w:tblPrEx>
        <w:trPr>
          <w:trHeight w:val="251"/>
          <w:jc w:val="center"/>
        </w:trPr>
        <w:tc>
          <w:tcPr>
            <w:tcW w:w="175" w:type="pct"/>
          </w:tcPr>
          <w:p w14:paraId="06583D72" w14:textId="77777777" w:rsidR="002E1A3F" w:rsidRPr="002E1A3F" w:rsidRDefault="002E1A3F" w:rsidP="008E2709">
            <w:pPr>
              <w:widowControl/>
              <w:numPr>
                <w:ilvl w:val="0"/>
                <w:numId w:val="49"/>
              </w:numPr>
              <w:autoSpaceDE/>
              <w:autoSpaceDN/>
              <w:adjustRightInd/>
              <w:spacing w:after="160"/>
              <w:contextualSpacing/>
              <w:rPr>
                <w:rFonts w:ascii="Calibri" w:eastAsia="Times New Roman" w:hAnsi="Calibri" w:cs="Calibri"/>
                <w:sz w:val="16"/>
                <w:szCs w:val="16"/>
              </w:rPr>
            </w:pPr>
          </w:p>
        </w:tc>
        <w:tc>
          <w:tcPr>
            <w:tcW w:w="1796" w:type="pct"/>
          </w:tcPr>
          <w:p w14:paraId="0620D110" w14:textId="1E5EF886" w:rsidR="002E1A3F" w:rsidRPr="003E0CBD" w:rsidRDefault="00B00100" w:rsidP="009856BF">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ACE: Poultry Science (CERSA) </w:t>
            </w:r>
          </w:p>
        </w:tc>
        <w:tc>
          <w:tcPr>
            <w:tcW w:w="833" w:type="pct"/>
          </w:tcPr>
          <w:p w14:paraId="3400FA3A"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University of Lomé </w:t>
            </w:r>
          </w:p>
        </w:tc>
        <w:tc>
          <w:tcPr>
            <w:tcW w:w="702" w:type="pct"/>
          </w:tcPr>
          <w:p w14:paraId="248C625F"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Togo </w:t>
            </w:r>
          </w:p>
        </w:tc>
        <w:tc>
          <w:tcPr>
            <w:tcW w:w="748" w:type="pct"/>
          </w:tcPr>
          <w:p w14:paraId="38A6A2E7"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Poultry science </w:t>
            </w:r>
          </w:p>
        </w:tc>
        <w:tc>
          <w:tcPr>
            <w:tcW w:w="746" w:type="pct"/>
          </w:tcPr>
          <w:p w14:paraId="6BC44594"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Agric </w:t>
            </w:r>
          </w:p>
        </w:tc>
      </w:tr>
      <w:tr w:rsidR="000C3959" w14:paraId="2B007021" w14:textId="77777777" w:rsidTr="000C46A6">
        <w:tblPrEx>
          <w:jc w:val="center"/>
        </w:tblPrEx>
        <w:trPr>
          <w:trHeight w:val="190"/>
          <w:jc w:val="center"/>
        </w:trPr>
        <w:tc>
          <w:tcPr>
            <w:tcW w:w="5000" w:type="pct"/>
            <w:gridSpan w:val="6"/>
            <w:shd w:val="clear" w:color="auto" w:fill="D0CECE"/>
            <w:vAlign w:val="center"/>
          </w:tcPr>
          <w:p w14:paraId="2D62310C" w14:textId="77777777" w:rsidR="002E1A3F" w:rsidRPr="003E0CBD" w:rsidRDefault="00B00100" w:rsidP="008E2709">
            <w:pPr>
              <w:widowControl/>
              <w:autoSpaceDE/>
              <w:autoSpaceDN/>
              <w:adjustRightInd/>
              <w:jc w:val="center"/>
              <w:rPr>
                <w:rFonts w:ascii="Calibri" w:eastAsia="Calibri" w:hAnsi="Calibri" w:cs="Calibri"/>
                <w:bCs/>
                <w:color w:val="auto"/>
                <w:sz w:val="18"/>
                <w:szCs w:val="18"/>
              </w:rPr>
            </w:pPr>
            <w:r w:rsidRPr="003E0CBD">
              <w:rPr>
                <w:rFonts w:ascii="Calibri" w:eastAsia="Calibri" w:hAnsi="Calibri" w:cs="Calibri"/>
                <w:b/>
                <w:sz w:val="18"/>
                <w:szCs w:val="18"/>
              </w:rPr>
              <w:t>Sub-</w:t>
            </w:r>
            <w:r w:rsidR="005E205D" w:rsidRPr="003E0CBD">
              <w:rPr>
                <w:rFonts w:ascii="Calibri" w:eastAsia="Calibri" w:hAnsi="Calibri" w:cs="Calibri"/>
                <w:b/>
                <w:sz w:val="18"/>
                <w:szCs w:val="18"/>
              </w:rPr>
              <w:t>c</w:t>
            </w:r>
            <w:r w:rsidRPr="003E0CBD">
              <w:rPr>
                <w:rFonts w:ascii="Calibri" w:eastAsia="Calibri" w:hAnsi="Calibri" w:cs="Calibri"/>
                <w:b/>
                <w:sz w:val="18"/>
                <w:szCs w:val="18"/>
              </w:rPr>
              <w:t>omponent 1.2: NEW AFRICA CENTERS OF EXCELLENCE (New centers)</w:t>
            </w:r>
          </w:p>
        </w:tc>
      </w:tr>
      <w:tr w:rsidR="000C3959" w14:paraId="4383ABBE" w14:textId="77777777" w:rsidTr="006C70A5">
        <w:tblPrEx>
          <w:jc w:val="center"/>
        </w:tblPrEx>
        <w:trPr>
          <w:trHeight w:val="125"/>
          <w:jc w:val="center"/>
        </w:trPr>
        <w:tc>
          <w:tcPr>
            <w:tcW w:w="175" w:type="pct"/>
          </w:tcPr>
          <w:p w14:paraId="4ADA6280"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Calibri" w:hAnsi="Calibri" w:cs="Calibri"/>
                <w:color w:val="auto"/>
                <w:sz w:val="16"/>
                <w:szCs w:val="16"/>
              </w:rPr>
              <w:t>7</w:t>
            </w:r>
          </w:p>
        </w:tc>
        <w:tc>
          <w:tcPr>
            <w:tcW w:w="1796" w:type="pct"/>
          </w:tcPr>
          <w:p w14:paraId="3701B167"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ACE: Water and Sanitation (C2EA) </w:t>
            </w:r>
          </w:p>
        </w:tc>
        <w:tc>
          <w:tcPr>
            <w:tcW w:w="833" w:type="pct"/>
          </w:tcPr>
          <w:p w14:paraId="56FF7B48"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University of Abomey Calavi </w:t>
            </w:r>
          </w:p>
        </w:tc>
        <w:tc>
          <w:tcPr>
            <w:tcW w:w="702" w:type="pct"/>
          </w:tcPr>
          <w:p w14:paraId="22296235"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Benin </w:t>
            </w:r>
          </w:p>
        </w:tc>
        <w:tc>
          <w:tcPr>
            <w:tcW w:w="748" w:type="pct"/>
          </w:tcPr>
          <w:p w14:paraId="28A9580F"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Water &amp; sanitation </w:t>
            </w:r>
          </w:p>
        </w:tc>
        <w:tc>
          <w:tcPr>
            <w:tcW w:w="746" w:type="pct"/>
          </w:tcPr>
          <w:p w14:paraId="03A3F1E6"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STEM </w:t>
            </w:r>
          </w:p>
        </w:tc>
      </w:tr>
      <w:tr w:rsidR="000C3959" w14:paraId="468253F5" w14:textId="77777777" w:rsidTr="006C70A5">
        <w:tblPrEx>
          <w:jc w:val="center"/>
        </w:tblPrEx>
        <w:trPr>
          <w:trHeight w:val="125"/>
          <w:jc w:val="center"/>
        </w:trPr>
        <w:tc>
          <w:tcPr>
            <w:tcW w:w="175" w:type="pct"/>
          </w:tcPr>
          <w:p w14:paraId="2D6071CA"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tcPr>
          <w:p w14:paraId="67FA1D16"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ACE: Pastoral Productions – Meat, Milk, Leather and Skins (CERPP) </w:t>
            </w:r>
          </w:p>
        </w:tc>
        <w:tc>
          <w:tcPr>
            <w:tcW w:w="833" w:type="pct"/>
          </w:tcPr>
          <w:p w14:paraId="013AB282"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Université Abdou Moumouni</w:t>
            </w:r>
          </w:p>
        </w:tc>
        <w:tc>
          <w:tcPr>
            <w:tcW w:w="702" w:type="pct"/>
          </w:tcPr>
          <w:p w14:paraId="43DECCB7"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 </w:t>
            </w:r>
          </w:p>
        </w:tc>
        <w:tc>
          <w:tcPr>
            <w:tcW w:w="748" w:type="pct"/>
          </w:tcPr>
          <w:p w14:paraId="556057C1"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Livestock </w:t>
            </w:r>
          </w:p>
        </w:tc>
        <w:tc>
          <w:tcPr>
            <w:tcW w:w="746" w:type="pct"/>
          </w:tcPr>
          <w:p w14:paraId="6C137328"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Agric</w:t>
            </w:r>
          </w:p>
          <w:p w14:paraId="4135C2E3" w14:textId="77777777" w:rsidR="002E1A3F" w:rsidRPr="003E0CBD" w:rsidRDefault="002E1A3F" w:rsidP="008E2709">
            <w:pPr>
              <w:widowControl/>
              <w:autoSpaceDE/>
              <w:autoSpaceDN/>
              <w:adjustRightInd/>
              <w:jc w:val="center"/>
              <w:rPr>
                <w:rFonts w:ascii="Calibri" w:eastAsia="Times New Roman" w:hAnsi="Calibri" w:cs="Calibri"/>
                <w:sz w:val="18"/>
                <w:szCs w:val="18"/>
              </w:rPr>
            </w:pPr>
          </w:p>
        </w:tc>
      </w:tr>
      <w:tr w:rsidR="000C3959" w14:paraId="7F545043" w14:textId="77777777" w:rsidTr="006C70A5">
        <w:tblPrEx>
          <w:jc w:val="center"/>
        </w:tblPrEx>
        <w:trPr>
          <w:trHeight w:val="125"/>
          <w:jc w:val="center"/>
        </w:trPr>
        <w:tc>
          <w:tcPr>
            <w:tcW w:w="175" w:type="pct"/>
          </w:tcPr>
          <w:p w14:paraId="10DBC183"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599B7A75"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Public Health and Toxicological Research</w:t>
            </w:r>
          </w:p>
        </w:tc>
        <w:tc>
          <w:tcPr>
            <w:tcW w:w="833" w:type="pct"/>
            <w:vAlign w:val="bottom"/>
          </w:tcPr>
          <w:p w14:paraId="3CB5B95D"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University of Port Harcourt</w:t>
            </w:r>
          </w:p>
        </w:tc>
        <w:tc>
          <w:tcPr>
            <w:tcW w:w="702" w:type="pct"/>
          </w:tcPr>
          <w:p w14:paraId="2294FCFA"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48B9D4A4"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Nursing</w:t>
            </w:r>
          </w:p>
        </w:tc>
        <w:tc>
          <w:tcPr>
            <w:tcW w:w="746" w:type="pct"/>
          </w:tcPr>
          <w:p w14:paraId="1C1F7EE8"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rPr>
              <w:t>H</w:t>
            </w:r>
            <w:r w:rsidR="00FB4CA6" w:rsidRPr="003E0CBD">
              <w:rPr>
                <w:rFonts w:ascii="Calibri" w:eastAsia="Times New Roman" w:hAnsi="Calibri" w:cs="Calibri"/>
                <w:sz w:val="18"/>
                <w:szCs w:val="18"/>
              </w:rPr>
              <w:t>ealth</w:t>
            </w:r>
          </w:p>
        </w:tc>
      </w:tr>
      <w:tr w:rsidR="000C3959" w14:paraId="726E373B" w14:textId="77777777" w:rsidTr="006C70A5">
        <w:tblPrEx>
          <w:jc w:val="center"/>
        </w:tblPrEx>
        <w:trPr>
          <w:trHeight w:val="125"/>
          <w:jc w:val="center"/>
        </w:trPr>
        <w:tc>
          <w:tcPr>
            <w:tcW w:w="175" w:type="pct"/>
          </w:tcPr>
          <w:p w14:paraId="60980D34"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443F6F43"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Centre for Population Health and Policy</w:t>
            </w:r>
          </w:p>
        </w:tc>
        <w:tc>
          <w:tcPr>
            <w:tcW w:w="833" w:type="pct"/>
            <w:vAlign w:val="bottom"/>
          </w:tcPr>
          <w:p w14:paraId="509C4258"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Bayero University, Kano</w:t>
            </w:r>
          </w:p>
        </w:tc>
        <w:tc>
          <w:tcPr>
            <w:tcW w:w="702" w:type="pct"/>
          </w:tcPr>
          <w:p w14:paraId="15A9FE1E"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358677B3"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Nursing</w:t>
            </w:r>
          </w:p>
        </w:tc>
        <w:tc>
          <w:tcPr>
            <w:tcW w:w="746" w:type="pct"/>
          </w:tcPr>
          <w:p w14:paraId="02AAEDB7"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rPr>
              <w:t>H</w:t>
            </w:r>
            <w:r w:rsidR="00FB4CA6" w:rsidRPr="003E0CBD">
              <w:rPr>
                <w:rFonts w:ascii="Calibri" w:eastAsia="Times New Roman" w:hAnsi="Calibri" w:cs="Calibri"/>
                <w:sz w:val="18"/>
                <w:szCs w:val="18"/>
              </w:rPr>
              <w:t>ealth</w:t>
            </w:r>
          </w:p>
        </w:tc>
      </w:tr>
      <w:tr w:rsidR="000C3959" w14:paraId="0C48278E" w14:textId="77777777" w:rsidTr="006C70A5">
        <w:tblPrEx>
          <w:jc w:val="center"/>
        </w:tblPrEx>
        <w:trPr>
          <w:trHeight w:val="125"/>
          <w:jc w:val="center"/>
        </w:trPr>
        <w:tc>
          <w:tcPr>
            <w:tcW w:w="175" w:type="pct"/>
          </w:tcPr>
          <w:p w14:paraId="0949C3A8"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bookmarkStart w:id="387" w:name="_Hlk8720520"/>
          </w:p>
        </w:tc>
        <w:tc>
          <w:tcPr>
            <w:tcW w:w="1796" w:type="pct"/>
            <w:vAlign w:val="bottom"/>
          </w:tcPr>
          <w:p w14:paraId="6DE3B9C1"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Covenant Applied Informatics and Communication</w:t>
            </w:r>
          </w:p>
        </w:tc>
        <w:tc>
          <w:tcPr>
            <w:tcW w:w="833" w:type="pct"/>
            <w:vAlign w:val="bottom"/>
          </w:tcPr>
          <w:p w14:paraId="545A0405"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Covenant University</w:t>
            </w:r>
          </w:p>
        </w:tc>
        <w:tc>
          <w:tcPr>
            <w:tcW w:w="702" w:type="pct"/>
          </w:tcPr>
          <w:p w14:paraId="1C5904AB"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1E14C739"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Digital Development</w:t>
            </w:r>
          </w:p>
        </w:tc>
        <w:tc>
          <w:tcPr>
            <w:tcW w:w="746" w:type="pct"/>
          </w:tcPr>
          <w:p w14:paraId="1E2BAAE7"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w:t>
            </w:r>
          </w:p>
        </w:tc>
      </w:tr>
      <w:tr w:rsidR="000C3959" w14:paraId="173FA071" w14:textId="77777777" w:rsidTr="006C70A5">
        <w:tblPrEx>
          <w:jc w:val="center"/>
        </w:tblPrEx>
        <w:trPr>
          <w:trHeight w:val="125"/>
          <w:jc w:val="center"/>
        </w:trPr>
        <w:tc>
          <w:tcPr>
            <w:tcW w:w="175" w:type="pct"/>
          </w:tcPr>
          <w:p w14:paraId="47221893"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02159CC4"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Technology Enhanced Learning (ACETEL)</w:t>
            </w:r>
          </w:p>
        </w:tc>
        <w:tc>
          <w:tcPr>
            <w:tcW w:w="833" w:type="pct"/>
            <w:vAlign w:val="bottom"/>
          </w:tcPr>
          <w:p w14:paraId="122BCB1F"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National Open University of Nigeria</w:t>
            </w:r>
          </w:p>
        </w:tc>
        <w:tc>
          <w:tcPr>
            <w:tcW w:w="702" w:type="pct"/>
          </w:tcPr>
          <w:p w14:paraId="351C156B"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116E7A59"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Digital Development</w:t>
            </w:r>
          </w:p>
        </w:tc>
        <w:tc>
          <w:tcPr>
            <w:tcW w:w="746" w:type="pct"/>
          </w:tcPr>
          <w:p w14:paraId="56585EF4"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w:t>
            </w:r>
          </w:p>
        </w:tc>
      </w:tr>
      <w:tr w:rsidR="000C3959" w14:paraId="54D5DC0E" w14:textId="77777777" w:rsidTr="006C70A5">
        <w:tblPrEx>
          <w:jc w:val="center"/>
        </w:tblPrEx>
        <w:trPr>
          <w:trHeight w:val="125"/>
          <w:jc w:val="center"/>
        </w:trPr>
        <w:tc>
          <w:tcPr>
            <w:tcW w:w="175" w:type="pct"/>
          </w:tcPr>
          <w:p w14:paraId="7EFAD4CE"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77C2E728"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Innovative and Transformations Stem Education (CITSE)</w:t>
            </w:r>
          </w:p>
        </w:tc>
        <w:tc>
          <w:tcPr>
            <w:tcW w:w="833" w:type="pct"/>
            <w:vAlign w:val="bottom"/>
          </w:tcPr>
          <w:p w14:paraId="0B2AE158"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Lagos State University</w:t>
            </w:r>
          </w:p>
        </w:tc>
        <w:tc>
          <w:tcPr>
            <w:tcW w:w="702" w:type="pct"/>
          </w:tcPr>
          <w:p w14:paraId="0713B188"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198E699A"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 Education</w:t>
            </w:r>
          </w:p>
        </w:tc>
        <w:tc>
          <w:tcPr>
            <w:tcW w:w="746" w:type="pct"/>
          </w:tcPr>
          <w:p w14:paraId="0775FF75"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Education</w:t>
            </w:r>
          </w:p>
        </w:tc>
      </w:tr>
      <w:tr w:rsidR="000C3959" w14:paraId="106794FF" w14:textId="77777777" w:rsidTr="006C70A5">
        <w:tblPrEx>
          <w:jc w:val="center"/>
        </w:tblPrEx>
        <w:trPr>
          <w:trHeight w:val="125"/>
          <w:jc w:val="center"/>
        </w:trPr>
        <w:tc>
          <w:tcPr>
            <w:tcW w:w="175" w:type="pct"/>
          </w:tcPr>
          <w:p w14:paraId="2B67F9E7"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tcPr>
          <w:p w14:paraId="4EEACD36"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Mycotoxin and Food Safety</w:t>
            </w:r>
          </w:p>
        </w:tc>
        <w:tc>
          <w:tcPr>
            <w:tcW w:w="833" w:type="pct"/>
          </w:tcPr>
          <w:p w14:paraId="20CF7699"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Federal University of Technology, Minna</w:t>
            </w:r>
            <w:r w:rsidR="00864D46">
              <w:rPr>
                <w:rFonts w:ascii="Calibri" w:eastAsia="Times New Roman" w:hAnsi="Calibri" w:cs="Calibri"/>
                <w:sz w:val="18"/>
                <w:szCs w:val="18"/>
              </w:rPr>
              <w:t>, Nigeria</w:t>
            </w:r>
          </w:p>
        </w:tc>
        <w:tc>
          <w:tcPr>
            <w:tcW w:w="702" w:type="pct"/>
          </w:tcPr>
          <w:p w14:paraId="52058739"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39218606"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Mycotoxin and food safety </w:t>
            </w:r>
          </w:p>
        </w:tc>
        <w:tc>
          <w:tcPr>
            <w:tcW w:w="746" w:type="pct"/>
          </w:tcPr>
          <w:p w14:paraId="561F78BC"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rPr>
              <w:t>H</w:t>
            </w:r>
            <w:r w:rsidR="004E68F9" w:rsidRPr="003E0CBD">
              <w:rPr>
                <w:rFonts w:ascii="Calibri" w:eastAsia="Times New Roman" w:hAnsi="Calibri" w:cs="Calibri"/>
                <w:sz w:val="18"/>
                <w:szCs w:val="18"/>
              </w:rPr>
              <w:t>ealth</w:t>
            </w:r>
          </w:p>
        </w:tc>
      </w:tr>
      <w:tr w:rsidR="000C3959" w14:paraId="19E56208" w14:textId="77777777" w:rsidTr="006C70A5">
        <w:tblPrEx>
          <w:jc w:val="center"/>
        </w:tblPrEx>
        <w:trPr>
          <w:trHeight w:val="125"/>
          <w:jc w:val="center"/>
        </w:trPr>
        <w:tc>
          <w:tcPr>
            <w:tcW w:w="175" w:type="pct"/>
          </w:tcPr>
          <w:p w14:paraId="70CBC629"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tcPr>
          <w:p w14:paraId="547E16B1"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Drug Research, Herbal Medicine Development and Regulatory Science</w:t>
            </w:r>
          </w:p>
        </w:tc>
        <w:tc>
          <w:tcPr>
            <w:tcW w:w="833" w:type="pct"/>
          </w:tcPr>
          <w:p w14:paraId="043971A0"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University of Lagos</w:t>
            </w:r>
          </w:p>
        </w:tc>
        <w:tc>
          <w:tcPr>
            <w:tcW w:w="702" w:type="pct"/>
          </w:tcPr>
          <w:p w14:paraId="2AC8BB20"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71BF96B6"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Herbal medicine development and regulation</w:t>
            </w:r>
          </w:p>
        </w:tc>
        <w:tc>
          <w:tcPr>
            <w:tcW w:w="746" w:type="pct"/>
          </w:tcPr>
          <w:p w14:paraId="5E05A705"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rPr>
              <w:t>H</w:t>
            </w:r>
            <w:r w:rsidR="004E68F9" w:rsidRPr="003E0CBD">
              <w:rPr>
                <w:rFonts w:ascii="Calibri" w:eastAsia="Times New Roman" w:hAnsi="Calibri" w:cs="Calibri"/>
                <w:sz w:val="18"/>
                <w:szCs w:val="18"/>
              </w:rPr>
              <w:t>ealth</w:t>
            </w:r>
          </w:p>
        </w:tc>
      </w:tr>
      <w:bookmarkEnd w:id="387"/>
      <w:tr w:rsidR="000C3959" w14:paraId="5435DAEF" w14:textId="77777777" w:rsidTr="006C70A5">
        <w:tblPrEx>
          <w:jc w:val="center"/>
        </w:tblPrEx>
        <w:trPr>
          <w:trHeight w:val="125"/>
          <w:jc w:val="center"/>
        </w:trPr>
        <w:tc>
          <w:tcPr>
            <w:tcW w:w="175" w:type="pct"/>
          </w:tcPr>
          <w:p w14:paraId="0FEE8003"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4BB1A1EB"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ACE: New Pedagogy </w:t>
            </w:r>
            <w:r w:rsidR="00D10536">
              <w:rPr>
                <w:rFonts w:ascii="Calibri" w:eastAsia="Times New Roman" w:hAnsi="Calibri" w:cs="Calibri"/>
                <w:sz w:val="18"/>
                <w:szCs w:val="18"/>
              </w:rPr>
              <w:t>i</w:t>
            </w:r>
            <w:r w:rsidRPr="003E0CBD">
              <w:rPr>
                <w:rFonts w:ascii="Calibri" w:eastAsia="Times New Roman" w:hAnsi="Calibri" w:cs="Calibri"/>
                <w:sz w:val="18"/>
                <w:szCs w:val="18"/>
              </w:rPr>
              <w:t>n Engineering Education (ACENPEE)</w:t>
            </w:r>
          </w:p>
        </w:tc>
        <w:tc>
          <w:tcPr>
            <w:tcW w:w="833" w:type="pct"/>
            <w:vAlign w:val="bottom"/>
          </w:tcPr>
          <w:p w14:paraId="789DA25D"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Ahmadu Belo University</w:t>
            </w:r>
          </w:p>
        </w:tc>
        <w:tc>
          <w:tcPr>
            <w:tcW w:w="702" w:type="pct"/>
          </w:tcPr>
          <w:p w14:paraId="526ABC80"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63CE57EF"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Engineering education</w:t>
            </w:r>
          </w:p>
        </w:tc>
        <w:tc>
          <w:tcPr>
            <w:tcW w:w="746" w:type="pct"/>
          </w:tcPr>
          <w:p w14:paraId="7E105911"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w:t>
            </w:r>
          </w:p>
        </w:tc>
      </w:tr>
      <w:tr w:rsidR="000C3959" w14:paraId="60394221" w14:textId="77777777" w:rsidTr="006C70A5">
        <w:tblPrEx>
          <w:jc w:val="center"/>
        </w:tblPrEx>
        <w:trPr>
          <w:trHeight w:val="125"/>
          <w:jc w:val="center"/>
        </w:trPr>
        <w:tc>
          <w:tcPr>
            <w:tcW w:w="175" w:type="pct"/>
          </w:tcPr>
          <w:p w14:paraId="311CE31C"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bookmarkStart w:id="388" w:name="_Hlk8720545"/>
          </w:p>
        </w:tc>
        <w:tc>
          <w:tcPr>
            <w:tcW w:w="1796" w:type="pct"/>
            <w:vAlign w:val="bottom"/>
          </w:tcPr>
          <w:p w14:paraId="3C416C4F"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Sustainable Power and Energy Development (ACE_SPED)</w:t>
            </w:r>
          </w:p>
        </w:tc>
        <w:tc>
          <w:tcPr>
            <w:tcW w:w="833" w:type="pct"/>
            <w:vAlign w:val="bottom"/>
          </w:tcPr>
          <w:p w14:paraId="34E4E2F3"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University of Nigeria Nsukka</w:t>
            </w:r>
          </w:p>
        </w:tc>
        <w:tc>
          <w:tcPr>
            <w:tcW w:w="702" w:type="pct"/>
          </w:tcPr>
          <w:p w14:paraId="4BE34C5C"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69F53538"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Power</w:t>
            </w:r>
          </w:p>
        </w:tc>
        <w:tc>
          <w:tcPr>
            <w:tcW w:w="746" w:type="pct"/>
          </w:tcPr>
          <w:p w14:paraId="7F079056"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w:t>
            </w:r>
          </w:p>
        </w:tc>
      </w:tr>
      <w:tr w:rsidR="000C3959" w14:paraId="5396B8D7" w14:textId="77777777" w:rsidTr="006C70A5">
        <w:tblPrEx>
          <w:jc w:val="center"/>
        </w:tblPrEx>
        <w:trPr>
          <w:trHeight w:val="125"/>
          <w:jc w:val="center"/>
        </w:trPr>
        <w:tc>
          <w:tcPr>
            <w:tcW w:w="175" w:type="pct"/>
          </w:tcPr>
          <w:p w14:paraId="0FAAD4D1"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vAlign w:val="bottom"/>
          </w:tcPr>
          <w:p w14:paraId="27B30DD3"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Future Energies and Electrochemical Systems</w:t>
            </w:r>
          </w:p>
        </w:tc>
        <w:tc>
          <w:tcPr>
            <w:tcW w:w="833" w:type="pct"/>
            <w:vAlign w:val="bottom"/>
          </w:tcPr>
          <w:p w14:paraId="1B261E76"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Federal University of Technology, Owerri</w:t>
            </w:r>
            <w:r w:rsidR="00864D46">
              <w:rPr>
                <w:rFonts w:ascii="Calibri" w:eastAsia="Times New Roman" w:hAnsi="Calibri" w:cs="Calibri"/>
                <w:sz w:val="18"/>
                <w:szCs w:val="18"/>
              </w:rPr>
              <w:t>, Nigeria</w:t>
            </w:r>
          </w:p>
        </w:tc>
        <w:tc>
          <w:tcPr>
            <w:tcW w:w="702" w:type="pct"/>
          </w:tcPr>
          <w:p w14:paraId="206B614C"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Nigeria </w:t>
            </w:r>
          </w:p>
        </w:tc>
        <w:tc>
          <w:tcPr>
            <w:tcW w:w="748" w:type="pct"/>
          </w:tcPr>
          <w:p w14:paraId="52805E93"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Renewable energy</w:t>
            </w:r>
          </w:p>
        </w:tc>
        <w:tc>
          <w:tcPr>
            <w:tcW w:w="746" w:type="pct"/>
          </w:tcPr>
          <w:p w14:paraId="21B90F90"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STEM</w:t>
            </w:r>
          </w:p>
        </w:tc>
      </w:tr>
      <w:bookmarkEnd w:id="388"/>
      <w:tr w:rsidR="000C3959" w14:paraId="585A45F9" w14:textId="77777777" w:rsidTr="006C70A5">
        <w:tblPrEx>
          <w:jc w:val="center"/>
        </w:tblPrEx>
        <w:trPr>
          <w:trHeight w:val="125"/>
          <w:jc w:val="center"/>
        </w:trPr>
        <w:tc>
          <w:tcPr>
            <w:tcW w:w="175" w:type="pct"/>
          </w:tcPr>
          <w:p w14:paraId="583DEC6A" w14:textId="77777777" w:rsidR="002E1A3F" w:rsidRPr="002E1A3F" w:rsidRDefault="002E1A3F" w:rsidP="008E2709">
            <w:pPr>
              <w:widowControl/>
              <w:numPr>
                <w:ilvl w:val="0"/>
                <w:numId w:val="49"/>
              </w:numPr>
              <w:autoSpaceDE/>
              <w:autoSpaceDN/>
              <w:adjustRightInd/>
              <w:spacing w:after="160"/>
              <w:contextualSpacing/>
              <w:rPr>
                <w:rFonts w:ascii="Calibri" w:eastAsia="Calibri" w:hAnsi="Calibri" w:cs="Calibri"/>
                <w:color w:val="auto"/>
                <w:sz w:val="16"/>
                <w:szCs w:val="16"/>
              </w:rPr>
            </w:pPr>
          </w:p>
        </w:tc>
        <w:tc>
          <w:tcPr>
            <w:tcW w:w="1796" w:type="pct"/>
          </w:tcPr>
          <w:p w14:paraId="5AA39651"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ACE: Power Management (CERME)</w:t>
            </w:r>
          </w:p>
        </w:tc>
        <w:tc>
          <w:tcPr>
            <w:tcW w:w="833" w:type="pct"/>
          </w:tcPr>
          <w:p w14:paraId="50CA8C46"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University of Lomé</w:t>
            </w:r>
          </w:p>
        </w:tc>
        <w:tc>
          <w:tcPr>
            <w:tcW w:w="702" w:type="pct"/>
          </w:tcPr>
          <w:p w14:paraId="05743406"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Togo </w:t>
            </w:r>
          </w:p>
        </w:tc>
        <w:tc>
          <w:tcPr>
            <w:tcW w:w="748" w:type="pct"/>
          </w:tcPr>
          <w:p w14:paraId="55FC6E72"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Power </w:t>
            </w:r>
          </w:p>
        </w:tc>
        <w:tc>
          <w:tcPr>
            <w:tcW w:w="746" w:type="pct"/>
          </w:tcPr>
          <w:p w14:paraId="5025E1F5"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STEM </w:t>
            </w:r>
          </w:p>
        </w:tc>
      </w:tr>
      <w:tr w:rsidR="000C3959" w14:paraId="353C9B67" w14:textId="77777777" w:rsidTr="006C70A5">
        <w:tblPrEx>
          <w:jc w:val="center"/>
        </w:tblPrEx>
        <w:trPr>
          <w:trHeight w:val="206"/>
          <w:jc w:val="center"/>
        </w:trPr>
        <w:tc>
          <w:tcPr>
            <w:tcW w:w="175" w:type="pct"/>
          </w:tcPr>
          <w:p w14:paraId="1A3B56B9" w14:textId="77777777" w:rsidR="002E1A3F" w:rsidRPr="002E1A3F" w:rsidRDefault="00B00100" w:rsidP="008E2709">
            <w:pPr>
              <w:widowControl/>
              <w:numPr>
                <w:ilvl w:val="0"/>
                <w:numId w:val="49"/>
              </w:numPr>
              <w:autoSpaceDE/>
              <w:autoSpaceDN/>
              <w:adjustRightInd/>
              <w:spacing w:after="160"/>
              <w:contextualSpacing/>
              <w:rPr>
                <w:rFonts w:ascii="Calibri" w:eastAsia="Calibri" w:hAnsi="Calibri" w:cs="Calibri"/>
                <w:color w:val="auto"/>
                <w:sz w:val="16"/>
                <w:szCs w:val="16"/>
              </w:rPr>
            </w:pPr>
            <w:r w:rsidRPr="002E1A3F">
              <w:rPr>
                <w:rFonts w:ascii="Calibri" w:eastAsia="Calibri" w:hAnsi="Calibri" w:cs="Calibri"/>
                <w:color w:val="auto"/>
                <w:sz w:val="16"/>
                <w:szCs w:val="16"/>
              </w:rPr>
              <w:lastRenderedPageBreak/>
              <w:t>13</w:t>
            </w:r>
          </w:p>
        </w:tc>
        <w:tc>
          <w:tcPr>
            <w:tcW w:w="1796" w:type="pct"/>
          </w:tcPr>
          <w:p w14:paraId="717AB4F2"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 xml:space="preserve">ACE: Sustainable Cities in Africa (DOUNEDON) </w:t>
            </w:r>
          </w:p>
        </w:tc>
        <w:tc>
          <w:tcPr>
            <w:tcW w:w="833" w:type="pct"/>
          </w:tcPr>
          <w:p w14:paraId="0B7C9B88" w14:textId="77777777" w:rsidR="002E1A3F" w:rsidRPr="003E0CBD" w:rsidRDefault="00B00100" w:rsidP="008E2709">
            <w:pPr>
              <w:widowControl/>
              <w:autoSpaceDE/>
              <w:autoSpaceDN/>
              <w:adjustRightInd/>
              <w:rPr>
                <w:rFonts w:ascii="Calibri" w:eastAsia="Times New Roman" w:hAnsi="Calibri" w:cs="Calibri"/>
                <w:sz w:val="18"/>
                <w:szCs w:val="18"/>
              </w:rPr>
            </w:pPr>
            <w:bookmarkStart w:id="389" w:name="_Hlk8720170"/>
            <w:r w:rsidRPr="003E0CBD">
              <w:rPr>
                <w:rFonts w:ascii="Calibri" w:eastAsia="Times New Roman" w:hAnsi="Calibri" w:cs="Calibri"/>
                <w:sz w:val="18"/>
                <w:szCs w:val="18"/>
              </w:rPr>
              <w:t xml:space="preserve">University of Lomé </w:t>
            </w:r>
            <w:bookmarkEnd w:id="389"/>
          </w:p>
        </w:tc>
        <w:tc>
          <w:tcPr>
            <w:tcW w:w="702" w:type="pct"/>
          </w:tcPr>
          <w:p w14:paraId="46676E5F"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Togo </w:t>
            </w:r>
          </w:p>
        </w:tc>
        <w:tc>
          <w:tcPr>
            <w:tcW w:w="748" w:type="pct"/>
          </w:tcPr>
          <w:p w14:paraId="090214AC"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Urban Design </w:t>
            </w:r>
          </w:p>
        </w:tc>
        <w:tc>
          <w:tcPr>
            <w:tcW w:w="746" w:type="pct"/>
          </w:tcPr>
          <w:p w14:paraId="2FDFBC03" w14:textId="77777777" w:rsidR="002E1A3F" w:rsidRPr="003E0CBD" w:rsidRDefault="00B00100" w:rsidP="008E2709">
            <w:pPr>
              <w:widowControl/>
              <w:autoSpaceDE/>
              <w:autoSpaceDN/>
              <w:adjustRightInd/>
              <w:jc w:val="center"/>
              <w:rPr>
                <w:rFonts w:ascii="Calibri" w:eastAsia="Times New Roman" w:hAnsi="Calibri" w:cs="Calibri"/>
                <w:sz w:val="18"/>
                <w:szCs w:val="18"/>
              </w:rPr>
            </w:pPr>
            <w:r w:rsidRPr="003E0CBD">
              <w:rPr>
                <w:rFonts w:ascii="Calibri" w:eastAsia="Times New Roman" w:hAnsi="Calibri" w:cs="Calibri"/>
                <w:sz w:val="18"/>
                <w:szCs w:val="18"/>
              </w:rPr>
              <w:t xml:space="preserve">Soc./ Econ Sci. </w:t>
            </w:r>
          </w:p>
        </w:tc>
      </w:tr>
      <w:tr w:rsidR="000C3959" w14:paraId="55F5FC22" w14:textId="77777777" w:rsidTr="000C46A6">
        <w:tblPrEx>
          <w:jc w:val="center"/>
        </w:tblPrEx>
        <w:trPr>
          <w:trHeight w:val="348"/>
          <w:jc w:val="center"/>
        </w:trPr>
        <w:tc>
          <w:tcPr>
            <w:tcW w:w="5000" w:type="pct"/>
            <w:gridSpan w:val="6"/>
            <w:shd w:val="clear" w:color="auto" w:fill="BFBFBF"/>
            <w:vAlign w:val="center"/>
          </w:tcPr>
          <w:p w14:paraId="71228FDD"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Calibri" w:hAnsi="Calibri" w:cs="Calibri"/>
                <w:b/>
                <w:sz w:val="18"/>
                <w:szCs w:val="18"/>
              </w:rPr>
              <w:t>Sub-component 2.1: EMERGING CENTERS OF EXCELLENCE (Emerging centers)</w:t>
            </w:r>
          </w:p>
        </w:tc>
      </w:tr>
      <w:tr w:rsidR="000C3959" w14:paraId="7FBB2CE1" w14:textId="77777777" w:rsidTr="006C70A5">
        <w:tblPrEx>
          <w:jc w:val="center"/>
        </w:tblPrEx>
        <w:trPr>
          <w:trHeight w:val="423"/>
          <w:jc w:val="center"/>
        </w:trPr>
        <w:tc>
          <w:tcPr>
            <w:tcW w:w="175" w:type="pct"/>
          </w:tcPr>
          <w:p w14:paraId="58D67F17" w14:textId="77777777" w:rsidR="002E1A3F" w:rsidRPr="002E1A3F" w:rsidRDefault="00B00100" w:rsidP="008E2709">
            <w:pPr>
              <w:widowControl/>
              <w:numPr>
                <w:ilvl w:val="0"/>
                <w:numId w:val="69"/>
              </w:numPr>
              <w:autoSpaceDE/>
              <w:autoSpaceDN/>
              <w:adjustRightInd/>
              <w:spacing w:after="160"/>
              <w:contextualSpacing/>
              <w:rPr>
                <w:rFonts w:ascii="Calibri" w:eastAsia="Calibri" w:hAnsi="Calibri" w:cs="Calibri"/>
                <w:color w:val="auto"/>
                <w:sz w:val="16"/>
                <w:szCs w:val="16"/>
              </w:rPr>
            </w:pPr>
            <w:bookmarkStart w:id="390" w:name="_Hlk8720038"/>
            <w:r w:rsidRPr="002E1A3F">
              <w:rPr>
                <w:rFonts w:ascii="Calibri" w:eastAsia="Calibri" w:hAnsi="Calibri" w:cs="Calibri"/>
                <w:color w:val="auto"/>
                <w:sz w:val="16"/>
                <w:szCs w:val="16"/>
              </w:rPr>
              <w:t>11</w:t>
            </w:r>
          </w:p>
        </w:tc>
        <w:tc>
          <w:tcPr>
            <w:tcW w:w="1796" w:type="pct"/>
          </w:tcPr>
          <w:p w14:paraId="37D66DEC"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 xml:space="preserve">Emerging Center:  Innovative Teaching/Learning of Mathematics and the Sciences for </w:t>
            </w:r>
            <w:r w:rsidR="00741F70">
              <w:rPr>
                <w:rFonts w:ascii="Calibri" w:eastAsia="Times New Roman" w:hAnsi="Calibri" w:cs="Calibri"/>
                <w:sz w:val="18"/>
                <w:szCs w:val="18"/>
              </w:rPr>
              <w:t>SSA</w:t>
            </w:r>
            <w:r w:rsidR="00DE58F7">
              <w:rPr>
                <w:rFonts w:ascii="Calibri" w:eastAsia="Times New Roman" w:hAnsi="Calibri" w:cs="Calibri"/>
                <w:sz w:val="18"/>
                <w:szCs w:val="18"/>
              </w:rPr>
              <w:t xml:space="preserve"> (CE-IEA</w:t>
            </w:r>
            <w:r w:rsidR="00480A57">
              <w:rPr>
                <w:rFonts w:ascii="Calibri" w:eastAsia="Times New Roman" w:hAnsi="Calibri" w:cs="Calibri"/>
                <w:sz w:val="18"/>
                <w:szCs w:val="18"/>
              </w:rPr>
              <w:t>-</w:t>
            </w:r>
            <w:r w:rsidR="00DE58F7">
              <w:rPr>
                <w:rFonts w:ascii="Calibri" w:eastAsia="Times New Roman" w:hAnsi="Calibri" w:cs="Calibri"/>
                <w:sz w:val="18"/>
                <w:szCs w:val="18"/>
              </w:rPr>
              <w:t>MS4SSA</w:t>
            </w:r>
          </w:p>
        </w:tc>
        <w:tc>
          <w:tcPr>
            <w:tcW w:w="833" w:type="pct"/>
          </w:tcPr>
          <w:p w14:paraId="3843C509"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rPr>
              <w:t>Université Abdou Moumouni</w:t>
            </w:r>
          </w:p>
        </w:tc>
        <w:tc>
          <w:tcPr>
            <w:tcW w:w="702" w:type="pct"/>
          </w:tcPr>
          <w:p w14:paraId="1AEABCFE"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Niger</w:t>
            </w:r>
          </w:p>
        </w:tc>
        <w:tc>
          <w:tcPr>
            <w:tcW w:w="748" w:type="pct"/>
          </w:tcPr>
          <w:p w14:paraId="3A612421"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Math &amp; Science Education</w:t>
            </w:r>
          </w:p>
        </w:tc>
        <w:tc>
          <w:tcPr>
            <w:tcW w:w="746" w:type="pct"/>
          </w:tcPr>
          <w:p w14:paraId="3BB3E73F"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Education</w:t>
            </w:r>
          </w:p>
        </w:tc>
      </w:tr>
      <w:tr w:rsidR="000C3959" w14:paraId="27A646D0" w14:textId="77777777" w:rsidTr="006C70A5">
        <w:tblPrEx>
          <w:jc w:val="center"/>
        </w:tblPrEx>
        <w:trPr>
          <w:trHeight w:val="423"/>
          <w:jc w:val="center"/>
        </w:trPr>
        <w:tc>
          <w:tcPr>
            <w:tcW w:w="175" w:type="pct"/>
          </w:tcPr>
          <w:p w14:paraId="4AB5C181" w14:textId="77777777" w:rsidR="002E1A3F" w:rsidRPr="002E1A3F" w:rsidRDefault="002E1A3F" w:rsidP="008E2709">
            <w:pPr>
              <w:widowControl/>
              <w:numPr>
                <w:ilvl w:val="0"/>
                <w:numId w:val="69"/>
              </w:numPr>
              <w:autoSpaceDE/>
              <w:autoSpaceDN/>
              <w:adjustRightInd/>
              <w:spacing w:after="160"/>
              <w:contextualSpacing/>
              <w:rPr>
                <w:rFonts w:ascii="Calibri" w:eastAsia="Calibri" w:hAnsi="Calibri" w:cs="Calibri"/>
                <w:color w:val="auto"/>
                <w:sz w:val="16"/>
                <w:szCs w:val="16"/>
              </w:rPr>
            </w:pPr>
          </w:p>
        </w:tc>
        <w:tc>
          <w:tcPr>
            <w:tcW w:w="1796" w:type="pct"/>
          </w:tcPr>
          <w:p w14:paraId="39CD3ED1" w14:textId="77777777" w:rsidR="002E1A3F" w:rsidRPr="003E0CBD" w:rsidRDefault="00B00100" w:rsidP="008E2709">
            <w:pPr>
              <w:widowControl/>
              <w:autoSpaceDE/>
              <w:autoSpaceDN/>
              <w:adjustRightInd/>
              <w:rPr>
                <w:rFonts w:ascii="Calibri" w:eastAsia="Calibri" w:hAnsi="Calibri" w:cs="Calibri"/>
                <w:sz w:val="18"/>
                <w:szCs w:val="18"/>
              </w:rPr>
            </w:pPr>
            <w:r w:rsidRPr="003E0CBD">
              <w:rPr>
                <w:rFonts w:ascii="Calibri" w:eastAsia="Times New Roman" w:hAnsi="Calibri" w:cs="Calibri"/>
                <w:sz w:val="18"/>
                <w:szCs w:val="18"/>
              </w:rPr>
              <w:t>Emerging Center:  Mining Environment</w:t>
            </w:r>
          </w:p>
        </w:tc>
        <w:tc>
          <w:tcPr>
            <w:tcW w:w="833" w:type="pct"/>
          </w:tcPr>
          <w:p w14:paraId="11EFA04F" w14:textId="77777777" w:rsidR="002E1A3F" w:rsidRPr="003E0CBD" w:rsidRDefault="00B00100" w:rsidP="008E2709">
            <w:pPr>
              <w:widowControl/>
              <w:autoSpaceDE/>
              <w:autoSpaceDN/>
              <w:adjustRightInd/>
              <w:rPr>
                <w:rFonts w:ascii="Calibri" w:eastAsia="Calibri" w:hAnsi="Calibri" w:cs="Calibri"/>
                <w:sz w:val="18"/>
                <w:szCs w:val="18"/>
                <w:lang w:val="fr-FR"/>
              </w:rPr>
            </w:pPr>
            <w:r w:rsidRPr="003E0CBD">
              <w:rPr>
                <w:rFonts w:ascii="Calibri" w:eastAsia="Times New Roman" w:hAnsi="Calibri" w:cs="Calibri"/>
                <w:sz w:val="18"/>
                <w:szCs w:val="18"/>
                <w:lang w:val="fr-FR"/>
              </w:rPr>
              <w:t>EMIG</w:t>
            </w:r>
          </w:p>
        </w:tc>
        <w:tc>
          <w:tcPr>
            <w:tcW w:w="702" w:type="pct"/>
          </w:tcPr>
          <w:p w14:paraId="30E5BC02"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Niger</w:t>
            </w:r>
          </w:p>
        </w:tc>
        <w:tc>
          <w:tcPr>
            <w:tcW w:w="748" w:type="pct"/>
          </w:tcPr>
          <w:p w14:paraId="786A733D"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Mining</w:t>
            </w:r>
          </w:p>
        </w:tc>
        <w:tc>
          <w:tcPr>
            <w:tcW w:w="746" w:type="pct"/>
          </w:tcPr>
          <w:p w14:paraId="26D3D530"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STEM</w:t>
            </w:r>
          </w:p>
        </w:tc>
      </w:tr>
      <w:bookmarkEnd w:id="390"/>
      <w:tr w:rsidR="000C3959" w14:paraId="5DE33AAE" w14:textId="77777777" w:rsidTr="006C70A5">
        <w:tblPrEx>
          <w:jc w:val="center"/>
        </w:tblPrEx>
        <w:trPr>
          <w:trHeight w:val="423"/>
          <w:jc w:val="center"/>
        </w:trPr>
        <w:tc>
          <w:tcPr>
            <w:tcW w:w="175" w:type="pct"/>
          </w:tcPr>
          <w:p w14:paraId="30F77221" w14:textId="77777777" w:rsidR="002E1A3F" w:rsidRPr="002E1A3F" w:rsidRDefault="002E1A3F" w:rsidP="008E2709">
            <w:pPr>
              <w:widowControl/>
              <w:numPr>
                <w:ilvl w:val="0"/>
                <w:numId w:val="69"/>
              </w:numPr>
              <w:autoSpaceDE/>
              <w:autoSpaceDN/>
              <w:adjustRightInd/>
              <w:spacing w:after="160"/>
              <w:contextualSpacing/>
              <w:rPr>
                <w:rFonts w:ascii="Calibri" w:eastAsia="Calibri" w:hAnsi="Calibri" w:cs="Calibri"/>
                <w:color w:val="auto"/>
                <w:sz w:val="16"/>
                <w:szCs w:val="16"/>
              </w:rPr>
            </w:pPr>
          </w:p>
        </w:tc>
        <w:tc>
          <w:tcPr>
            <w:tcW w:w="1796" w:type="pct"/>
          </w:tcPr>
          <w:p w14:paraId="1FE22A4A" w14:textId="77777777" w:rsidR="002E1A3F" w:rsidRPr="003E0CBD" w:rsidRDefault="00B00100" w:rsidP="008E2709">
            <w:pPr>
              <w:widowControl/>
              <w:autoSpaceDE/>
              <w:autoSpaceDN/>
              <w:adjustRightInd/>
              <w:rPr>
                <w:rFonts w:ascii="Calibri" w:eastAsia="Times New Roman" w:hAnsi="Calibri" w:cs="Calibri"/>
                <w:sz w:val="18"/>
                <w:szCs w:val="18"/>
              </w:rPr>
            </w:pPr>
            <w:r w:rsidRPr="003E0CBD">
              <w:rPr>
                <w:rFonts w:ascii="Calibri" w:eastAsia="Times New Roman" w:hAnsi="Calibri" w:cs="Calibri"/>
                <w:sz w:val="18"/>
                <w:szCs w:val="18"/>
              </w:rPr>
              <w:t>Emerging Center:</w:t>
            </w:r>
            <w:r w:rsidR="00990694" w:rsidRPr="003E0CBD">
              <w:rPr>
                <w:rFonts w:ascii="Calibri" w:eastAsia="Times New Roman" w:hAnsi="Calibri" w:cs="Calibri"/>
                <w:sz w:val="18"/>
                <w:szCs w:val="18"/>
              </w:rPr>
              <w:t xml:space="preserve"> </w:t>
            </w:r>
            <w:r w:rsidR="00CC4CEB" w:rsidRPr="00CC4CEB">
              <w:rPr>
                <w:rFonts w:ascii="Calibri" w:eastAsia="Times New Roman" w:hAnsi="Calibri" w:cs="Calibri"/>
                <w:sz w:val="18"/>
                <w:szCs w:val="18"/>
              </w:rPr>
              <w:t>Science, Technology and Engineering for Entrepreneurship</w:t>
            </w:r>
          </w:p>
        </w:tc>
        <w:tc>
          <w:tcPr>
            <w:tcW w:w="833" w:type="pct"/>
          </w:tcPr>
          <w:p w14:paraId="427D2B9B" w14:textId="77777777" w:rsidR="002E1A3F" w:rsidRPr="003E0CBD" w:rsidRDefault="00B00100" w:rsidP="008E2709">
            <w:pPr>
              <w:widowControl/>
              <w:autoSpaceDE/>
              <w:autoSpaceDN/>
              <w:adjustRightInd/>
              <w:rPr>
                <w:rFonts w:ascii="Calibri" w:eastAsia="Calibri" w:hAnsi="Calibri" w:cs="Calibri"/>
                <w:sz w:val="18"/>
                <w:szCs w:val="18"/>
                <w:lang w:val="fr-FR"/>
              </w:rPr>
            </w:pPr>
            <w:bookmarkStart w:id="391" w:name="_Hlk8720136"/>
            <w:r w:rsidRPr="003E0CBD">
              <w:rPr>
                <w:rFonts w:ascii="Calibri" w:eastAsia="Times New Roman" w:hAnsi="Calibri" w:cs="Calibri"/>
                <w:sz w:val="18"/>
                <w:szCs w:val="18"/>
                <w:lang w:val="fr-FR"/>
              </w:rPr>
              <w:t>Gambia Technical Training Institute</w:t>
            </w:r>
            <w:bookmarkEnd w:id="391"/>
          </w:p>
        </w:tc>
        <w:tc>
          <w:tcPr>
            <w:tcW w:w="702" w:type="pct"/>
          </w:tcPr>
          <w:p w14:paraId="56FEA12A"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lang w:val="fr-FR"/>
              </w:rPr>
              <w:t>The Gambia</w:t>
            </w:r>
          </w:p>
        </w:tc>
        <w:tc>
          <w:tcPr>
            <w:tcW w:w="748" w:type="pct"/>
          </w:tcPr>
          <w:p w14:paraId="0179A985"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lang w:val="fr-FR"/>
              </w:rPr>
              <w:t>Engineering/</w:t>
            </w:r>
            <w:r w:rsidR="003E0CBD">
              <w:rPr>
                <w:rFonts w:ascii="Calibri" w:eastAsia="Times New Roman" w:hAnsi="Calibri" w:cs="Calibri"/>
                <w:sz w:val="18"/>
                <w:szCs w:val="18"/>
                <w:lang w:val="fr-FR"/>
              </w:rPr>
              <w:t xml:space="preserve"> </w:t>
            </w:r>
            <w:r w:rsidRPr="003E0CBD">
              <w:rPr>
                <w:rFonts w:ascii="Calibri" w:eastAsia="Times New Roman" w:hAnsi="Calibri" w:cs="Calibri"/>
                <w:sz w:val="18"/>
                <w:szCs w:val="18"/>
                <w:lang w:val="fr-FR"/>
              </w:rPr>
              <w:t>Mat</w:t>
            </w:r>
            <w:r w:rsidR="003E0CBD">
              <w:rPr>
                <w:rFonts w:ascii="Calibri" w:eastAsia="Times New Roman" w:hAnsi="Calibri" w:cs="Calibri"/>
                <w:sz w:val="18"/>
                <w:szCs w:val="18"/>
                <w:lang w:val="fr-FR"/>
              </w:rPr>
              <w:t>h</w:t>
            </w:r>
            <w:r w:rsidRPr="003E0CBD">
              <w:rPr>
                <w:rFonts w:ascii="Calibri" w:eastAsia="Times New Roman" w:hAnsi="Calibri" w:cs="Calibri"/>
                <w:sz w:val="18"/>
                <w:szCs w:val="18"/>
                <w:lang w:val="fr-FR"/>
              </w:rPr>
              <w:t xml:space="preserve"> &amp; Science Education</w:t>
            </w:r>
          </w:p>
        </w:tc>
        <w:tc>
          <w:tcPr>
            <w:tcW w:w="746" w:type="pct"/>
          </w:tcPr>
          <w:p w14:paraId="3368FDF4" w14:textId="77777777" w:rsidR="002E1A3F" w:rsidRPr="003E0CBD" w:rsidRDefault="00B00100" w:rsidP="008E2709">
            <w:pPr>
              <w:widowControl/>
              <w:autoSpaceDE/>
              <w:autoSpaceDN/>
              <w:adjustRightInd/>
              <w:jc w:val="center"/>
              <w:rPr>
                <w:rFonts w:ascii="Calibri" w:eastAsia="Calibri" w:hAnsi="Calibri" w:cs="Calibri"/>
                <w:sz w:val="18"/>
                <w:szCs w:val="18"/>
              </w:rPr>
            </w:pPr>
            <w:r w:rsidRPr="003E0CBD">
              <w:rPr>
                <w:rFonts w:ascii="Calibri" w:eastAsia="Times New Roman" w:hAnsi="Calibri" w:cs="Calibri"/>
                <w:sz w:val="18"/>
                <w:szCs w:val="18"/>
              </w:rPr>
              <w:t>STEM</w:t>
            </w:r>
          </w:p>
        </w:tc>
      </w:tr>
      <w:tr w:rsidR="000C3959" w14:paraId="7E6639D2" w14:textId="77777777" w:rsidTr="000C46A6">
        <w:tblPrEx>
          <w:jc w:val="center"/>
        </w:tblPrEx>
        <w:trPr>
          <w:trHeight w:val="423"/>
          <w:jc w:val="center"/>
        </w:trPr>
        <w:tc>
          <w:tcPr>
            <w:tcW w:w="5000" w:type="pct"/>
            <w:gridSpan w:val="6"/>
            <w:shd w:val="clear" w:color="auto" w:fill="BFBFBF" w:themeFill="background1" w:themeFillShade="BF"/>
          </w:tcPr>
          <w:p w14:paraId="714EFDA9" w14:textId="77777777" w:rsidR="00993991" w:rsidRPr="003E0CBD" w:rsidRDefault="00B00100" w:rsidP="008E2709">
            <w:pPr>
              <w:widowControl/>
              <w:autoSpaceDE/>
              <w:autoSpaceDN/>
              <w:adjustRightInd/>
              <w:jc w:val="center"/>
              <w:rPr>
                <w:rFonts w:ascii="Calibri" w:eastAsia="Times New Roman" w:hAnsi="Calibri" w:cs="Calibri"/>
                <w:sz w:val="18"/>
                <w:szCs w:val="18"/>
              </w:rPr>
            </w:pPr>
            <w:bookmarkStart w:id="392" w:name="_Hlk18762734"/>
            <w:r>
              <w:rPr>
                <w:rFonts w:ascii="Calibri" w:eastAsia="Calibri" w:hAnsi="Calibri" w:cs="Calibri"/>
                <w:b/>
                <w:sz w:val="18"/>
                <w:szCs w:val="18"/>
              </w:rPr>
              <w:t>Add-on</w:t>
            </w:r>
            <w:r w:rsidRPr="003E0CBD">
              <w:rPr>
                <w:rFonts w:ascii="Calibri" w:eastAsia="Calibri" w:hAnsi="Calibri" w:cs="Calibri"/>
                <w:b/>
                <w:sz w:val="18"/>
                <w:szCs w:val="18"/>
              </w:rPr>
              <w:t xml:space="preserve">: </w:t>
            </w:r>
            <w:r>
              <w:rPr>
                <w:rFonts w:ascii="Calibri" w:eastAsia="Calibri" w:hAnsi="Calibri" w:cs="Calibri"/>
                <w:b/>
                <w:sz w:val="18"/>
                <w:szCs w:val="18"/>
              </w:rPr>
              <w:t>College of Engineering</w:t>
            </w:r>
            <w:r w:rsidRPr="003E0CBD">
              <w:rPr>
                <w:rFonts w:ascii="Calibri" w:eastAsia="Calibri" w:hAnsi="Calibri" w:cs="Calibri"/>
                <w:b/>
                <w:sz w:val="18"/>
                <w:szCs w:val="18"/>
              </w:rPr>
              <w:t xml:space="preserve"> </w:t>
            </w:r>
            <w:r>
              <w:rPr>
                <w:rFonts w:ascii="Calibri" w:eastAsia="Calibri" w:hAnsi="Calibri" w:cs="Calibri"/>
                <w:b/>
                <w:sz w:val="18"/>
                <w:szCs w:val="18"/>
              </w:rPr>
              <w:t>(CoEngg</w:t>
            </w:r>
            <w:r w:rsidRPr="003E0CBD">
              <w:rPr>
                <w:rFonts w:ascii="Calibri" w:eastAsia="Calibri" w:hAnsi="Calibri" w:cs="Calibri"/>
                <w:b/>
                <w:sz w:val="18"/>
                <w:szCs w:val="18"/>
              </w:rPr>
              <w:t>)</w:t>
            </w:r>
          </w:p>
        </w:tc>
      </w:tr>
      <w:tr w:rsidR="000C3959" w14:paraId="77D22204" w14:textId="77777777" w:rsidTr="006C70A5">
        <w:tblPrEx>
          <w:jc w:val="center"/>
        </w:tblPrEx>
        <w:trPr>
          <w:trHeight w:val="423"/>
          <w:jc w:val="center"/>
        </w:trPr>
        <w:tc>
          <w:tcPr>
            <w:tcW w:w="175" w:type="pct"/>
          </w:tcPr>
          <w:p w14:paraId="32C53031" w14:textId="77777777" w:rsidR="00185845" w:rsidRPr="002E1A3F" w:rsidRDefault="00185845" w:rsidP="008E2709">
            <w:pPr>
              <w:widowControl/>
              <w:numPr>
                <w:ilvl w:val="0"/>
                <w:numId w:val="70"/>
              </w:numPr>
              <w:autoSpaceDE/>
              <w:autoSpaceDN/>
              <w:adjustRightInd/>
              <w:spacing w:after="160"/>
              <w:contextualSpacing/>
              <w:rPr>
                <w:rFonts w:ascii="Calibri" w:eastAsia="Calibri" w:hAnsi="Calibri" w:cs="Calibri"/>
                <w:color w:val="auto"/>
                <w:sz w:val="16"/>
                <w:szCs w:val="16"/>
              </w:rPr>
            </w:pPr>
          </w:p>
        </w:tc>
        <w:tc>
          <w:tcPr>
            <w:tcW w:w="1796" w:type="pct"/>
          </w:tcPr>
          <w:p w14:paraId="51D687DD" w14:textId="77777777" w:rsidR="00185845" w:rsidRPr="00894380" w:rsidRDefault="00B00100" w:rsidP="008E2709">
            <w:pPr>
              <w:widowControl/>
              <w:autoSpaceDE/>
              <w:autoSpaceDN/>
              <w:adjustRightInd/>
              <w:rPr>
                <w:rFonts w:ascii="Calibri" w:eastAsia="Times New Roman" w:hAnsi="Calibri" w:cs="Calibri"/>
                <w:sz w:val="18"/>
                <w:szCs w:val="18"/>
              </w:rPr>
            </w:pPr>
            <w:r w:rsidRPr="00797B7A">
              <w:rPr>
                <w:rFonts w:ascii="Calibri" w:eastAsia="Times New Roman" w:hAnsi="Calibri" w:cs="Calibri"/>
                <w:sz w:val="18"/>
                <w:szCs w:val="18"/>
              </w:rPr>
              <w:t>Collège of Engineering</w:t>
            </w:r>
            <w:r w:rsidR="00044C8C">
              <w:rPr>
                <w:rFonts w:ascii="Calibri" w:eastAsia="Times New Roman" w:hAnsi="Calibri" w:cs="Calibri"/>
                <w:sz w:val="18"/>
                <w:szCs w:val="18"/>
              </w:rPr>
              <w:t>:</w:t>
            </w:r>
            <w:r w:rsidRPr="00797B7A">
              <w:rPr>
                <w:rFonts w:ascii="Calibri" w:eastAsia="Times New Roman" w:hAnsi="Calibri" w:cs="Calibri"/>
                <w:sz w:val="18"/>
                <w:szCs w:val="18"/>
              </w:rPr>
              <w:t xml:space="preserve"> Energy, </w:t>
            </w:r>
            <w:r w:rsidRPr="00894380">
              <w:rPr>
                <w:rFonts w:ascii="Calibri" w:eastAsia="Times New Roman" w:hAnsi="Calibri" w:cs="Calibri"/>
                <w:sz w:val="18"/>
                <w:szCs w:val="18"/>
              </w:rPr>
              <w:t>Transport</w:t>
            </w:r>
            <w:r w:rsidRPr="00797B7A">
              <w:rPr>
                <w:rFonts w:ascii="Calibri" w:eastAsia="Times New Roman" w:hAnsi="Calibri" w:cs="Calibri"/>
                <w:sz w:val="18"/>
                <w:szCs w:val="18"/>
              </w:rPr>
              <w:t xml:space="preserve"> Infrastructure</w:t>
            </w:r>
            <w:r w:rsidR="00EF5F03">
              <w:rPr>
                <w:rFonts w:ascii="Calibri" w:eastAsia="Times New Roman" w:hAnsi="Calibri" w:cs="Calibri"/>
                <w:sz w:val="18"/>
                <w:szCs w:val="18"/>
              </w:rPr>
              <w:t>s</w:t>
            </w:r>
            <w:r w:rsidRPr="00797B7A">
              <w:rPr>
                <w:rFonts w:ascii="Calibri" w:eastAsia="Times New Roman" w:hAnsi="Calibri" w:cs="Calibri"/>
                <w:sz w:val="18"/>
                <w:szCs w:val="18"/>
              </w:rPr>
              <w:t xml:space="preserve"> and Environment</w:t>
            </w:r>
            <w:r w:rsidR="00313E21">
              <w:rPr>
                <w:rFonts w:ascii="Calibri" w:eastAsia="Times New Roman" w:hAnsi="Calibri" w:cs="Calibri"/>
                <w:sz w:val="18"/>
                <w:szCs w:val="18"/>
              </w:rPr>
              <w:t xml:space="preserve"> (CoE-EIE)</w:t>
            </w:r>
          </w:p>
        </w:tc>
        <w:tc>
          <w:tcPr>
            <w:tcW w:w="833" w:type="pct"/>
          </w:tcPr>
          <w:p w14:paraId="2E270EBD" w14:textId="77777777" w:rsidR="00185845" w:rsidRPr="00797B7A" w:rsidRDefault="00B00100" w:rsidP="008E2709">
            <w:pPr>
              <w:widowControl/>
              <w:autoSpaceDE/>
              <w:autoSpaceDN/>
              <w:adjustRightInd/>
              <w:rPr>
                <w:rFonts w:ascii="Calibri" w:eastAsia="Times New Roman" w:hAnsi="Calibri" w:cs="Calibri"/>
                <w:sz w:val="18"/>
                <w:szCs w:val="18"/>
              </w:rPr>
            </w:pPr>
            <w:r>
              <w:rPr>
                <w:rFonts w:ascii="Calibri" w:eastAsia="Times New Roman" w:hAnsi="Calibri" w:cs="Calibri"/>
                <w:sz w:val="18"/>
                <w:szCs w:val="18"/>
                <w:lang w:val="fr-FR"/>
              </w:rPr>
              <w:t>University of Abomey Calavi</w:t>
            </w:r>
          </w:p>
        </w:tc>
        <w:tc>
          <w:tcPr>
            <w:tcW w:w="702" w:type="pct"/>
          </w:tcPr>
          <w:p w14:paraId="2B6D4041" w14:textId="77777777" w:rsidR="00185845" w:rsidRPr="00797B7A"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lang w:val="fr-FR"/>
              </w:rPr>
              <w:t>Benin</w:t>
            </w:r>
          </w:p>
        </w:tc>
        <w:tc>
          <w:tcPr>
            <w:tcW w:w="748" w:type="pct"/>
          </w:tcPr>
          <w:p w14:paraId="1946BE0E" w14:textId="77777777" w:rsidR="00185845" w:rsidRPr="00797B7A"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lang w:val="fr-FR"/>
              </w:rPr>
              <w:t>Engineering</w:t>
            </w:r>
          </w:p>
        </w:tc>
        <w:tc>
          <w:tcPr>
            <w:tcW w:w="746" w:type="pct"/>
          </w:tcPr>
          <w:p w14:paraId="49F5DAA7" w14:textId="77777777" w:rsidR="00185845" w:rsidRPr="00894380" w:rsidRDefault="00B00100" w:rsidP="008E2709">
            <w:pPr>
              <w:widowControl/>
              <w:autoSpaceDE/>
              <w:autoSpaceDN/>
              <w:adjustRightInd/>
              <w:jc w:val="center"/>
              <w:rPr>
                <w:rFonts w:ascii="Calibri" w:eastAsia="Times New Roman" w:hAnsi="Calibri" w:cs="Calibri"/>
                <w:sz w:val="18"/>
                <w:szCs w:val="18"/>
              </w:rPr>
            </w:pPr>
            <w:r>
              <w:rPr>
                <w:rFonts w:ascii="Calibri" w:eastAsia="Times New Roman" w:hAnsi="Calibri" w:cs="Calibri"/>
                <w:sz w:val="18"/>
                <w:szCs w:val="18"/>
                <w:lang w:val="fr-FR"/>
              </w:rPr>
              <w:t>STEM</w:t>
            </w:r>
          </w:p>
        </w:tc>
      </w:tr>
    </w:tbl>
    <w:bookmarkEnd w:id="392"/>
    <w:p w14:paraId="536FDC21" w14:textId="2615AA2E" w:rsidR="004B078D" w:rsidRPr="000C46A6" w:rsidRDefault="00B00100">
      <w:pPr>
        <w:widowControl/>
        <w:autoSpaceDE/>
        <w:autoSpaceDN/>
        <w:adjustRightInd/>
        <w:jc w:val="both"/>
        <w:rPr>
          <w:rFonts w:ascii="Calibri" w:eastAsia="Calibri" w:hAnsi="Calibri" w:cs="Times New Roman"/>
          <w:color w:val="auto"/>
          <w:sz w:val="18"/>
          <w:szCs w:val="16"/>
          <w:lang w:eastAsia="ko-KR"/>
        </w:rPr>
      </w:pPr>
      <w:r w:rsidRPr="000C46A6">
        <w:rPr>
          <w:rFonts w:ascii="Calibri" w:eastAsia="Calibri" w:hAnsi="Calibri" w:cs="Times New Roman"/>
          <w:color w:val="auto"/>
          <w:sz w:val="18"/>
          <w:szCs w:val="16"/>
          <w:lang w:eastAsia="ko-KR"/>
        </w:rPr>
        <w:t xml:space="preserve">Note: </w:t>
      </w:r>
      <w:r w:rsidR="00C20A69" w:rsidRPr="000C46A6">
        <w:rPr>
          <w:rFonts w:ascii="Calibri" w:eastAsia="Calibri" w:hAnsi="Calibri" w:cs="Times New Roman"/>
          <w:color w:val="auto"/>
          <w:sz w:val="18"/>
          <w:szCs w:val="16"/>
          <w:lang w:eastAsia="ko-KR"/>
        </w:rPr>
        <w:t>The C</w:t>
      </w:r>
      <w:r w:rsidR="00B04A2E">
        <w:rPr>
          <w:rFonts w:ascii="Calibri" w:eastAsia="Calibri" w:hAnsi="Calibri" w:cs="Calibri"/>
          <w:color w:val="auto"/>
          <w:sz w:val="18"/>
          <w:szCs w:val="16"/>
          <w:lang w:eastAsia="ko-KR"/>
        </w:rPr>
        <w:t>ô</w:t>
      </w:r>
      <w:r w:rsidR="00C20A69" w:rsidRPr="000C46A6">
        <w:rPr>
          <w:rFonts w:ascii="Calibri" w:eastAsia="Calibri" w:hAnsi="Calibri" w:cs="Times New Roman"/>
          <w:color w:val="auto"/>
          <w:sz w:val="18"/>
          <w:szCs w:val="16"/>
          <w:lang w:eastAsia="ko-KR"/>
        </w:rPr>
        <w:t>te</w:t>
      </w:r>
      <w:r w:rsidR="00B46E53" w:rsidRPr="000C46A6">
        <w:rPr>
          <w:rFonts w:ascii="Calibri" w:eastAsia="Calibri" w:hAnsi="Calibri" w:cs="Times New Roman"/>
          <w:color w:val="auto"/>
          <w:sz w:val="18"/>
          <w:szCs w:val="16"/>
          <w:lang w:eastAsia="ko-KR"/>
        </w:rPr>
        <w:t xml:space="preserve"> d’Ivoire </w:t>
      </w:r>
      <w:r w:rsidR="0058173D">
        <w:rPr>
          <w:rFonts w:ascii="Calibri" w:eastAsia="Calibri" w:hAnsi="Calibri" w:cs="Times New Roman"/>
          <w:color w:val="auto"/>
          <w:sz w:val="18"/>
          <w:szCs w:val="16"/>
          <w:lang w:eastAsia="ko-KR"/>
        </w:rPr>
        <w:t>R</w:t>
      </w:r>
      <w:r w:rsidRPr="000C46A6">
        <w:rPr>
          <w:rFonts w:ascii="Calibri" w:eastAsia="Calibri" w:hAnsi="Calibri" w:cs="Times New Roman"/>
          <w:color w:val="auto"/>
          <w:sz w:val="18"/>
          <w:szCs w:val="16"/>
          <w:lang w:eastAsia="ko-KR"/>
        </w:rPr>
        <w:t>enewal</w:t>
      </w:r>
      <w:r w:rsidR="00F61F91" w:rsidRPr="000C46A6">
        <w:rPr>
          <w:rFonts w:ascii="Calibri" w:eastAsia="Calibri" w:hAnsi="Calibri" w:cs="Times New Roman"/>
          <w:color w:val="auto"/>
          <w:sz w:val="18"/>
          <w:szCs w:val="16"/>
          <w:lang w:eastAsia="ko-KR"/>
        </w:rPr>
        <w:t xml:space="preserve"> and </w:t>
      </w:r>
      <w:r w:rsidR="0058173D">
        <w:rPr>
          <w:rFonts w:ascii="Calibri" w:eastAsia="Calibri" w:hAnsi="Calibri" w:cs="Times New Roman"/>
          <w:color w:val="auto"/>
          <w:sz w:val="18"/>
          <w:szCs w:val="16"/>
          <w:lang w:eastAsia="ko-KR"/>
        </w:rPr>
        <w:t>N</w:t>
      </w:r>
      <w:r w:rsidR="00F61F91" w:rsidRPr="000C46A6">
        <w:rPr>
          <w:rFonts w:ascii="Calibri" w:eastAsia="Calibri" w:hAnsi="Calibri" w:cs="Times New Roman"/>
          <w:color w:val="auto"/>
          <w:sz w:val="18"/>
          <w:szCs w:val="16"/>
          <w:lang w:eastAsia="ko-KR"/>
        </w:rPr>
        <w:t>ew</w:t>
      </w:r>
      <w:r w:rsidRPr="000C46A6">
        <w:rPr>
          <w:rFonts w:ascii="Calibri" w:eastAsia="Calibri" w:hAnsi="Calibri" w:cs="Times New Roman"/>
          <w:color w:val="auto"/>
          <w:sz w:val="18"/>
          <w:szCs w:val="16"/>
          <w:lang w:eastAsia="ko-KR"/>
        </w:rPr>
        <w:t xml:space="preserve"> </w:t>
      </w:r>
      <w:r w:rsidR="00B46E53" w:rsidRPr="000C46A6">
        <w:rPr>
          <w:rFonts w:ascii="Calibri" w:eastAsia="Calibri" w:hAnsi="Calibri" w:cs="Times New Roman"/>
          <w:color w:val="auto"/>
          <w:sz w:val="18"/>
          <w:szCs w:val="16"/>
          <w:lang w:eastAsia="ko-KR"/>
        </w:rPr>
        <w:t xml:space="preserve">centers to be funded solely by AFD </w:t>
      </w:r>
      <w:r w:rsidR="000B498D" w:rsidRPr="000C46A6">
        <w:rPr>
          <w:rFonts w:ascii="Calibri" w:eastAsia="Calibri" w:hAnsi="Calibri" w:cs="Times New Roman"/>
          <w:color w:val="auto"/>
          <w:sz w:val="18"/>
          <w:szCs w:val="16"/>
          <w:lang w:eastAsia="ko-KR"/>
        </w:rPr>
        <w:t xml:space="preserve">under a separate project </w:t>
      </w:r>
      <w:r w:rsidRPr="000C46A6">
        <w:rPr>
          <w:rFonts w:ascii="Calibri" w:eastAsia="Calibri" w:hAnsi="Calibri" w:cs="Times New Roman"/>
          <w:color w:val="auto"/>
          <w:sz w:val="18"/>
          <w:szCs w:val="16"/>
          <w:lang w:eastAsia="ko-KR"/>
        </w:rPr>
        <w:t xml:space="preserve">are: </w:t>
      </w:r>
    </w:p>
    <w:p w14:paraId="055CAE64" w14:textId="77777777" w:rsidR="00C20A69" w:rsidRPr="000C46A6" w:rsidRDefault="00B00100" w:rsidP="00F463C2">
      <w:pPr>
        <w:pStyle w:val="ListParagraph"/>
        <w:widowControl/>
        <w:numPr>
          <w:ilvl w:val="1"/>
          <w:numId w:val="6"/>
        </w:numPr>
        <w:autoSpaceDE/>
        <w:autoSpaceDN/>
        <w:adjustRightInd/>
        <w:jc w:val="both"/>
        <w:rPr>
          <w:rFonts w:ascii="Calibri" w:eastAsia="Calibri" w:hAnsi="Calibri" w:cs="Times New Roman"/>
          <w:color w:val="auto"/>
          <w:sz w:val="18"/>
          <w:szCs w:val="16"/>
          <w:lang w:eastAsia="ko-KR"/>
        </w:rPr>
      </w:pPr>
      <w:r w:rsidRPr="000C46A6">
        <w:rPr>
          <w:rFonts w:ascii="Calibri" w:eastAsia="Calibri" w:hAnsi="Calibri" w:cs="Times New Roman"/>
          <w:color w:val="auto"/>
          <w:sz w:val="18"/>
          <w:szCs w:val="16"/>
          <w:lang w:eastAsia="ko-KR"/>
        </w:rPr>
        <w:t xml:space="preserve">ACE: Mining and Mining Environment </w:t>
      </w:r>
      <w:r w:rsidR="00764AC3" w:rsidRPr="000C46A6">
        <w:rPr>
          <w:rFonts w:ascii="Calibri" w:eastAsia="Calibri" w:hAnsi="Calibri" w:cs="Times New Roman"/>
          <w:color w:val="auto"/>
          <w:sz w:val="18"/>
          <w:szCs w:val="16"/>
          <w:lang w:eastAsia="ko-KR"/>
        </w:rPr>
        <w:t>(CEA-MEM)</w:t>
      </w:r>
      <w:r w:rsidR="00CD66AB" w:rsidRPr="000C46A6">
        <w:rPr>
          <w:rFonts w:ascii="Calibri" w:eastAsia="Calibri" w:hAnsi="Calibri" w:cs="Times New Roman"/>
          <w:color w:val="auto"/>
          <w:sz w:val="18"/>
          <w:szCs w:val="16"/>
          <w:lang w:eastAsia="ko-KR"/>
        </w:rPr>
        <w:t xml:space="preserve"> at the </w:t>
      </w:r>
      <w:r w:rsidRPr="000C46A6">
        <w:rPr>
          <w:rFonts w:ascii="Calibri" w:eastAsia="Calibri" w:hAnsi="Calibri" w:cs="Times New Roman"/>
          <w:color w:val="auto"/>
          <w:sz w:val="18"/>
          <w:szCs w:val="16"/>
          <w:lang w:eastAsia="ko-KR"/>
        </w:rPr>
        <w:t>National Polytechnic Institute</w:t>
      </w:r>
      <w:r w:rsidR="00E864FF">
        <w:rPr>
          <w:rFonts w:ascii="Calibri" w:eastAsia="Calibri" w:hAnsi="Calibri" w:cs="Times New Roman"/>
          <w:color w:val="auto"/>
          <w:sz w:val="18"/>
          <w:szCs w:val="16"/>
          <w:lang w:eastAsia="ko-KR"/>
        </w:rPr>
        <w:t xml:space="preserve">, - </w:t>
      </w:r>
      <w:r w:rsidRPr="000C46A6">
        <w:rPr>
          <w:rFonts w:ascii="Calibri" w:eastAsia="Calibri" w:hAnsi="Calibri" w:cs="Times New Roman"/>
          <w:color w:val="auto"/>
          <w:sz w:val="18"/>
          <w:szCs w:val="16"/>
          <w:lang w:eastAsia="ko-KR"/>
        </w:rPr>
        <w:t xml:space="preserve">Houphouët-Boigny </w:t>
      </w:r>
      <w:r w:rsidR="00C32084">
        <w:rPr>
          <w:rFonts w:ascii="Calibri" w:eastAsia="Calibri" w:hAnsi="Calibri" w:cs="Times New Roman"/>
          <w:color w:val="auto"/>
          <w:sz w:val="18"/>
          <w:szCs w:val="16"/>
          <w:lang w:eastAsia="ko-KR"/>
        </w:rPr>
        <w:t>C</w:t>
      </w:r>
      <w:r w:rsidR="00C32084">
        <w:rPr>
          <w:rFonts w:ascii="Calibri" w:eastAsia="Calibri" w:hAnsi="Calibri" w:cs="Calibri"/>
          <w:color w:val="auto"/>
          <w:sz w:val="18"/>
          <w:szCs w:val="16"/>
          <w:lang w:eastAsia="ko-KR"/>
        </w:rPr>
        <w:t>ô</w:t>
      </w:r>
      <w:r w:rsidR="00C32084">
        <w:rPr>
          <w:rFonts w:ascii="Calibri" w:eastAsia="Calibri" w:hAnsi="Calibri" w:cs="Times New Roman"/>
          <w:color w:val="auto"/>
          <w:sz w:val="18"/>
          <w:szCs w:val="16"/>
          <w:lang w:eastAsia="ko-KR"/>
        </w:rPr>
        <w:t xml:space="preserve">te d’Ivoire, </w:t>
      </w:r>
      <w:r w:rsidRPr="000C46A6">
        <w:rPr>
          <w:rFonts w:ascii="Calibri" w:eastAsia="Calibri" w:hAnsi="Calibri" w:cs="Times New Roman"/>
          <w:color w:val="auto"/>
          <w:sz w:val="18"/>
          <w:szCs w:val="16"/>
          <w:lang w:eastAsia="ko-KR"/>
        </w:rPr>
        <w:t>(INP-HB)</w:t>
      </w:r>
      <w:r w:rsidRPr="000C46A6">
        <w:rPr>
          <w:rFonts w:ascii="Calibri" w:eastAsia="Calibri" w:hAnsi="Calibri" w:cs="Times New Roman"/>
          <w:color w:val="auto"/>
          <w:sz w:val="18"/>
          <w:szCs w:val="16"/>
          <w:lang w:eastAsia="ko-KR"/>
        </w:rPr>
        <w:tab/>
        <w:t xml:space="preserve"> </w:t>
      </w:r>
    </w:p>
    <w:p w14:paraId="4F9AE1FB" w14:textId="77777777" w:rsidR="00551B2E" w:rsidRPr="000C46A6" w:rsidRDefault="00B00100" w:rsidP="00FC1A97">
      <w:pPr>
        <w:pStyle w:val="ListParagraph"/>
        <w:widowControl/>
        <w:numPr>
          <w:ilvl w:val="1"/>
          <w:numId w:val="6"/>
        </w:numPr>
        <w:autoSpaceDE/>
        <w:autoSpaceDN/>
        <w:adjustRightInd/>
        <w:jc w:val="both"/>
        <w:rPr>
          <w:rFonts w:ascii="Calibri" w:eastAsia="Calibri" w:hAnsi="Calibri" w:cs="Times New Roman"/>
          <w:color w:val="auto"/>
          <w:sz w:val="18"/>
          <w:szCs w:val="16"/>
          <w:lang w:eastAsia="ko-KR"/>
        </w:rPr>
      </w:pPr>
      <w:r w:rsidRPr="000C46A6">
        <w:rPr>
          <w:rFonts w:ascii="Calibri" w:eastAsia="Calibri" w:hAnsi="Calibri" w:cs="Times New Roman"/>
          <w:color w:val="auto"/>
          <w:sz w:val="18"/>
          <w:szCs w:val="16"/>
          <w:lang w:eastAsia="ko-KR"/>
        </w:rPr>
        <w:t>ACE: Climate Change, Biodiversity and Sustainable Agriculture</w:t>
      </w:r>
      <w:r w:rsidR="00FA02D7" w:rsidRPr="000C46A6">
        <w:rPr>
          <w:rFonts w:ascii="Calibri" w:eastAsia="Calibri" w:hAnsi="Calibri" w:cs="Times New Roman"/>
          <w:color w:val="auto"/>
          <w:sz w:val="18"/>
          <w:szCs w:val="16"/>
          <w:lang w:eastAsia="ko-KR"/>
        </w:rPr>
        <w:t xml:space="preserve"> (CCBAD)</w:t>
      </w:r>
      <w:r w:rsidR="000D1CAE" w:rsidRPr="000C46A6">
        <w:rPr>
          <w:rFonts w:ascii="Calibri" w:eastAsia="Calibri" w:hAnsi="Calibri" w:cs="Times New Roman"/>
          <w:color w:val="auto"/>
          <w:sz w:val="18"/>
          <w:szCs w:val="16"/>
          <w:lang w:eastAsia="ko-KR"/>
        </w:rPr>
        <w:t xml:space="preserve"> at the </w:t>
      </w:r>
      <w:r w:rsidRPr="000C46A6">
        <w:rPr>
          <w:rFonts w:ascii="Calibri" w:eastAsia="Calibri" w:hAnsi="Calibri" w:cs="Times New Roman"/>
          <w:color w:val="auto"/>
          <w:sz w:val="18"/>
          <w:szCs w:val="16"/>
          <w:lang w:eastAsia="ko-KR"/>
        </w:rPr>
        <w:t>Félix Houphouët-Boigny University</w:t>
      </w:r>
      <w:r w:rsidR="0017762F">
        <w:rPr>
          <w:rFonts w:ascii="Calibri" w:eastAsia="Calibri" w:hAnsi="Calibri" w:cs="Times New Roman"/>
          <w:color w:val="auto"/>
          <w:sz w:val="18"/>
          <w:szCs w:val="16"/>
          <w:lang w:eastAsia="ko-KR"/>
        </w:rPr>
        <w:t xml:space="preserve"> (UFHB)</w:t>
      </w:r>
    </w:p>
    <w:p w14:paraId="03DC481B" w14:textId="77777777" w:rsidR="007B578F" w:rsidRPr="000C46A6" w:rsidRDefault="00B00100" w:rsidP="003247A0">
      <w:pPr>
        <w:pStyle w:val="ListParagraph"/>
        <w:widowControl/>
        <w:numPr>
          <w:ilvl w:val="1"/>
          <w:numId w:val="6"/>
        </w:numPr>
        <w:autoSpaceDE/>
        <w:autoSpaceDN/>
        <w:adjustRightInd/>
        <w:jc w:val="both"/>
        <w:rPr>
          <w:rFonts w:ascii="Calibri" w:eastAsia="Calibri" w:hAnsi="Calibri" w:cs="Times New Roman"/>
          <w:color w:val="auto"/>
          <w:sz w:val="18"/>
          <w:szCs w:val="16"/>
          <w:lang w:eastAsia="ko-KR"/>
        </w:rPr>
      </w:pPr>
      <w:r w:rsidRPr="000C46A6">
        <w:rPr>
          <w:rFonts w:ascii="Calibri" w:eastAsia="Calibri" w:hAnsi="Calibri" w:cs="Times New Roman"/>
          <w:color w:val="auto"/>
          <w:sz w:val="18"/>
          <w:szCs w:val="16"/>
          <w:lang w:eastAsia="ko-KR"/>
        </w:rPr>
        <w:t>ACE: Statistics and Quantitative Economics at the National School of Statistics and Applied Economics</w:t>
      </w:r>
      <w:r w:rsidR="00864D46">
        <w:rPr>
          <w:rFonts w:ascii="Calibri" w:eastAsia="Calibri" w:hAnsi="Calibri" w:cs="Times New Roman"/>
          <w:color w:val="auto"/>
          <w:sz w:val="18"/>
          <w:szCs w:val="16"/>
          <w:lang w:eastAsia="ko-KR"/>
        </w:rPr>
        <w:t xml:space="preserve"> </w:t>
      </w:r>
      <w:r w:rsidR="00864D46" w:rsidRPr="000C46A6">
        <w:rPr>
          <w:rFonts w:ascii="Calibri" w:eastAsia="Calibri" w:hAnsi="Calibri" w:cs="Times New Roman"/>
          <w:color w:val="auto"/>
          <w:sz w:val="18"/>
          <w:szCs w:val="16"/>
          <w:lang w:eastAsia="ko-KR"/>
        </w:rPr>
        <w:t>(ENSEA)</w:t>
      </w:r>
    </w:p>
    <w:p w14:paraId="34C6F931" w14:textId="77777777" w:rsidR="00F61F91" w:rsidRPr="000C46A6" w:rsidRDefault="00B00100" w:rsidP="003247A0">
      <w:pPr>
        <w:pStyle w:val="ListParagraph"/>
        <w:widowControl/>
        <w:numPr>
          <w:ilvl w:val="1"/>
          <w:numId w:val="6"/>
        </w:numPr>
        <w:autoSpaceDE/>
        <w:autoSpaceDN/>
        <w:adjustRightInd/>
        <w:jc w:val="both"/>
        <w:rPr>
          <w:rFonts w:ascii="Calibri" w:eastAsia="Calibri" w:hAnsi="Calibri" w:cs="Times New Roman"/>
          <w:color w:val="auto"/>
          <w:sz w:val="18"/>
          <w:szCs w:val="16"/>
          <w:lang w:eastAsia="ko-KR"/>
        </w:rPr>
      </w:pPr>
      <w:r w:rsidRPr="000C46A6">
        <w:rPr>
          <w:rFonts w:ascii="Calibri" w:eastAsia="Calibri" w:hAnsi="Calibri" w:cs="Times New Roman"/>
          <w:color w:val="auto"/>
          <w:sz w:val="18"/>
          <w:szCs w:val="16"/>
          <w:lang w:eastAsia="ko-KR"/>
        </w:rPr>
        <w:t>New Center: ACE: Valorization of Waste Products with High Value Added (VALOPRO) at the INP-HB</w:t>
      </w:r>
      <w:r w:rsidR="00E864FF">
        <w:rPr>
          <w:rFonts w:ascii="Calibri" w:eastAsia="Calibri" w:hAnsi="Calibri" w:cs="Times New Roman"/>
          <w:color w:val="auto"/>
          <w:sz w:val="18"/>
          <w:szCs w:val="16"/>
          <w:lang w:eastAsia="ko-KR"/>
        </w:rPr>
        <w:t>.</w:t>
      </w:r>
    </w:p>
    <w:p w14:paraId="5052AE48" w14:textId="77777777" w:rsidR="000469AA" w:rsidRPr="009F4A64" w:rsidRDefault="000469AA" w:rsidP="007118DD">
      <w:pPr>
        <w:pStyle w:val="ListParagraph"/>
        <w:widowControl/>
        <w:autoSpaceDE/>
        <w:autoSpaceDN/>
        <w:adjustRightInd/>
        <w:ind w:left="810"/>
        <w:jc w:val="both"/>
        <w:rPr>
          <w:rFonts w:ascii="Calibri" w:eastAsia="Calibri" w:hAnsi="Calibri" w:cs="Times New Roman"/>
          <w:color w:val="auto"/>
          <w:sz w:val="16"/>
          <w:szCs w:val="16"/>
          <w:lang w:eastAsia="ko-KR"/>
        </w:rPr>
      </w:pPr>
    </w:p>
    <w:p w14:paraId="0EF4E610" w14:textId="77777777" w:rsidR="002E1A3F" w:rsidRPr="009F4A64" w:rsidRDefault="00B00100" w:rsidP="006C70A5">
      <w:pPr>
        <w:widowControl/>
        <w:numPr>
          <w:ilvl w:val="0"/>
          <w:numId w:val="12"/>
        </w:numPr>
        <w:autoSpaceDE/>
        <w:autoSpaceDN/>
        <w:adjustRightInd/>
        <w:spacing w:after="240"/>
        <w:ind w:left="180" w:firstLine="0"/>
        <w:jc w:val="both"/>
        <w:rPr>
          <w:rFonts w:ascii="Calibri" w:eastAsia="Calibri" w:hAnsi="Calibri" w:cs="Times New Roman"/>
          <w:color w:val="auto"/>
          <w:sz w:val="22"/>
          <w:szCs w:val="22"/>
          <w:lang w:eastAsia="ko-KR"/>
        </w:rPr>
      </w:pPr>
      <w:r w:rsidRPr="00FA02D7">
        <w:rPr>
          <w:rFonts w:ascii="Calibri" w:eastAsia="Calibri" w:hAnsi="Calibri" w:cs="Calibri"/>
          <w:b/>
          <w:sz w:val="22"/>
          <w:szCs w:val="22"/>
        </w:rPr>
        <w:t>Each ACE Impact center will have an implementation team established to implement their own ACE Impact Center sub-project on a day-to-day basis.</w:t>
      </w:r>
      <w:r w:rsidRPr="00551B2E">
        <w:rPr>
          <w:rFonts w:ascii="Calibri" w:eastAsia="Calibri" w:hAnsi="Calibri" w:cs="Calibri"/>
          <w:sz w:val="22"/>
          <w:szCs w:val="22"/>
        </w:rPr>
        <w:t xml:space="preserve"> Each center will be responsible for its own strategic and implementation plans, fiduciary and M&amp;E activities. The team will be led by the</w:t>
      </w:r>
      <w:r w:rsidRPr="00551B2E">
        <w:rPr>
          <w:rFonts w:ascii="Calibri,Arial,Times New Roman" w:eastAsia="Calibri,Arial,Times New Roman" w:hAnsi="Calibri,Arial,Times New Roman" w:cs="Calibri,Arial,Times New Roman"/>
          <w:sz w:val="22"/>
          <w:szCs w:val="22"/>
        </w:rPr>
        <w:t xml:space="preserve"> </w:t>
      </w:r>
      <w:r w:rsidRPr="00551B2E">
        <w:rPr>
          <w:rFonts w:ascii="Calibri" w:eastAsia="Calibri" w:hAnsi="Calibri" w:cs="Calibri"/>
          <w:sz w:val="22"/>
          <w:szCs w:val="22"/>
        </w:rPr>
        <w:t>center director, who will be a recognized educator/researcher with expertise in the academic focus area of the center.  The center director will be supported by a deputy director and faculty from all departments contributing to the center.  Each center team will also consist of key staff members specializing in procurement, FM, M&amp;E, communications and industry engagement who will support the center’s d</w:t>
      </w:r>
      <w:r w:rsidRPr="007B578F">
        <w:rPr>
          <w:rFonts w:ascii="Calibri" w:eastAsia="Calibri" w:hAnsi="Calibri" w:cs="Calibri"/>
          <w:sz w:val="22"/>
          <w:szCs w:val="22"/>
        </w:rPr>
        <w:t>ay-to day operations and assist with fiduciary tasks. The host university will provide to the centers administrative support and assistance on the safeguards tools to be developed by the centers. The center team will be advised by an SAB (composed of high-level representatives from the center’s industry/sector partners) and an IAAB</w:t>
      </w:r>
      <w:r w:rsidRPr="007B578F">
        <w:rPr>
          <w:rFonts w:ascii="Calibri,Arial,Times New Roman" w:eastAsia="Calibri,Arial,Times New Roman" w:hAnsi="Calibri,Arial,Times New Roman" w:cs="Calibri,Arial,Times New Roman"/>
          <w:sz w:val="22"/>
          <w:szCs w:val="22"/>
        </w:rPr>
        <w:t xml:space="preserve"> (</w:t>
      </w:r>
      <w:r w:rsidRPr="009F4A64">
        <w:rPr>
          <w:rFonts w:ascii="Calibri" w:eastAsia="Calibri" w:hAnsi="Calibri" w:cs="Calibri"/>
          <w:sz w:val="22"/>
          <w:szCs w:val="22"/>
        </w:rPr>
        <w:t xml:space="preserve">comprised of leading academics from around the world).  Both the SAB and the IAAB will contribute to the development of the education programs of the center, and will also provide advice, insight and oversight for the applied research program.  A student representative (non-staff) will be designated to represent the students of the center and will participate in the center’s staff meetings. </w:t>
      </w:r>
      <w:r w:rsidRPr="009F4A64">
        <w:rPr>
          <w:rFonts w:ascii="Calibri" w:eastAsia="Calibri" w:hAnsi="Calibri" w:cs="Times New Roman"/>
          <w:color w:val="auto"/>
          <w:sz w:val="22"/>
          <w:szCs w:val="22"/>
          <w:lang w:eastAsia="ko-KR"/>
        </w:rPr>
        <w:t>For an institution with more than one center, a similar structure will apply with an institutional leader assigned to manage all the centers at that institution in addition to the center directors.</w:t>
      </w:r>
      <w:r w:rsidRPr="009F4A64">
        <w:rPr>
          <w:rFonts w:ascii="Batang" w:eastAsia="Batang" w:hAnsi="Batang" w:cs="Batang"/>
          <w:color w:val="auto"/>
          <w:sz w:val="22"/>
          <w:szCs w:val="22"/>
          <w:lang w:eastAsia="ko-KR"/>
        </w:rPr>
        <w:t xml:space="preserve"> </w:t>
      </w:r>
      <w:r w:rsidRPr="009F4A64">
        <w:rPr>
          <w:rFonts w:ascii="Calibri" w:eastAsia="Calibri" w:hAnsi="Calibri" w:cs="Times New Roman"/>
          <w:color w:val="auto"/>
          <w:sz w:val="22"/>
          <w:szCs w:val="22"/>
          <w:lang w:eastAsia="ko-KR"/>
        </w:rPr>
        <w:t xml:space="preserve">Each host institution will also provide to their respective centers, administrative support and assistance on the safeguards tools to be developed by the centers. </w:t>
      </w:r>
    </w:p>
    <w:p w14:paraId="642AA87C" w14:textId="77777777" w:rsidR="002E1A3F" w:rsidRPr="002E1A3F" w:rsidRDefault="00B00100" w:rsidP="006C70A5">
      <w:pPr>
        <w:widowControl/>
        <w:numPr>
          <w:ilvl w:val="0"/>
          <w:numId w:val="12"/>
        </w:numPr>
        <w:autoSpaceDE/>
        <w:autoSpaceDN/>
        <w:adjustRightInd/>
        <w:spacing w:after="120"/>
        <w:ind w:left="180" w:firstLine="0"/>
        <w:jc w:val="both"/>
        <w:rPr>
          <w:rFonts w:ascii="Calibri" w:eastAsia="Calibri" w:hAnsi="Calibri" w:cs="Times New Roman"/>
          <w:color w:val="auto"/>
          <w:sz w:val="22"/>
          <w:szCs w:val="22"/>
          <w:lang w:eastAsia="ko-KR"/>
        </w:rPr>
      </w:pPr>
      <w:r w:rsidRPr="002E1A3F">
        <w:rPr>
          <w:rFonts w:ascii="Calibri" w:eastAsia="Calibri" w:hAnsi="Calibri" w:cs="Times New Roman"/>
          <w:color w:val="auto"/>
          <w:sz w:val="22"/>
          <w:szCs w:val="22"/>
          <w:lang w:eastAsia="ko-KR"/>
        </w:rPr>
        <w:t>Centers will implement key tasks under their respective sub-components. A summary of these tasks includes the following:</w:t>
      </w:r>
    </w:p>
    <w:p w14:paraId="538E917C" w14:textId="77777777" w:rsidR="002E1A3F" w:rsidRPr="002E1A3F" w:rsidRDefault="00B00100" w:rsidP="008E2709">
      <w:pPr>
        <w:widowControl/>
        <w:numPr>
          <w:ilvl w:val="1"/>
          <w:numId w:val="9"/>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color w:val="auto"/>
          <w:sz w:val="22"/>
          <w:szCs w:val="22"/>
        </w:rPr>
        <w:t xml:space="preserve">Prepare and implement an agreed implementation plan that encompasses the vision of the center and aligns with the PDO. The implementation plan will cover activities to strengthen the quality and relevance of the education and applied research programs that are within the </w:t>
      </w:r>
      <w:r w:rsidRPr="002E1A3F">
        <w:rPr>
          <w:rFonts w:ascii="Calibri" w:eastAsia="Times New Roman" w:hAnsi="Calibri" w:cs="Times New Roman"/>
          <w:color w:val="auto"/>
          <w:sz w:val="22"/>
          <w:szCs w:val="22"/>
        </w:rPr>
        <w:lastRenderedPageBreak/>
        <w:t>focus areas of the center. The implementation plan can be amended during the project life-time provided the ACE center obtains approval from the World Bank.</w:t>
      </w:r>
    </w:p>
    <w:p w14:paraId="1F70263A" w14:textId="77777777" w:rsidR="002E1A3F" w:rsidRPr="002E1A3F" w:rsidRDefault="00B00100" w:rsidP="008E2709">
      <w:pPr>
        <w:widowControl/>
        <w:numPr>
          <w:ilvl w:val="1"/>
          <w:numId w:val="9"/>
        </w:numPr>
        <w:tabs>
          <w:tab w:val="left" w:pos="0"/>
          <w:tab w:val="left" w:pos="720"/>
        </w:tabs>
        <w:autoSpaceDE/>
        <w:autoSpaceDN/>
        <w:adjustRightInd/>
        <w:spacing w:after="12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Prepare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annual work plans based on the approved proposal and implementation plan. The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annual work plan will be reviewed on an annual basis by subject-matter experts hired by the RFU. The detailed activities of each center will be in the project POM. </w:t>
      </w:r>
    </w:p>
    <w:p w14:paraId="2C77534B" w14:textId="77777777" w:rsidR="002E1A3F" w:rsidRPr="002E1A3F" w:rsidRDefault="00B00100" w:rsidP="008E2709">
      <w:pPr>
        <w:widowControl/>
        <w:numPr>
          <w:ilvl w:val="1"/>
          <w:numId w:val="9"/>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color w:val="auto"/>
          <w:sz w:val="22"/>
          <w:szCs w:val="22"/>
        </w:rPr>
        <w:t>Each center supported under Component 1 will be required to serve as a hub for a network of partner institutions within the sub-region. Partner institutions can be universities, industry, other types of higher education institutions or research institutes and government agencies within the thematic area hosted by the center. A detailed partnership agreement between the center and each partner institution will specify the nature of the partnership between the two institutions. The ACE center and its network of partners will agree to an annual action plan to be implemented by the partners.</w:t>
      </w:r>
    </w:p>
    <w:p w14:paraId="78C31E03" w14:textId="77777777" w:rsidR="002E1A3F" w:rsidRPr="002E1A3F" w:rsidRDefault="00B00100" w:rsidP="008E2709">
      <w:pPr>
        <w:widowControl/>
        <w:numPr>
          <w:ilvl w:val="1"/>
          <w:numId w:val="9"/>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color w:val="auto"/>
          <w:sz w:val="22"/>
          <w:szCs w:val="22"/>
        </w:rPr>
        <w:t>Each center will be responsible for its own fiduciary and safeguards functions including undertaking its own procurement, maintaining proper financial accounts according to project requirements and implementing its M&amp;E plan as well as its approved ESMP.</w:t>
      </w:r>
    </w:p>
    <w:p w14:paraId="70635B03" w14:textId="77777777" w:rsidR="002E1A3F" w:rsidRPr="002E1A3F" w:rsidRDefault="00B00100" w:rsidP="008E2709">
      <w:pPr>
        <w:widowControl/>
        <w:numPr>
          <w:ilvl w:val="1"/>
          <w:numId w:val="9"/>
        </w:numPr>
        <w:tabs>
          <w:tab w:val="left" w:pos="0"/>
          <w:tab w:val="left" w:pos="720"/>
        </w:tabs>
        <w:autoSpaceDE/>
        <w:autoSpaceDN/>
        <w:adjustRightInd/>
        <w:spacing w:after="120"/>
        <w:jc w:val="both"/>
        <w:rPr>
          <w:rFonts w:ascii="Calibri" w:eastAsia="Times New Roman" w:hAnsi="Calibri" w:cs="Times New Roman"/>
          <w:color w:val="auto"/>
          <w:sz w:val="22"/>
          <w:szCs w:val="22"/>
        </w:rPr>
      </w:pPr>
      <w:r w:rsidRPr="002E1A3F">
        <w:rPr>
          <w:rFonts w:ascii="Calibri" w:eastAsia="Times New Roman" w:hAnsi="Calibri" w:cs="Times New Roman"/>
          <w:color w:val="auto"/>
          <w:sz w:val="22"/>
          <w:szCs w:val="22"/>
        </w:rPr>
        <w:t xml:space="preserve">Funds for capacity building in partner institutions will be held and managed by the ACE Impact center leading the network. All fiduciary and M&amp;E matters related to the use of these funds will fall under the purview of the ACE Impact centers. </w:t>
      </w:r>
    </w:p>
    <w:p w14:paraId="2EA78118" w14:textId="77777777" w:rsidR="002E1A3F" w:rsidRPr="002E1A3F" w:rsidRDefault="00B00100" w:rsidP="006C70A5">
      <w:pPr>
        <w:widowControl/>
        <w:numPr>
          <w:ilvl w:val="0"/>
          <w:numId w:val="12"/>
        </w:numPr>
        <w:autoSpaceDE/>
        <w:autoSpaceDN/>
        <w:adjustRightInd/>
        <w:spacing w:after="240"/>
        <w:ind w:left="180" w:firstLine="0"/>
        <w:jc w:val="both"/>
        <w:rPr>
          <w:rFonts w:ascii="Calibri,Arial,Times New Roman" w:eastAsia="Calibri,Arial,Times New Roman" w:hAnsi="Calibri,Arial,Times New Roman" w:cs="Calibri,Arial,Times New Roman"/>
          <w:sz w:val="22"/>
          <w:szCs w:val="22"/>
        </w:rPr>
      </w:pPr>
      <w:r w:rsidRPr="002E1A3F">
        <w:rPr>
          <w:rFonts w:ascii="Calibri" w:eastAsia="Calibri" w:hAnsi="Calibri" w:cs="Times New Roman"/>
          <w:b/>
          <w:bCs/>
          <w:color w:val="auto"/>
          <w:sz w:val="22"/>
          <w:szCs w:val="22"/>
        </w:rPr>
        <w:t xml:space="preserve">A typical example of ACE implementation arrangements is the arrangements for the Africa Center of Excellence in Oil Fields Chemical Research (CEFOR), UniPort in Nigeria (established under ACE I). </w:t>
      </w:r>
      <w:r w:rsidRPr="002E1A3F">
        <w:rPr>
          <w:rFonts w:ascii="Calibri" w:eastAsia="Calibri" w:hAnsi="Calibri" w:cs="Times New Roman"/>
          <w:color w:val="auto"/>
          <w:sz w:val="22"/>
          <w:szCs w:val="22"/>
        </w:rPr>
        <w:t xml:space="preserve">The ACE is headed by the center director, who oversees the day-to-day running of the center and is assisted by the deputy center director. The center director is based in the Center’s Management Office (CMO), also home to three leaders representing the three research units working on CEFOR and the capacity building unit. The CMO is responsible for the management of the technical, scientific, and reporting aspects of their specific units. The ACE center operates semi-autonomously within the general structure of </w:t>
      </w:r>
      <w:r w:rsidR="007B0E25">
        <w:rPr>
          <w:rFonts w:ascii="Calibri" w:eastAsia="Calibri" w:hAnsi="Calibri" w:cs="Times New Roman"/>
          <w:color w:val="auto"/>
          <w:sz w:val="22"/>
          <w:szCs w:val="22"/>
        </w:rPr>
        <w:t>UniPort</w:t>
      </w:r>
      <w:r w:rsidRPr="002E1A3F">
        <w:rPr>
          <w:rFonts w:ascii="Calibri" w:eastAsia="Calibri" w:hAnsi="Calibri" w:cs="Times New Roman"/>
          <w:color w:val="auto"/>
          <w:sz w:val="22"/>
          <w:szCs w:val="22"/>
        </w:rPr>
        <w:t xml:space="preserve"> in terms of day-to-day administration and FM. Several departments and faculty of the university contribute with complementary expertise in petrochemical research within the oil field industry and training programs of the center: oil and gas technology, geosciences, occupational health and safety, gas refining and offshore technology. The research, training and other academic activities of the Center are planned and guided by a committee comprising representatives from industry, key partner institutions and an international scientific advisory board comprised of high-level international experts.</w:t>
      </w:r>
    </w:p>
    <w:p w14:paraId="6B104B0F" w14:textId="77777777" w:rsidR="006538A0" w:rsidRPr="006538A0" w:rsidRDefault="00B00100" w:rsidP="006C70A5">
      <w:pPr>
        <w:widowControl/>
        <w:numPr>
          <w:ilvl w:val="0"/>
          <w:numId w:val="12"/>
        </w:numPr>
        <w:autoSpaceDE/>
        <w:autoSpaceDN/>
        <w:adjustRightInd/>
        <w:spacing w:after="240"/>
        <w:ind w:left="180" w:firstLine="0"/>
        <w:jc w:val="both"/>
        <w:rPr>
          <w:rFonts w:ascii="Calibri" w:eastAsia="Calibri" w:hAnsi="Calibri" w:cs="Times New Roman"/>
          <w:color w:val="auto"/>
          <w:sz w:val="22"/>
          <w:szCs w:val="22"/>
          <w:lang w:eastAsia="ko-KR"/>
        </w:rPr>
      </w:pPr>
      <w:r w:rsidRPr="002E1A3F">
        <w:rPr>
          <w:rFonts w:ascii="Calibri" w:eastAsia="Calibri" w:hAnsi="Calibri" w:cs="Times New Roman"/>
          <w:b/>
          <w:color w:val="auto"/>
          <w:sz w:val="22"/>
          <w:szCs w:val="22"/>
          <w:lang w:eastAsia="ko-KR"/>
        </w:rPr>
        <w:t>Institutional capacity</w:t>
      </w:r>
      <w:r w:rsidRPr="002E1A3F">
        <w:rPr>
          <w:rFonts w:ascii="Calibri" w:eastAsia="Calibri" w:hAnsi="Calibri" w:cs="Times New Roman"/>
          <w:color w:val="auto"/>
          <w:sz w:val="22"/>
          <w:szCs w:val="22"/>
          <w:lang w:eastAsia="ko-KR"/>
        </w:rPr>
        <w:t xml:space="preserve">. As part of project preparation, assessments of the capacities of the centers were carried out. This entailed fiduciary assessment of each center’s </w:t>
      </w:r>
      <w:r w:rsidR="006A19EA">
        <w:rPr>
          <w:rFonts w:ascii="Calibri" w:eastAsia="Calibri" w:hAnsi="Calibri" w:cs="Times New Roman"/>
          <w:color w:val="auto"/>
          <w:sz w:val="22"/>
          <w:szCs w:val="22"/>
          <w:lang w:eastAsia="ko-KR"/>
        </w:rPr>
        <w:t xml:space="preserve">FM </w:t>
      </w:r>
      <w:r w:rsidRPr="002E1A3F">
        <w:rPr>
          <w:rFonts w:ascii="Calibri" w:eastAsia="Calibri" w:hAnsi="Calibri" w:cs="Times New Roman"/>
          <w:color w:val="auto"/>
          <w:sz w:val="22"/>
          <w:szCs w:val="22"/>
          <w:lang w:eastAsia="ko-KR"/>
        </w:rPr>
        <w:t>capacities, and a selected number of centers</w:t>
      </w:r>
      <w:r w:rsidR="006A19EA">
        <w:rPr>
          <w:rFonts w:ascii="Calibri" w:eastAsia="Calibri" w:hAnsi="Calibri" w:cs="Times New Roman"/>
          <w:color w:val="auto"/>
          <w:sz w:val="22"/>
          <w:szCs w:val="22"/>
          <w:lang w:eastAsia="ko-KR"/>
        </w:rPr>
        <w:t xml:space="preserve">’ </w:t>
      </w:r>
      <w:r w:rsidRPr="002E1A3F">
        <w:rPr>
          <w:rFonts w:ascii="Calibri" w:eastAsia="Calibri" w:hAnsi="Calibri" w:cs="Times New Roman"/>
          <w:color w:val="auto"/>
          <w:sz w:val="22"/>
          <w:szCs w:val="22"/>
          <w:lang w:eastAsia="ko-KR"/>
        </w:rPr>
        <w:t>procurement capacity</w:t>
      </w:r>
      <w:r w:rsidR="006A19EA">
        <w:rPr>
          <w:rFonts w:ascii="Calibri" w:eastAsia="Calibri" w:hAnsi="Calibri" w:cs="Times New Roman"/>
          <w:color w:val="auto"/>
          <w:sz w:val="22"/>
          <w:szCs w:val="22"/>
          <w:lang w:eastAsia="ko-KR"/>
        </w:rPr>
        <w:t xml:space="preserve"> was also </w:t>
      </w:r>
      <w:r w:rsidR="006A19EA" w:rsidRPr="002E1A3F">
        <w:rPr>
          <w:rFonts w:ascii="Calibri" w:eastAsia="Calibri" w:hAnsi="Calibri" w:cs="Times New Roman"/>
          <w:color w:val="auto"/>
          <w:sz w:val="22"/>
          <w:szCs w:val="22"/>
          <w:lang w:eastAsia="ko-KR"/>
        </w:rPr>
        <w:t>assessed</w:t>
      </w:r>
      <w:r w:rsidRPr="002E1A3F">
        <w:rPr>
          <w:rFonts w:ascii="Calibri" w:eastAsia="Calibri" w:hAnsi="Calibri" w:cs="Times New Roman"/>
          <w:color w:val="auto"/>
          <w:sz w:val="22"/>
          <w:szCs w:val="22"/>
          <w:lang w:eastAsia="ko-KR"/>
        </w:rPr>
        <w:t xml:space="preserve">. Based on the outcome of the assessments, </w:t>
      </w:r>
      <w:r w:rsidR="0082196A">
        <w:rPr>
          <w:rFonts w:ascii="Calibri" w:eastAsia="Calibri" w:hAnsi="Calibri" w:cs="Times New Roman"/>
          <w:color w:val="auto"/>
          <w:sz w:val="22"/>
          <w:szCs w:val="22"/>
          <w:lang w:eastAsia="ko-KR"/>
        </w:rPr>
        <w:t>action</w:t>
      </w:r>
      <w:r w:rsidRPr="002E1A3F">
        <w:rPr>
          <w:rFonts w:ascii="Calibri" w:eastAsia="Calibri" w:hAnsi="Calibri" w:cs="Times New Roman"/>
          <w:color w:val="auto"/>
          <w:sz w:val="22"/>
          <w:szCs w:val="22"/>
          <w:lang w:eastAsia="ko-KR"/>
        </w:rPr>
        <w:t xml:space="preserve"> plans</w:t>
      </w:r>
      <w:r w:rsidR="00AB3095">
        <w:rPr>
          <w:rFonts w:ascii="Calibri" w:eastAsia="Calibri" w:hAnsi="Calibri" w:cs="Times New Roman"/>
          <w:color w:val="auto"/>
          <w:sz w:val="22"/>
          <w:szCs w:val="22"/>
          <w:lang w:eastAsia="ko-KR"/>
        </w:rPr>
        <w:t xml:space="preserve"> (see </w:t>
      </w:r>
      <w:r w:rsidR="00215D2A">
        <w:rPr>
          <w:rFonts w:ascii="Calibri" w:eastAsia="Calibri" w:hAnsi="Calibri" w:cs="Times New Roman"/>
          <w:color w:val="auto"/>
          <w:sz w:val="22"/>
          <w:szCs w:val="22"/>
          <w:lang w:eastAsia="ko-KR"/>
        </w:rPr>
        <w:t>Annex 2)</w:t>
      </w:r>
      <w:r w:rsidRPr="002E1A3F">
        <w:rPr>
          <w:rFonts w:ascii="Calibri" w:eastAsia="Calibri" w:hAnsi="Calibri" w:cs="Times New Roman"/>
          <w:color w:val="auto"/>
          <w:sz w:val="22"/>
          <w:szCs w:val="22"/>
          <w:lang w:eastAsia="ko-KR"/>
        </w:rPr>
        <w:t xml:space="preserve"> have been developed to ensure the risks are mitigated.  Funding from the ACE Impact center will</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support activities under these capacity-building plans. Further, a regional level capacity-building workshop will be held </w:t>
      </w:r>
      <w:r w:rsidRPr="002E1A3F">
        <w:rPr>
          <w:rFonts w:ascii="Calibri" w:eastAsia="Calibri" w:hAnsi="Calibri" w:cs="Times New Roman"/>
          <w:color w:val="auto"/>
          <w:sz w:val="22"/>
          <w:szCs w:val="22"/>
        </w:rPr>
        <w:t>ahead</w:t>
      </w:r>
      <w:r w:rsidRPr="002E1A3F">
        <w:rPr>
          <w:rFonts w:ascii="Calibri" w:eastAsia="Calibri" w:hAnsi="Calibri" w:cs="Times New Roman"/>
          <w:color w:val="auto"/>
          <w:sz w:val="22"/>
          <w:szCs w:val="22"/>
          <w:lang w:eastAsia="ko-KR"/>
        </w:rPr>
        <w:t xml:space="preserve"> of the project launch to ensure full awareness of project requirements, and assessment of each center’s capacity shortcomings and challenges. Follow-up trainings at the regional level will be organized during implementation.</w:t>
      </w:r>
    </w:p>
    <w:p w14:paraId="6B1C7A61" w14:textId="77777777" w:rsidR="00E555CF" w:rsidRDefault="00E555CF" w:rsidP="00E555CF">
      <w:pPr>
        <w:widowControl/>
        <w:autoSpaceDE/>
        <w:autoSpaceDN/>
        <w:adjustRightInd/>
        <w:spacing w:after="240"/>
        <w:jc w:val="both"/>
        <w:rPr>
          <w:rFonts w:ascii="Calibri" w:eastAsia="Calibri" w:hAnsi="Calibri" w:cs="Times New Roman"/>
          <w:b/>
          <w:color w:val="auto"/>
          <w:sz w:val="22"/>
          <w:szCs w:val="22"/>
          <w:lang w:eastAsia="ko-KR"/>
        </w:rPr>
      </w:pPr>
    </w:p>
    <w:p w14:paraId="3E8FC5DD" w14:textId="77777777" w:rsidR="00E555CF" w:rsidRPr="002E1A3F" w:rsidRDefault="00E555CF" w:rsidP="008E2709">
      <w:pPr>
        <w:widowControl/>
        <w:autoSpaceDE/>
        <w:autoSpaceDN/>
        <w:adjustRightInd/>
        <w:spacing w:after="240"/>
        <w:jc w:val="both"/>
        <w:rPr>
          <w:rFonts w:ascii="Calibri" w:eastAsia="Calibri" w:hAnsi="Calibri" w:cs="Times New Roman"/>
          <w:color w:val="auto"/>
          <w:sz w:val="22"/>
          <w:szCs w:val="22"/>
          <w:lang w:eastAsia="ko-KR"/>
        </w:rPr>
      </w:pPr>
    </w:p>
    <w:p w14:paraId="2CA6750B" w14:textId="77777777" w:rsidR="002E1A3F" w:rsidRPr="002E1A3F" w:rsidRDefault="00B00100" w:rsidP="008E2709">
      <w:pPr>
        <w:widowControl/>
        <w:numPr>
          <w:ilvl w:val="6"/>
          <w:numId w:val="10"/>
        </w:numPr>
        <w:autoSpaceDE/>
        <w:autoSpaceDN/>
        <w:adjustRightInd/>
        <w:spacing w:after="240"/>
        <w:rPr>
          <w:rFonts w:ascii="Calibri" w:eastAsia="Times New Roman" w:hAnsi="Calibri" w:cs="Times New Roman"/>
          <w:b/>
          <w:color w:val="0070C0"/>
          <w:sz w:val="22"/>
          <w:szCs w:val="22"/>
        </w:rPr>
      </w:pPr>
      <w:r w:rsidRPr="002E1A3F">
        <w:rPr>
          <w:rFonts w:ascii="Calibri" w:eastAsia="Times New Roman" w:hAnsi="Calibri" w:cs="Times New Roman"/>
          <w:b/>
          <w:color w:val="0070C0"/>
          <w:sz w:val="22"/>
          <w:szCs w:val="22"/>
        </w:rPr>
        <w:t>Regional Facilitation Unit (RFU) (hosted within the Association of African Universities - AAU)</w:t>
      </w:r>
    </w:p>
    <w:p w14:paraId="08E504F6"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The RFU will be hosted within the AAU. The AAU will be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responsible for implementing the </w:t>
      </w:r>
      <w:r w:rsidR="00613B82">
        <w:rPr>
          <w:rFonts w:ascii="Calibri" w:eastAsia="Calibri" w:hAnsi="Calibri" w:cs="Times New Roman"/>
          <w:color w:val="auto"/>
          <w:sz w:val="22"/>
          <w:szCs w:val="22"/>
          <w:lang w:eastAsia="ko-KR"/>
        </w:rPr>
        <w:t>Sub-c</w:t>
      </w:r>
      <w:r w:rsidRPr="002E1A3F">
        <w:rPr>
          <w:rFonts w:ascii="Calibri" w:eastAsia="Calibri" w:hAnsi="Calibri" w:cs="Times New Roman"/>
          <w:color w:val="auto"/>
          <w:sz w:val="22"/>
          <w:szCs w:val="22"/>
          <w:lang w:eastAsia="ko-KR"/>
        </w:rPr>
        <w:t>omponent 3</w:t>
      </w:r>
      <w:r w:rsidR="00AD19AC">
        <w:rPr>
          <w:rFonts w:ascii="Calibri" w:eastAsia="Calibri" w:hAnsi="Calibri" w:cs="Times New Roman"/>
          <w:color w:val="auto"/>
          <w:sz w:val="22"/>
          <w:szCs w:val="22"/>
          <w:lang w:eastAsia="ko-KR"/>
        </w:rPr>
        <w:t>.1</w:t>
      </w:r>
      <w:r w:rsidRPr="002E1A3F">
        <w:rPr>
          <w:rFonts w:ascii="Calibri" w:eastAsia="Calibri" w:hAnsi="Calibri" w:cs="Times New Roman"/>
          <w:color w:val="auto"/>
          <w:sz w:val="22"/>
          <w:szCs w:val="22"/>
          <w:lang w:eastAsia="ko-KR"/>
        </w:rPr>
        <w:t xml:space="preserve"> activities of the </w:t>
      </w:r>
      <w:r w:rsidR="006A19EA">
        <w:rPr>
          <w:rFonts w:ascii="Calibri" w:eastAsia="Calibri" w:hAnsi="Calibri" w:cs="Times New Roman"/>
          <w:color w:val="auto"/>
          <w:sz w:val="22"/>
          <w:szCs w:val="22"/>
          <w:lang w:eastAsia="ko-KR"/>
        </w:rPr>
        <w:t xml:space="preserve">proposed </w:t>
      </w:r>
      <w:r w:rsidR="00B708B0">
        <w:rPr>
          <w:rFonts w:ascii="Calibri" w:eastAsia="Calibri" w:hAnsi="Calibri" w:cs="Times New Roman"/>
          <w:color w:val="auto"/>
          <w:sz w:val="22"/>
          <w:szCs w:val="22"/>
          <w:lang w:eastAsia="ko-KR"/>
        </w:rPr>
        <w:t>Second</w:t>
      </w:r>
      <w:r w:rsidR="00B708B0" w:rsidRPr="002E1A3F">
        <w:rPr>
          <w:rFonts w:ascii="Calibri" w:eastAsia="Calibri" w:hAnsi="Calibri" w:cs="Times New Roman"/>
          <w:color w:val="auto"/>
          <w:sz w:val="22"/>
          <w:szCs w:val="22"/>
          <w:lang w:eastAsia="ko-KR"/>
        </w:rPr>
        <w:t xml:space="preserve"> </w:t>
      </w:r>
      <w:r w:rsidR="00BB4A89">
        <w:rPr>
          <w:rFonts w:ascii="Calibri" w:eastAsia="Calibri" w:hAnsi="Calibri" w:cs="Times New Roman"/>
          <w:color w:val="auto"/>
          <w:sz w:val="22"/>
          <w:szCs w:val="22"/>
          <w:lang w:eastAsia="ko-KR"/>
        </w:rPr>
        <w:t>ACE Impact Project</w:t>
      </w:r>
      <w:r w:rsidR="00B708B0">
        <w:rPr>
          <w:rFonts w:ascii="Calibri" w:eastAsia="Calibri" w:hAnsi="Calibri" w:cs="Times New Roman"/>
          <w:color w:val="auto"/>
          <w:sz w:val="22"/>
          <w:szCs w:val="22"/>
          <w:lang w:eastAsia="ko-KR"/>
        </w:rPr>
        <w:t>,</w:t>
      </w:r>
      <w:r w:rsidRPr="002E1A3F">
        <w:rPr>
          <w:rFonts w:ascii="Calibri" w:eastAsia="Calibri" w:hAnsi="Calibri" w:cs="Times New Roman"/>
          <w:color w:val="auto"/>
          <w:sz w:val="22"/>
          <w:szCs w:val="22"/>
          <w:lang w:eastAsia="ko-KR"/>
        </w:rPr>
        <w:t xml:space="preserve"> which </w:t>
      </w:r>
      <w:r w:rsidR="006A19EA">
        <w:rPr>
          <w:rFonts w:ascii="Calibri" w:eastAsia="Calibri" w:hAnsi="Calibri" w:cs="Times New Roman"/>
          <w:color w:val="auto"/>
          <w:sz w:val="22"/>
          <w:szCs w:val="22"/>
          <w:lang w:eastAsia="ko-KR"/>
        </w:rPr>
        <w:t xml:space="preserve">will </w:t>
      </w:r>
      <w:r w:rsidRPr="002E1A3F">
        <w:rPr>
          <w:rFonts w:ascii="Calibri" w:eastAsia="Calibri" w:hAnsi="Calibri" w:cs="Times New Roman"/>
          <w:color w:val="auto"/>
          <w:sz w:val="22"/>
          <w:szCs w:val="22"/>
          <w:lang w:eastAsia="ko-KR"/>
        </w:rPr>
        <w:t xml:space="preserve">entail regional facilitation and implementation support to the centers.  </w:t>
      </w:r>
    </w:p>
    <w:p w14:paraId="54FBFC4D"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 xml:space="preserve">The AAU has met the required criteria to be selected as the RFU for </w:t>
      </w:r>
      <w:r w:rsidR="00954244">
        <w:rPr>
          <w:rFonts w:ascii="Calibri" w:eastAsia="Calibri" w:hAnsi="Calibri" w:cs="Times New Roman"/>
          <w:color w:val="auto"/>
          <w:sz w:val="22"/>
          <w:szCs w:val="22"/>
          <w:lang w:eastAsia="ko-KR"/>
        </w:rPr>
        <w:t>this</w:t>
      </w:r>
      <w:r w:rsidRPr="002E1A3F">
        <w:rPr>
          <w:rFonts w:ascii="Calibri" w:eastAsia="Calibri" w:hAnsi="Calibri" w:cs="Times New Roman"/>
          <w:color w:val="auto"/>
          <w:sz w:val="22"/>
          <w:szCs w:val="22"/>
          <w:lang w:eastAsia="ko-KR"/>
        </w:rPr>
        <w:t xml:space="preserve"> regional higher education project. Of importance to the project is the fact that AAU is currently the RFU for </w:t>
      </w:r>
      <w:r w:rsidR="00BB4A89">
        <w:rPr>
          <w:rFonts w:ascii="Calibri" w:eastAsia="Calibri" w:hAnsi="Calibri" w:cs="Times New Roman"/>
          <w:color w:val="auto"/>
          <w:sz w:val="22"/>
          <w:szCs w:val="22"/>
          <w:lang w:eastAsia="ko-KR"/>
        </w:rPr>
        <w:t xml:space="preserve">the </w:t>
      </w:r>
      <w:r w:rsidRPr="002E1A3F">
        <w:rPr>
          <w:rFonts w:ascii="Calibri" w:eastAsia="Calibri" w:hAnsi="Calibri" w:cs="Times New Roman"/>
          <w:color w:val="auto"/>
          <w:sz w:val="22"/>
          <w:szCs w:val="22"/>
          <w:lang w:eastAsia="ko-KR"/>
        </w:rPr>
        <w:t>ACE I</w:t>
      </w:r>
      <w:r w:rsidR="00BB4A89">
        <w:rPr>
          <w:rFonts w:ascii="Calibri" w:eastAsia="Calibri" w:hAnsi="Calibri" w:cs="Times New Roman"/>
          <w:color w:val="auto"/>
          <w:sz w:val="22"/>
          <w:szCs w:val="22"/>
          <w:lang w:eastAsia="ko-KR"/>
        </w:rPr>
        <w:t xml:space="preserve"> Project</w:t>
      </w:r>
      <w:r w:rsidRPr="002E1A3F">
        <w:rPr>
          <w:rFonts w:ascii="Calibri" w:eastAsia="Calibri" w:hAnsi="Calibri" w:cs="Times New Roman"/>
          <w:color w:val="auto"/>
          <w:sz w:val="22"/>
          <w:szCs w:val="22"/>
          <w:lang w:eastAsia="ko-KR"/>
        </w:rPr>
        <w:t xml:space="preserve"> and so has developed capacity with regard to the ACE model and facilitating project-level M&amp;E and logistic activities. Other criteria that were considered in the selection of the RFU included</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(i) proven capacity to </w:t>
      </w:r>
      <w:r w:rsidR="00AC4966">
        <w:rPr>
          <w:rFonts w:ascii="Calibri" w:eastAsia="Calibri" w:hAnsi="Calibri" w:cs="Times New Roman"/>
          <w:color w:val="auto"/>
          <w:sz w:val="22"/>
          <w:szCs w:val="22"/>
          <w:lang w:eastAsia="ko-KR"/>
        </w:rPr>
        <w:t>manage</w:t>
      </w:r>
      <w:r w:rsidR="00AC4966" w:rsidRPr="002E1A3F">
        <w:rPr>
          <w:rFonts w:ascii="Calibri" w:eastAsia="Calibri" w:hAnsi="Calibri" w:cs="Times New Roman"/>
          <w:color w:val="auto"/>
          <w:sz w:val="22"/>
          <w:szCs w:val="22"/>
          <w:lang w:eastAsia="ko-KR"/>
        </w:rPr>
        <w:t xml:space="preserve"> </w:t>
      </w:r>
      <w:r w:rsidRPr="002E1A3F">
        <w:rPr>
          <w:rFonts w:ascii="Calibri" w:eastAsia="Calibri" w:hAnsi="Calibri" w:cs="Times New Roman"/>
          <w:color w:val="auto"/>
          <w:sz w:val="22"/>
          <w:szCs w:val="22"/>
          <w:lang w:eastAsia="ko-KR"/>
        </w:rPr>
        <w:t xml:space="preserve">IDA and other donor funds; (ii) its location in the sub-region and its established and working relationships with higher education institutions; (iii) experience working across sectors; (iv) evidence (based on due diligence assessment) of well-established FM systems; (v) regional coverage across thematic areas; and (vi) bilingual capacity. The PSC agreed to keep AAU as the RFU for </w:t>
      </w:r>
      <w:r w:rsidR="00B708B0">
        <w:rPr>
          <w:rFonts w:ascii="Calibri" w:eastAsia="Calibri" w:hAnsi="Calibri" w:cs="Times New Roman"/>
          <w:color w:val="auto"/>
          <w:sz w:val="22"/>
          <w:szCs w:val="22"/>
          <w:lang w:eastAsia="ko-KR"/>
        </w:rPr>
        <w:t xml:space="preserve">both the First and </w:t>
      </w:r>
      <w:r w:rsidRPr="002E1A3F">
        <w:rPr>
          <w:rFonts w:ascii="Calibri" w:eastAsia="Calibri" w:hAnsi="Calibri" w:cs="Times New Roman"/>
          <w:color w:val="auto"/>
          <w:sz w:val="22"/>
          <w:szCs w:val="22"/>
          <w:lang w:eastAsia="ko-KR"/>
        </w:rPr>
        <w:t xml:space="preserve">the </w:t>
      </w:r>
      <w:r w:rsidR="006A19EA">
        <w:rPr>
          <w:rFonts w:ascii="Calibri" w:eastAsia="Calibri" w:hAnsi="Calibri" w:cs="Times New Roman"/>
          <w:color w:val="auto"/>
          <w:sz w:val="22"/>
          <w:szCs w:val="22"/>
          <w:lang w:eastAsia="ko-KR"/>
        </w:rPr>
        <w:t xml:space="preserve">proposed </w:t>
      </w:r>
      <w:r w:rsidRPr="002E1A3F">
        <w:rPr>
          <w:rFonts w:ascii="Calibri" w:eastAsia="Calibri" w:hAnsi="Calibri" w:cs="Times New Roman"/>
          <w:color w:val="auto"/>
          <w:sz w:val="22"/>
          <w:szCs w:val="22"/>
          <w:lang w:eastAsia="ko-KR"/>
        </w:rPr>
        <w:t>Second ACE Impact project</w:t>
      </w:r>
      <w:r w:rsidR="00B708B0">
        <w:rPr>
          <w:rFonts w:ascii="Calibri" w:eastAsia="Calibri" w:hAnsi="Calibri" w:cs="Times New Roman"/>
          <w:color w:val="auto"/>
          <w:sz w:val="22"/>
          <w:szCs w:val="22"/>
          <w:lang w:eastAsia="ko-KR"/>
        </w:rPr>
        <w:t>s</w:t>
      </w:r>
      <w:r w:rsidRPr="002E1A3F">
        <w:rPr>
          <w:rFonts w:ascii="Calibri" w:eastAsia="Calibri" w:hAnsi="Calibri" w:cs="Times New Roman"/>
          <w:color w:val="auto"/>
          <w:sz w:val="22"/>
          <w:szCs w:val="22"/>
          <w:lang w:eastAsia="ko-KR"/>
        </w:rPr>
        <w:t xml:space="preserve"> while it continues to play the same role for </w:t>
      </w:r>
      <w:r w:rsidR="00BB4A89">
        <w:rPr>
          <w:rFonts w:ascii="Calibri" w:eastAsia="Calibri" w:hAnsi="Calibri" w:cs="Times New Roman"/>
          <w:color w:val="auto"/>
          <w:sz w:val="22"/>
          <w:szCs w:val="22"/>
          <w:lang w:eastAsia="ko-KR"/>
        </w:rPr>
        <w:t xml:space="preserve">the </w:t>
      </w:r>
      <w:r w:rsidRPr="002E1A3F">
        <w:rPr>
          <w:rFonts w:ascii="Calibri" w:eastAsia="Calibri" w:hAnsi="Calibri" w:cs="Times New Roman"/>
          <w:color w:val="auto"/>
          <w:sz w:val="22"/>
          <w:szCs w:val="22"/>
          <w:lang w:eastAsia="ko-KR"/>
        </w:rPr>
        <w:t>ACE I</w:t>
      </w:r>
      <w:r w:rsidR="00BE0574">
        <w:rPr>
          <w:rFonts w:ascii="Calibri" w:eastAsia="Calibri" w:hAnsi="Calibri" w:cs="Times New Roman"/>
          <w:color w:val="auto"/>
          <w:sz w:val="22"/>
          <w:szCs w:val="22"/>
          <w:lang w:eastAsia="ko-KR"/>
        </w:rPr>
        <w:t xml:space="preserve"> Project</w:t>
      </w:r>
      <w:r w:rsidRPr="002E1A3F">
        <w:rPr>
          <w:rFonts w:ascii="Batang" w:eastAsia="Batang" w:hAnsi="Batang" w:cs="Batang"/>
          <w:color w:val="auto"/>
          <w:sz w:val="22"/>
          <w:szCs w:val="22"/>
          <w:lang w:eastAsia="ko-KR"/>
        </w:rPr>
        <w:t xml:space="preserve">.      </w:t>
      </w:r>
    </w:p>
    <w:p w14:paraId="620AF2E2"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The detailed tasks of the RFU are provided in the POM. These are summarized as follows:</w:t>
      </w:r>
    </w:p>
    <w:p w14:paraId="5914AAEE"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Coordinate and fund the activities of the PSC to fulfill its tasks;</w:t>
      </w:r>
    </w:p>
    <w:p w14:paraId="08EE5CB5"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Facilitate the call for proposals, evaluation and selection of centers/institutions during project preparation; </w:t>
      </w:r>
    </w:p>
    <w:p w14:paraId="3B6742FA"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Ensure effective and efficient coordination and facilitation of the project activities, including the administrative activities;</w:t>
      </w:r>
    </w:p>
    <w:p w14:paraId="038145A5"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Support the M&amp;E needs of the selected centers as well as aggregated M&amp;E needs of the overall project, benchmarking exercises and graduate tracer studies; </w:t>
      </w:r>
    </w:p>
    <w:p w14:paraId="11596FBC" w14:textId="77777777" w:rsid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Communicate</w:t>
      </w:r>
      <w:r w:rsidR="00BE0574">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on a regular basis</w:t>
      </w:r>
      <w:r w:rsidR="00BE0574">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with the centers, subject-matter experts, third party verifiers and the project’s broader network of partners;</w:t>
      </w:r>
    </w:p>
    <w:p w14:paraId="2F2039E4" w14:textId="77777777" w:rsidR="00B743BC"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Pr>
          <w:rFonts w:ascii="Calibri" w:eastAsia="Calibri" w:hAnsi="Calibri" w:cs="Times New Roman"/>
          <w:color w:val="auto"/>
          <w:sz w:val="22"/>
          <w:szCs w:val="22"/>
        </w:rPr>
        <w:t>Provide support and capacity building for centers concerning Environmental and Safeguards compliance requirements</w:t>
      </w:r>
      <w:r w:rsidR="006A19EA">
        <w:rPr>
          <w:rFonts w:ascii="Calibri" w:eastAsia="Calibri" w:hAnsi="Calibri" w:cs="Times New Roman"/>
          <w:color w:val="auto"/>
          <w:sz w:val="22"/>
          <w:szCs w:val="22"/>
        </w:rPr>
        <w:t>;</w:t>
      </w:r>
    </w:p>
    <w:p w14:paraId="0259BB52"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Coordinate implementation support missions of experts to the centers and verify semi-annual reports on DLR achievements and project implementation results submitted by the centers;</w:t>
      </w:r>
    </w:p>
    <w:p w14:paraId="4773E3F3"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Develop key documents such as the POM and ToRs for consultants hired to work on project related activities;</w:t>
      </w:r>
    </w:p>
    <w:p w14:paraId="43FCACBC"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Facilitate capacity building workshops and sharing of experiences across the centers, such as knowledge sharing workshops for the centers and their partner institutions; and</w:t>
      </w:r>
    </w:p>
    <w:p w14:paraId="4F7B6F67" w14:textId="77777777" w:rsidR="002E1A3F" w:rsidRPr="002E1A3F" w:rsidRDefault="00B00100" w:rsidP="008E2709">
      <w:pPr>
        <w:widowControl/>
        <w:numPr>
          <w:ilvl w:val="0"/>
          <w:numId w:val="14"/>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Promote partnerships among centers and between centers and partners (academic and sectoral) outside of the ACE networks. </w:t>
      </w:r>
    </w:p>
    <w:p w14:paraId="4D6DAAB8"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 xml:space="preserve">The Grant </w:t>
      </w:r>
      <w:r w:rsidR="00864D46">
        <w:rPr>
          <w:rFonts w:ascii="Calibri" w:eastAsia="Calibri" w:hAnsi="Calibri" w:cs="Times New Roman"/>
          <w:color w:val="auto"/>
          <w:sz w:val="22"/>
          <w:szCs w:val="22"/>
          <w:lang w:eastAsia="ko-KR"/>
        </w:rPr>
        <w:t>FA</w:t>
      </w:r>
      <w:r w:rsidRPr="002E1A3F">
        <w:rPr>
          <w:rFonts w:ascii="Calibri" w:eastAsia="Calibri" w:hAnsi="Calibri" w:cs="Times New Roman"/>
          <w:color w:val="auto"/>
          <w:sz w:val="22"/>
          <w:szCs w:val="22"/>
          <w:lang w:eastAsia="ko-KR"/>
        </w:rPr>
        <w:t xml:space="preserve"> between the World Bank and the RFU defines the terms and conditions for this engagement. Funding for the RFU is under Component 3 of the First </w:t>
      </w:r>
      <w:r w:rsidR="00BB4A89">
        <w:rPr>
          <w:rFonts w:ascii="Calibri" w:eastAsia="Calibri" w:hAnsi="Calibri" w:cs="Times New Roman"/>
          <w:color w:val="auto"/>
          <w:sz w:val="22"/>
          <w:szCs w:val="22"/>
          <w:lang w:eastAsia="ko-KR"/>
        </w:rPr>
        <w:t>ACE Impact Project</w:t>
      </w:r>
      <w:r w:rsidRPr="002E1A3F">
        <w:rPr>
          <w:rFonts w:ascii="Calibri" w:eastAsia="Calibri" w:hAnsi="Calibri" w:cs="Times New Roman"/>
          <w:color w:val="auto"/>
          <w:sz w:val="22"/>
          <w:szCs w:val="22"/>
          <w:lang w:eastAsia="ko-KR"/>
        </w:rPr>
        <w:t xml:space="preserve">. </w:t>
      </w:r>
      <w:r w:rsidR="005935F6" w:rsidRPr="005935F6">
        <w:rPr>
          <w:rFonts w:ascii="Calibri" w:eastAsia="Calibri" w:hAnsi="Calibri" w:cs="Times New Roman"/>
          <w:color w:val="auto"/>
          <w:sz w:val="22"/>
          <w:szCs w:val="22"/>
          <w:lang w:eastAsia="ko-KR"/>
        </w:rPr>
        <w:t xml:space="preserve"> </w:t>
      </w:r>
      <w:r w:rsidRPr="002E1A3F">
        <w:rPr>
          <w:rFonts w:ascii="Calibri" w:eastAsia="Calibri" w:hAnsi="Calibri" w:cs="Times New Roman"/>
          <w:color w:val="auto"/>
          <w:sz w:val="22"/>
          <w:szCs w:val="22"/>
          <w:lang w:eastAsia="ko-KR"/>
        </w:rPr>
        <w:t xml:space="preserve">The RFU will </w:t>
      </w:r>
      <w:r w:rsidRPr="002E1A3F">
        <w:rPr>
          <w:rFonts w:ascii="Calibri" w:eastAsia="Calibri" w:hAnsi="Calibri" w:cs="Times New Roman"/>
          <w:color w:val="auto"/>
          <w:sz w:val="22"/>
          <w:szCs w:val="22"/>
          <w:lang w:eastAsia="ko-KR"/>
        </w:rPr>
        <w:lastRenderedPageBreak/>
        <w:t xml:space="preserve">have a full-time project </w:t>
      </w:r>
      <w:r w:rsidR="00923B9C">
        <w:rPr>
          <w:rFonts w:ascii="Calibri" w:eastAsia="Calibri" w:hAnsi="Calibri" w:cs="Times New Roman"/>
          <w:color w:val="auto"/>
          <w:sz w:val="22"/>
          <w:szCs w:val="22"/>
          <w:lang w:eastAsia="ko-KR"/>
        </w:rPr>
        <w:t>manager</w:t>
      </w:r>
      <w:r w:rsidR="002A20A9">
        <w:rPr>
          <w:rFonts w:ascii="Calibri" w:eastAsia="Calibri" w:hAnsi="Calibri" w:cs="Times New Roman"/>
          <w:color w:val="auto"/>
          <w:sz w:val="22"/>
          <w:szCs w:val="22"/>
          <w:lang w:eastAsia="ko-KR"/>
        </w:rPr>
        <w:t xml:space="preserve"> </w:t>
      </w:r>
      <w:r w:rsidR="00BC625B">
        <w:rPr>
          <w:rFonts w:ascii="Calibri" w:eastAsia="Calibri" w:hAnsi="Calibri" w:cs="Times New Roman"/>
          <w:color w:val="auto"/>
          <w:sz w:val="22"/>
          <w:szCs w:val="22"/>
          <w:lang w:eastAsia="ko-KR"/>
        </w:rPr>
        <w:t xml:space="preserve">who </w:t>
      </w:r>
      <w:r w:rsidR="002A20A9" w:rsidRPr="002A20A9">
        <w:rPr>
          <w:rFonts w:ascii="Calibri" w:eastAsia="Calibri" w:hAnsi="Calibri" w:cs="Times New Roman"/>
          <w:color w:val="auto"/>
          <w:sz w:val="22"/>
          <w:szCs w:val="22"/>
          <w:lang w:eastAsia="ko-KR"/>
        </w:rPr>
        <w:t>will, among other responsibilities, lead the RFU, be a member of the AAU Project management team, and report to the AAU Secretary General.</w:t>
      </w:r>
      <w:r w:rsidRPr="002E1A3F">
        <w:rPr>
          <w:rFonts w:ascii="Calibri" w:eastAsia="Calibri" w:hAnsi="Calibri" w:cs="Times New Roman"/>
          <w:color w:val="auto"/>
          <w:sz w:val="22"/>
          <w:szCs w:val="22"/>
          <w:lang w:eastAsia="ko-KR"/>
        </w:rPr>
        <w:t xml:space="preserve"> The RFU will also have professional staff with finance and </w:t>
      </w:r>
      <w:r w:rsidRPr="002E1A3F">
        <w:rPr>
          <w:rFonts w:ascii="Calibri" w:eastAsia="Calibri" w:hAnsi="Calibri" w:cs="Calibri"/>
          <w:color w:val="auto"/>
          <w:sz w:val="22"/>
          <w:szCs w:val="22"/>
          <w:lang w:eastAsia="ko-KR"/>
        </w:rPr>
        <w:t>accounting, M&amp;E</w:t>
      </w:r>
      <w:r w:rsidRPr="002E1A3F">
        <w:rPr>
          <w:rFonts w:ascii="Calibri" w:eastAsia="Batang" w:hAnsi="Calibri" w:cs="Calibri"/>
          <w:color w:val="auto"/>
          <w:sz w:val="22"/>
          <w:szCs w:val="22"/>
          <w:lang w:eastAsia="ko-KR"/>
        </w:rPr>
        <w:t xml:space="preserve">, </w:t>
      </w:r>
      <w:r w:rsidRPr="002E1A3F">
        <w:rPr>
          <w:rFonts w:ascii="Calibri" w:eastAsia="Calibri" w:hAnsi="Calibri" w:cs="Calibri"/>
          <w:color w:val="auto"/>
          <w:sz w:val="22"/>
          <w:szCs w:val="22"/>
          <w:lang w:eastAsia="ko-KR"/>
        </w:rPr>
        <w:t>IT, communications</w:t>
      </w:r>
      <w:r w:rsidRPr="002E1A3F">
        <w:rPr>
          <w:rFonts w:ascii="Calibri" w:eastAsia="Calibri" w:hAnsi="Calibri" w:cs="Times New Roman"/>
          <w:color w:val="auto"/>
          <w:sz w:val="22"/>
          <w:szCs w:val="22"/>
          <w:lang w:eastAsia="ko-KR"/>
        </w:rPr>
        <w:t xml:space="preserve"> and project management skills requisite for project needs. The RFU will also hire consultants to support regional level coordination of the </w:t>
      </w:r>
      <w:r w:rsidR="0094698A">
        <w:rPr>
          <w:rFonts w:ascii="Calibri" w:eastAsia="Calibri" w:hAnsi="Calibri" w:cs="Times New Roman"/>
          <w:color w:val="auto"/>
          <w:sz w:val="22"/>
          <w:szCs w:val="22"/>
          <w:lang w:eastAsia="ko-KR"/>
        </w:rPr>
        <w:t xml:space="preserve">required </w:t>
      </w:r>
      <w:r w:rsidRPr="002E1A3F">
        <w:rPr>
          <w:rFonts w:ascii="Calibri" w:eastAsia="Calibri" w:hAnsi="Calibri" w:cs="Times New Roman"/>
          <w:color w:val="auto"/>
          <w:sz w:val="22"/>
          <w:szCs w:val="22"/>
          <w:lang w:eastAsia="ko-KR"/>
        </w:rPr>
        <w:t xml:space="preserve">environmental and social safeguards </w:t>
      </w:r>
      <w:r w:rsidR="0094698A">
        <w:rPr>
          <w:rFonts w:ascii="Calibri" w:eastAsia="Calibri" w:hAnsi="Calibri" w:cs="Times New Roman"/>
          <w:color w:val="auto"/>
          <w:sz w:val="22"/>
          <w:szCs w:val="22"/>
          <w:lang w:eastAsia="ko-KR"/>
        </w:rPr>
        <w:t>documents</w:t>
      </w:r>
      <w:r w:rsidRPr="002E1A3F">
        <w:rPr>
          <w:rFonts w:ascii="Calibri" w:eastAsia="Calibri" w:hAnsi="Calibri" w:cs="Times New Roman"/>
          <w:color w:val="auto"/>
          <w:sz w:val="22"/>
          <w:szCs w:val="22"/>
          <w:lang w:eastAsia="ko-KR"/>
        </w:rPr>
        <w:t xml:space="preserve"> from the centers. </w:t>
      </w:r>
      <w:r w:rsidR="00117EAF">
        <w:rPr>
          <w:rFonts w:ascii="Calibri" w:eastAsia="Calibri" w:hAnsi="Calibri" w:cs="Times New Roman"/>
          <w:color w:val="auto"/>
          <w:sz w:val="22"/>
          <w:szCs w:val="22"/>
          <w:lang w:eastAsia="ko-KR"/>
        </w:rPr>
        <w:t>O</w:t>
      </w:r>
      <w:r w:rsidR="00117EAF" w:rsidRPr="00117EAF">
        <w:rPr>
          <w:rFonts w:ascii="Calibri" w:eastAsia="Calibri" w:hAnsi="Calibri" w:cs="Times New Roman"/>
          <w:color w:val="auto"/>
          <w:sz w:val="22"/>
          <w:szCs w:val="22"/>
          <w:lang w:eastAsia="ko-KR"/>
        </w:rPr>
        <w:t>n an annual basis performance metrics will be agreed on based on the RFU annual work plans and budgets. The RFU will be evaluated</w:t>
      </w:r>
      <w:r w:rsidR="00BC66F0">
        <w:rPr>
          <w:rFonts w:ascii="Calibri" w:eastAsia="Calibri" w:hAnsi="Calibri" w:cs="Times New Roman"/>
          <w:color w:val="auto"/>
          <w:sz w:val="22"/>
          <w:szCs w:val="22"/>
          <w:lang w:eastAsia="ko-KR"/>
        </w:rPr>
        <w:t xml:space="preserve"> </w:t>
      </w:r>
      <w:r w:rsidR="00117EAF" w:rsidRPr="00117EAF">
        <w:rPr>
          <w:rFonts w:ascii="Calibri" w:eastAsia="Calibri" w:hAnsi="Calibri" w:cs="Times New Roman"/>
          <w:color w:val="auto"/>
          <w:sz w:val="22"/>
          <w:szCs w:val="22"/>
          <w:lang w:eastAsia="ko-KR"/>
        </w:rPr>
        <w:t>at the end of each year on the basis of such performance metrics</w:t>
      </w:r>
    </w:p>
    <w:p w14:paraId="033B28B1" w14:textId="77777777" w:rsidR="002E1A3F" w:rsidRPr="002E1A3F" w:rsidRDefault="00B00100" w:rsidP="008E2709">
      <w:pPr>
        <w:widowControl/>
        <w:numPr>
          <w:ilvl w:val="0"/>
          <w:numId w:val="12"/>
        </w:numPr>
        <w:autoSpaceDE/>
        <w:autoSpaceDN/>
        <w:adjustRightInd/>
        <w:spacing w:after="240"/>
        <w:ind w:left="0" w:firstLine="0"/>
        <w:jc w:val="both"/>
        <w:rPr>
          <w:rFonts w:ascii="Calibri" w:eastAsia="Calibri" w:hAnsi="Calibri" w:cs="Times New Roman"/>
          <w:color w:val="auto"/>
          <w:sz w:val="22"/>
          <w:szCs w:val="22"/>
          <w:lang w:eastAsia="ko-KR"/>
        </w:rPr>
      </w:pPr>
      <w:r w:rsidRPr="002E1A3F">
        <w:rPr>
          <w:rFonts w:ascii="Calibri" w:eastAsia="Calibri" w:hAnsi="Calibri" w:cs="Times New Roman"/>
          <w:color w:val="auto"/>
          <w:sz w:val="22"/>
          <w:szCs w:val="22"/>
          <w:lang w:eastAsia="ko-KR"/>
        </w:rPr>
        <w:t xml:space="preserve">Funds under Component 3 will be disbursed to the RFU against a statement of expenditures (SoE), based on an annual work plan and a procurement plan agreed upon with the PSC and the World Bank. The RFU will report to the PSC and the World Bank through semi-annual meetings. </w:t>
      </w:r>
    </w:p>
    <w:p w14:paraId="0F94CB98" w14:textId="77777777" w:rsidR="002E1A3F" w:rsidRPr="002E1A3F" w:rsidRDefault="00B00100" w:rsidP="008E2709">
      <w:pPr>
        <w:widowControl/>
        <w:numPr>
          <w:ilvl w:val="6"/>
          <w:numId w:val="10"/>
        </w:numPr>
        <w:autoSpaceDE/>
        <w:autoSpaceDN/>
        <w:adjustRightInd/>
        <w:spacing w:after="240"/>
        <w:rPr>
          <w:rFonts w:ascii="Calibri" w:eastAsia="Times New Roman" w:hAnsi="Calibri" w:cs="Times New Roman"/>
          <w:b/>
          <w:color w:val="0070C0"/>
          <w:sz w:val="22"/>
          <w:szCs w:val="22"/>
        </w:rPr>
      </w:pPr>
      <w:r w:rsidRPr="002E1A3F">
        <w:rPr>
          <w:rFonts w:ascii="Calibri" w:eastAsia="Times New Roman" w:hAnsi="Calibri" w:cs="Times New Roman"/>
          <w:b/>
          <w:color w:val="0070C0"/>
          <w:sz w:val="22"/>
          <w:szCs w:val="22"/>
        </w:rPr>
        <w:t>National Steering Committee (NSC)</w:t>
      </w:r>
    </w:p>
    <w:p w14:paraId="5A535006" w14:textId="77777777" w:rsidR="002E1A3F" w:rsidRPr="002E1A3F" w:rsidRDefault="00B00100" w:rsidP="008E2709">
      <w:pPr>
        <w:widowControl/>
        <w:numPr>
          <w:ilvl w:val="0"/>
          <w:numId w:val="12"/>
        </w:numPr>
        <w:autoSpaceDE/>
        <w:autoSpaceDN/>
        <w:adjustRightInd/>
        <w:spacing w:after="120"/>
        <w:ind w:left="0" w:firstLine="0"/>
        <w:jc w:val="both"/>
        <w:rPr>
          <w:rFonts w:ascii="Calibri" w:eastAsia="Calibri" w:hAnsi="Calibri" w:cs="Times New Roman"/>
          <w:color w:val="auto"/>
          <w:sz w:val="22"/>
          <w:szCs w:val="22"/>
          <w:lang w:eastAsia="ko-KR"/>
        </w:rPr>
      </w:pPr>
      <w:bookmarkStart w:id="393" w:name="_Hlk982300"/>
      <w:r w:rsidRPr="002E1A3F">
        <w:rPr>
          <w:rFonts w:ascii="Calibri" w:eastAsia="Calibri" w:hAnsi="Calibri" w:cs="Times New Roman"/>
          <w:color w:val="auto"/>
          <w:sz w:val="22"/>
          <w:szCs w:val="22"/>
          <w:lang w:eastAsia="ko-KR"/>
        </w:rPr>
        <w:t>Project implementation support and supervision at the national level will be undertaken by the NSC. The mandate will be to receive and review reports, work</w:t>
      </w:r>
      <w:r w:rsidR="00D03094">
        <w:rPr>
          <w:rFonts w:ascii="Calibri" w:eastAsia="Calibri" w:hAnsi="Calibri" w:cs="Times New Roman"/>
          <w:color w:val="auto"/>
          <w:sz w:val="22"/>
          <w:szCs w:val="22"/>
          <w:lang w:eastAsia="ko-KR"/>
        </w:rPr>
        <w:t xml:space="preserve"> </w:t>
      </w:r>
      <w:r w:rsidRPr="002E1A3F">
        <w:rPr>
          <w:rFonts w:ascii="Calibri" w:eastAsia="Calibri" w:hAnsi="Calibri" w:cs="Times New Roman"/>
          <w:color w:val="auto"/>
          <w:sz w:val="22"/>
          <w:szCs w:val="22"/>
          <w:lang w:eastAsia="ko-KR"/>
        </w:rPr>
        <w:t>plans and budgets funded under Component 1</w:t>
      </w:r>
      <w:r w:rsidR="00D03094">
        <w:rPr>
          <w:rFonts w:ascii="Calibri" w:eastAsia="Calibri" w:hAnsi="Calibri" w:cs="Times New Roman"/>
          <w:color w:val="auto"/>
          <w:sz w:val="22"/>
          <w:szCs w:val="22"/>
          <w:lang w:eastAsia="ko-KR"/>
        </w:rPr>
        <w:t>,</w:t>
      </w:r>
      <w:r w:rsidRPr="002E1A3F">
        <w:rPr>
          <w:rFonts w:ascii="Calibri" w:eastAsia="Calibri" w:hAnsi="Calibri" w:cs="Times New Roman"/>
          <w:color w:val="auto"/>
          <w:sz w:val="22"/>
          <w:szCs w:val="22"/>
          <w:lang w:eastAsia="ko-KR"/>
        </w:rPr>
        <w:t xml:space="preserve"> Sub-component 2.1 and Sub-component 3.2 in that country. The detailed ToRs are included in the POM. The specific tasks of the NSC will include the following:</w:t>
      </w:r>
    </w:p>
    <w:p w14:paraId="4931E3CD" w14:textId="77777777" w:rsidR="002E1A3F" w:rsidRPr="002E1A3F" w:rsidRDefault="00B00100" w:rsidP="008E2709">
      <w:pPr>
        <w:widowControl/>
        <w:numPr>
          <w:ilvl w:val="0"/>
          <w:numId w:val="18"/>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Undertaking semi-annual performance and progress reviews for the selected centers in the country and national facilitation agency (in the case of Nigeria), including </w:t>
      </w:r>
      <w:r w:rsidR="00B743BC">
        <w:rPr>
          <w:rFonts w:ascii="Calibri" w:eastAsia="Calibri" w:hAnsi="Calibri" w:cs="Times New Roman"/>
          <w:color w:val="auto"/>
          <w:sz w:val="22"/>
          <w:szCs w:val="22"/>
        </w:rPr>
        <w:t xml:space="preserve">discussing and </w:t>
      </w:r>
      <w:r w:rsidRPr="002E1A3F">
        <w:rPr>
          <w:rFonts w:ascii="Calibri" w:eastAsia="Calibri" w:hAnsi="Calibri" w:cs="Times New Roman"/>
          <w:color w:val="auto"/>
          <w:sz w:val="22"/>
          <w:szCs w:val="22"/>
        </w:rPr>
        <w:t>reviewing of the implementation plans, annual workplans, annual budgets, IFRs, results (achievements of DLRs and fund utilization)</w:t>
      </w:r>
      <w:r w:rsidR="00B743BC">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procurement and FM annual audits</w:t>
      </w:r>
      <w:r w:rsidR="00B743BC">
        <w:rPr>
          <w:rFonts w:ascii="Calibri" w:eastAsia="Calibri" w:hAnsi="Calibri" w:cs="Times New Roman"/>
          <w:color w:val="auto"/>
          <w:sz w:val="22"/>
          <w:szCs w:val="22"/>
        </w:rPr>
        <w:t>, and environmental and social safeguards matters</w:t>
      </w:r>
      <w:r w:rsidRPr="002E1A3F">
        <w:rPr>
          <w:rFonts w:ascii="Calibri" w:eastAsia="Calibri" w:hAnsi="Calibri" w:cs="Times New Roman"/>
          <w:color w:val="auto"/>
          <w:sz w:val="22"/>
          <w:szCs w:val="22"/>
        </w:rPr>
        <w:t xml:space="preserve">.  </w:t>
      </w:r>
    </w:p>
    <w:p w14:paraId="19FCFF59" w14:textId="77777777" w:rsidR="002E1A3F" w:rsidRPr="002E1A3F" w:rsidRDefault="00B00100" w:rsidP="008E2709">
      <w:pPr>
        <w:widowControl/>
        <w:numPr>
          <w:ilvl w:val="0"/>
          <w:numId w:val="39"/>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Overseeing audits (be informed about the ToR</w:t>
      </w:r>
      <w:r w:rsidR="006A19EA">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for the annual audit, and oversee follow-up on recommendations in the annual audit report presented by the selected centers in case the individual university audit oversight mechanisms are not adequately functional);</w:t>
      </w:r>
    </w:p>
    <w:p w14:paraId="19DCC4F0" w14:textId="77777777" w:rsidR="002E1A3F" w:rsidRPr="002E1A3F" w:rsidRDefault="00B00100" w:rsidP="008E2709">
      <w:pPr>
        <w:widowControl/>
        <w:numPr>
          <w:ilvl w:val="0"/>
          <w:numId w:val="39"/>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Reviewing the adherence to national procurement and FM guidelines for each center(s);</w:t>
      </w:r>
    </w:p>
    <w:p w14:paraId="457BE93A" w14:textId="77777777" w:rsidR="002E1A3F" w:rsidRPr="002E1A3F" w:rsidRDefault="00B00100" w:rsidP="008E2709">
      <w:pPr>
        <w:widowControl/>
        <w:numPr>
          <w:ilvl w:val="0"/>
          <w:numId w:val="18"/>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Discussing at NSC meetings the alignment with national strategies and support the center(s) to foster linkages with relevant governmental bodies and line ministries;</w:t>
      </w:r>
    </w:p>
    <w:p w14:paraId="3DAF3F32" w14:textId="77777777" w:rsidR="002E1A3F" w:rsidRPr="002E1A3F" w:rsidRDefault="00B00100" w:rsidP="008E2709">
      <w:pPr>
        <w:widowControl/>
        <w:numPr>
          <w:ilvl w:val="0"/>
          <w:numId w:val="18"/>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Recommending changes to center-specific </w:t>
      </w:r>
      <w:r w:rsidR="00160905">
        <w:rPr>
          <w:rFonts w:ascii="Calibri" w:eastAsia="Calibri" w:hAnsi="Calibri" w:cs="Times New Roman"/>
          <w:color w:val="auto"/>
          <w:sz w:val="22"/>
          <w:szCs w:val="22"/>
        </w:rPr>
        <w:t>i</w:t>
      </w:r>
      <w:r w:rsidRPr="002E1A3F">
        <w:rPr>
          <w:rFonts w:ascii="Calibri" w:eastAsia="Calibri" w:hAnsi="Calibri" w:cs="Times New Roman"/>
          <w:color w:val="auto"/>
          <w:sz w:val="22"/>
          <w:szCs w:val="22"/>
        </w:rPr>
        <w:t xml:space="preserve">mplementation </w:t>
      </w:r>
      <w:r w:rsidR="00160905">
        <w:rPr>
          <w:rFonts w:ascii="Calibri" w:eastAsia="Calibri" w:hAnsi="Calibri" w:cs="Times New Roman"/>
          <w:color w:val="auto"/>
          <w:sz w:val="22"/>
          <w:szCs w:val="22"/>
        </w:rPr>
        <w:t>p</w:t>
      </w:r>
      <w:r w:rsidRPr="002E1A3F">
        <w:rPr>
          <w:rFonts w:ascii="Calibri" w:eastAsia="Calibri" w:hAnsi="Calibri" w:cs="Times New Roman"/>
          <w:color w:val="auto"/>
          <w:sz w:val="22"/>
          <w:szCs w:val="22"/>
        </w:rPr>
        <w:t>lan(s) and decisions to be considered by the PSC; and</w:t>
      </w:r>
    </w:p>
    <w:p w14:paraId="071834F0" w14:textId="77777777" w:rsidR="002E1A3F" w:rsidRPr="002E1A3F" w:rsidRDefault="00B00100" w:rsidP="008E2709">
      <w:pPr>
        <w:widowControl/>
        <w:numPr>
          <w:ilvl w:val="0"/>
          <w:numId w:val="18"/>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Monitoring of overall progress of the program with a special focus on delays, problems and bottlenecks (approval of progress reports, decisions on follow-up activities presented by the selected centers).</w:t>
      </w:r>
    </w:p>
    <w:bookmarkEnd w:id="393"/>
    <w:p w14:paraId="46B39183" w14:textId="77777777" w:rsidR="002E1A3F" w:rsidRPr="002E1A3F" w:rsidRDefault="00B00100" w:rsidP="008E2709">
      <w:pPr>
        <w:widowControl/>
        <w:numPr>
          <w:ilvl w:val="0"/>
          <w:numId w:val="12"/>
        </w:numPr>
        <w:autoSpaceDE/>
        <w:autoSpaceDN/>
        <w:adjustRightInd/>
        <w:spacing w:after="240"/>
        <w:ind w:left="0" w:firstLine="0"/>
        <w:jc w:val="both"/>
        <w:rPr>
          <w:rFonts w:ascii="Calibri" w:eastAsia="Calibri" w:hAnsi="Calibri" w:cs="Times New Roman"/>
          <w:color w:val="auto"/>
          <w:sz w:val="22"/>
          <w:szCs w:val="22"/>
          <w:lang w:eastAsia="ko-KR"/>
        </w:rPr>
      </w:pPr>
      <w:r w:rsidRPr="002E1A3F">
        <w:rPr>
          <w:rFonts w:ascii="Calibri" w:eastAsia="Calibri" w:hAnsi="Calibri" w:cs="Times New Roman"/>
          <w:b/>
          <w:color w:val="auto"/>
          <w:sz w:val="22"/>
          <w:szCs w:val="22"/>
        </w:rPr>
        <w:t xml:space="preserve">Composition of the </w:t>
      </w:r>
      <w:r w:rsidRPr="002E1A3F">
        <w:rPr>
          <w:rFonts w:ascii="Calibri" w:eastAsia="Calibri" w:hAnsi="Calibri" w:cs="Times New Roman"/>
          <w:b/>
          <w:color w:val="auto"/>
          <w:sz w:val="22"/>
          <w:szCs w:val="22"/>
          <w:lang w:eastAsia="ko-KR"/>
        </w:rPr>
        <w:t>NSC</w:t>
      </w:r>
      <w:r w:rsidRPr="002E1A3F">
        <w:rPr>
          <w:rFonts w:ascii="Calibri" w:eastAsia="Calibri" w:hAnsi="Calibri" w:cs="Times New Roman"/>
          <w:color w:val="auto"/>
          <w:sz w:val="22"/>
          <w:szCs w:val="22"/>
          <w:lang w:eastAsia="ko-KR"/>
        </w:rPr>
        <w:t xml:space="preserve"> will include representation from the Ministry and/or agency responsible for higher education, which is expected to be the chair and convener, related Ministries of the selected centers, MoF and the selected centers.  The NSC will have approximately five to seven members.</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This committee will meet semi-annually. </w:t>
      </w:r>
      <w:r w:rsidR="006A19EA">
        <w:rPr>
          <w:rFonts w:ascii="Calibri" w:eastAsia="Calibri" w:hAnsi="Calibri" w:cs="Times New Roman"/>
          <w:color w:val="auto"/>
          <w:sz w:val="22"/>
          <w:szCs w:val="22"/>
          <w:lang w:eastAsia="ko-KR"/>
        </w:rPr>
        <w:t>The c</w:t>
      </w:r>
      <w:r w:rsidRPr="002E1A3F">
        <w:rPr>
          <w:rFonts w:ascii="Calibri" w:eastAsia="Calibri" w:hAnsi="Calibri" w:cs="Times New Roman"/>
          <w:color w:val="auto"/>
          <w:sz w:val="22"/>
          <w:szCs w:val="22"/>
          <w:lang w:eastAsia="ko-KR"/>
        </w:rPr>
        <w:t xml:space="preserve">omposition and ToRs </w:t>
      </w:r>
      <w:r w:rsidR="006A19EA">
        <w:rPr>
          <w:rFonts w:ascii="Calibri" w:eastAsia="Calibri" w:hAnsi="Calibri" w:cs="Times New Roman"/>
          <w:color w:val="auto"/>
          <w:sz w:val="22"/>
          <w:szCs w:val="22"/>
          <w:lang w:eastAsia="ko-KR"/>
        </w:rPr>
        <w:t xml:space="preserve">for the NSC </w:t>
      </w:r>
      <w:r w:rsidRPr="002E1A3F">
        <w:rPr>
          <w:rFonts w:ascii="Calibri" w:eastAsia="Calibri" w:hAnsi="Calibri" w:cs="Times New Roman"/>
          <w:color w:val="auto"/>
          <w:sz w:val="22"/>
          <w:szCs w:val="22"/>
          <w:lang w:eastAsia="ko-KR"/>
        </w:rPr>
        <w:t>can vary between countries. The model ToRs are in the POM</w:t>
      </w:r>
      <w:r w:rsidRPr="002E1A3F">
        <w:rPr>
          <w:rFonts w:ascii="Batang" w:eastAsia="Batang" w:hAnsi="Batang" w:cs="Batang"/>
          <w:color w:val="auto"/>
          <w:sz w:val="22"/>
          <w:szCs w:val="22"/>
          <w:lang w:eastAsia="ko-KR"/>
        </w:rPr>
        <w:t xml:space="preserve">. </w:t>
      </w:r>
    </w:p>
    <w:p w14:paraId="71E21C83"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To participate in the NSC meetings, center representatives will pay for their own travel expenses through</w:t>
      </w:r>
      <w:r w:rsidR="0033458D">
        <w:rPr>
          <w:rFonts w:ascii="Calibri" w:eastAsia="Calibri" w:hAnsi="Calibri" w:cs="Times New Roman"/>
          <w:color w:val="auto"/>
          <w:sz w:val="22"/>
          <w:szCs w:val="22"/>
          <w:lang w:eastAsia="ko-KR"/>
        </w:rPr>
        <w:t>out</w:t>
      </w:r>
      <w:r w:rsidRPr="002E1A3F">
        <w:rPr>
          <w:rFonts w:ascii="Calibri" w:eastAsia="Calibri" w:hAnsi="Calibri" w:cs="Times New Roman"/>
          <w:color w:val="auto"/>
          <w:sz w:val="22"/>
          <w:szCs w:val="22"/>
          <w:lang w:eastAsia="ko-KR"/>
        </w:rPr>
        <w:t xml:space="preserve"> the project while the government representatives will be government financed. Similarly, NUC </w:t>
      </w:r>
      <w:r w:rsidRPr="002E1A3F">
        <w:rPr>
          <w:rFonts w:ascii="Calibri" w:eastAsia="Calibri" w:hAnsi="Calibri" w:cs="Times New Roman"/>
          <w:color w:val="auto"/>
          <w:sz w:val="22"/>
          <w:szCs w:val="22"/>
          <w:lang w:eastAsia="ko-KR"/>
        </w:rPr>
        <w:lastRenderedPageBreak/>
        <w:t xml:space="preserve">will pay for its own travel expenses through its own funds under </w:t>
      </w:r>
      <w:r w:rsidR="00D03094">
        <w:rPr>
          <w:rFonts w:ascii="Calibri" w:eastAsia="Calibri" w:hAnsi="Calibri" w:cs="Times New Roman"/>
          <w:color w:val="auto"/>
          <w:sz w:val="22"/>
          <w:szCs w:val="22"/>
          <w:lang w:eastAsia="ko-KR"/>
        </w:rPr>
        <w:t>C</w:t>
      </w:r>
      <w:r w:rsidRPr="002E1A3F">
        <w:rPr>
          <w:rFonts w:ascii="Calibri" w:eastAsia="Calibri" w:hAnsi="Calibri" w:cs="Times New Roman"/>
          <w:color w:val="auto"/>
          <w:sz w:val="22"/>
          <w:szCs w:val="22"/>
          <w:lang w:eastAsia="ko-KR"/>
        </w:rPr>
        <w:t xml:space="preserve">omponent 3 of the </w:t>
      </w:r>
      <w:r w:rsidR="006A19EA">
        <w:rPr>
          <w:rFonts w:ascii="Calibri" w:eastAsia="Calibri" w:hAnsi="Calibri" w:cs="Times New Roman"/>
          <w:color w:val="auto"/>
          <w:sz w:val="22"/>
          <w:szCs w:val="22"/>
          <w:lang w:eastAsia="ko-KR"/>
        </w:rPr>
        <w:t xml:space="preserve">proposed </w:t>
      </w:r>
      <w:r w:rsidRPr="002E1A3F">
        <w:rPr>
          <w:rFonts w:ascii="Calibri" w:eastAsia="Calibri" w:hAnsi="Calibri" w:cs="Times New Roman"/>
          <w:color w:val="auto"/>
          <w:sz w:val="22"/>
          <w:szCs w:val="22"/>
          <w:lang w:eastAsia="ko-KR"/>
        </w:rPr>
        <w:t xml:space="preserve">Second ACE Impact. </w:t>
      </w:r>
      <w:r w:rsidR="007D0DDE">
        <w:rPr>
          <w:rFonts w:ascii="Calibri" w:eastAsia="Calibri" w:hAnsi="Calibri" w:cs="Times New Roman"/>
          <w:color w:val="auto"/>
          <w:sz w:val="22"/>
          <w:szCs w:val="22"/>
          <w:lang w:eastAsia="ko-KR"/>
        </w:rPr>
        <w:t>I</w:t>
      </w:r>
      <w:r w:rsidR="007D0DDE" w:rsidRPr="002E1A3F">
        <w:rPr>
          <w:rFonts w:ascii="Calibri" w:eastAsia="Calibri" w:hAnsi="Calibri" w:cs="Times New Roman"/>
          <w:color w:val="auto"/>
          <w:sz w:val="22"/>
          <w:szCs w:val="22"/>
          <w:lang w:eastAsia="ko-KR"/>
        </w:rPr>
        <w:t xml:space="preserve">f </w:t>
      </w:r>
      <w:r w:rsidR="007D0DDE">
        <w:rPr>
          <w:rFonts w:ascii="Calibri" w:eastAsia="Calibri" w:hAnsi="Calibri" w:cs="Times New Roman"/>
          <w:color w:val="auto"/>
          <w:sz w:val="22"/>
          <w:szCs w:val="22"/>
          <w:lang w:eastAsia="ko-KR"/>
        </w:rPr>
        <w:t xml:space="preserve">staff from the RFU are </w:t>
      </w:r>
      <w:r w:rsidR="007D0DDE" w:rsidRPr="002E1A3F">
        <w:rPr>
          <w:rFonts w:ascii="Calibri" w:eastAsia="Calibri" w:hAnsi="Calibri" w:cs="Times New Roman"/>
          <w:color w:val="auto"/>
          <w:sz w:val="22"/>
          <w:szCs w:val="22"/>
          <w:lang w:eastAsia="ko-KR"/>
        </w:rPr>
        <w:t xml:space="preserve">attending such meetings, </w:t>
      </w:r>
      <w:r w:rsidR="007D0DDE">
        <w:rPr>
          <w:rFonts w:ascii="Calibri" w:eastAsia="Calibri" w:hAnsi="Calibri" w:cs="Times New Roman"/>
          <w:color w:val="auto"/>
          <w:sz w:val="22"/>
          <w:szCs w:val="22"/>
          <w:lang w:eastAsia="ko-KR"/>
        </w:rPr>
        <w:t>t</w:t>
      </w:r>
      <w:r w:rsidRPr="002E1A3F">
        <w:rPr>
          <w:rFonts w:ascii="Calibri" w:eastAsia="Calibri" w:hAnsi="Calibri" w:cs="Times New Roman"/>
          <w:color w:val="auto"/>
          <w:sz w:val="22"/>
          <w:szCs w:val="22"/>
          <w:lang w:eastAsia="ko-KR"/>
        </w:rPr>
        <w:t xml:space="preserve">he RFU will cover </w:t>
      </w:r>
      <w:r w:rsidR="00190509">
        <w:rPr>
          <w:rFonts w:ascii="Calibri" w:eastAsia="Calibri" w:hAnsi="Calibri" w:cs="Times New Roman"/>
          <w:color w:val="auto"/>
          <w:sz w:val="22"/>
          <w:szCs w:val="22"/>
          <w:lang w:eastAsia="ko-KR"/>
        </w:rPr>
        <w:t>their</w:t>
      </w:r>
      <w:r w:rsidRPr="002E1A3F">
        <w:rPr>
          <w:rFonts w:ascii="Calibri" w:eastAsia="Calibri" w:hAnsi="Calibri" w:cs="Times New Roman"/>
          <w:color w:val="auto"/>
          <w:sz w:val="22"/>
          <w:szCs w:val="22"/>
          <w:lang w:eastAsia="ko-KR"/>
        </w:rPr>
        <w:t xml:space="preserve"> costs out of Sub-component</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3.1 of the First ACE Impact</w:t>
      </w:r>
      <w:r w:rsidR="006A19EA">
        <w:rPr>
          <w:rFonts w:ascii="Calibri" w:eastAsia="Calibri" w:hAnsi="Calibri" w:cs="Times New Roman"/>
          <w:color w:val="auto"/>
          <w:sz w:val="22"/>
          <w:szCs w:val="22"/>
          <w:lang w:eastAsia="ko-KR"/>
        </w:rPr>
        <w:t xml:space="preserve"> Project financing</w:t>
      </w:r>
      <w:r w:rsidRPr="002E1A3F">
        <w:rPr>
          <w:rFonts w:ascii="Batang" w:eastAsia="Batang" w:hAnsi="Batang" w:cs="Batang"/>
          <w:color w:val="auto"/>
          <w:sz w:val="22"/>
          <w:szCs w:val="22"/>
          <w:lang w:eastAsia="ko-KR"/>
        </w:rPr>
        <w:t>.</w:t>
      </w:r>
      <w:r w:rsidRPr="002E1A3F">
        <w:rPr>
          <w:rFonts w:ascii="Calibri" w:eastAsia="Calibri" w:hAnsi="Calibri" w:cs="Times New Roman"/>
          <w:color w:val="auto"/>
          <w:sz w:val="22"/>
          <w:szCs w:val="22"/>
          <w:lang w:eastAsia="ko-KR"/>
        </w:rPr>
        <w:t xml:space="preserve"> Minor logistical and review expenses for the preparation and facilitation of meetings of the NSC will be financed and managed by the centers. Such expenditures will be clearly identified. Capacity-building of NSC members can only be undertaken via the RFU. </w:t>
      </w:r>
    </w:p>
    <w:p w14:paraId="0A6CCA33" w14:textId="77777777" w:rsidR="002E1A3F" w:rsidRPr="002E1A3F" w:rsidRDefault="00B00100" w:rsidP="008E2709">
      <w:pPr>
        <w:widowControl/>
        <w:numPr>
          <w:ilvl w:val="6"/>
          <w:numId w:val="10"/>
        </w:numPr>
        <w:autoSpaceDE/>
        <w:autoSpaceDN/>
        <w:adjustRightInd/>
        <w:spacing w:after="240"/>
        <w:rPr>
          <w:rFonts w:ascii="Calibri" w:eastAsia="Times New Roman" w:hAnsi="Calibri" w:cs="Times New Roman"/>
          <w:b/>
          <w:color w:val="0070C0"/>
          <w:sz w:val="22"/>
          <w:szCs w:val="22"/>
        </w:rPr>
      </w:pPr>
      <w:r w:rsidRPr="002E1A3F">
        <w:rPr>
          <w:rFonts w:ascii="Calibri" w:eastAsia="Times New Roman" w:hAnsi="Calibri" w:cs="Times New Roman"/>
          <w:b/>
          <w:color w:val="0070C0"/>
          <w:sz w:val="22"/>
          <w:szCs w:val="22"/>
        </w:rPr>
        <w:t>Project Steering Committee (PSC)</w:t>
      </w:r>
    </w:p>
    <w:p w14:paraId="0A95BCB4"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 xml:space="preserve">The role of the PSC is to oversee and guide the project, </w:t>
      </w:r>
      <w:r w:rsidRPr="002E1A3F">
        <w:rPr>
          <w:rFonts w:ascii="Calibri" w:eastAsia="Calibri" w:hAnsi="Calibri" w:cs="Calibri"/>
          <w:sz w:val="22"/>
          <w:szCs w:val="22"/>
        </w:rPr>
        <w:t>ensuring that the PDO</w:t>
      </w:r>
      <w:r w:rsidR="006A19EA">
        <w:rPr>
          <w:rFonts w:ascii="Calibri" w:eastAsia="Calibri" w:hAnsi="Calibri" w:cs="Calibri"/>
          <w:sz w:val="22"/>
          <w:szCs w:val="22"/>
        </w:rPr>
        <w:t xml:space="preserve"> is </w:t>
      </w:r>
      <w:r w:rsidRPr="002E1A3F">
        <w:rPr>
          <w:rFonts w:ascii="Calibri" w:eastAsia="Calibri" w:hAnsi="Calibri" w:cs="Calibri"/>
          <w:sz w:val="22"/>
          <w:szCs w:val="22"/>
        </w:rPr>
        <w:t>achieved</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The PSC will also be responsible for advocating for regional collaboration in higher education and will act as a liaison between the project and regional leadership as well as with the public at large.  The RFU will support the PSC by serving as its secretariat. The PSC will meet in-person once a year at the Ministerial level and twice a year at the representative level.</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Virtual meetings at the representative level will also be held on an as needed basis. The full ToRs are provided in the POM</w:t>
      </w:r>
      <w:r w:rsidRPr="002E1A3F">
        <w:rPr>
          <w:rFonts w:ascii="Batang" w:eastAsia="Batang" w:hAnsi="Batang" w:cs="Batang"/>
          <w:color w:val="auto"/>
          <w:sz w:val="22"/>
          <w:szCs w:val="22"/>
          <w:lang w:eastAsia="ko-KR"/>
        </w:rPr>
        <w:t xml:space="preserve">. </w:t>
      </w:r>
    </w:p>
    <w:p w14:paraId="2D750561"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Unless otherwise stated, the key tasks of the PSC listed below will be conducted by the representative level. The key tasks of the PSC are</w:t>
      </w:r>
      <w:r w:rsidRPr="002E1A3F">
        <w:rPr>
          <w:rFonts w:ascii="Batang" w:eastAsia="Batang" w:hAnsi="Batang" w:cs="Batang"/>
          <w:color w:val="auto"/>
          <w:sz w:val="22"/>
          <w:szCs w:val="22"/>
          <w:lang w:eastAsia="ko-KR"/>
        </w:rPr>
        <w:t>:</w:t>
      </w:r>
    </w:p>
    <w:p w14:paraId="7D5C38B8"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Make strategic decisions to ensure the continued coherence between the program support and sector and regional development priorities (by Ministerial level PSC);</w:t>
      </w:r>
    </w:p>
    <w:p w14:paraId="55F8ECEB"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Sign-off on the call for proposals, process of project evaluation and other aspects of the project design;</w:t>
      </w:r>
    </w:p>
    <w:p w14:paraId="49A5D9CC"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Consider the findings and recommendations of the independent evaluation committee (as facilitated by the RFU) in making the final selection of the ACE centers and validation of the Emerging centers, while ensuring thematic, geographic, linguistic and gender balance (by the Ministerial level PSC);</w:t>
      </w:r>
    </w:p>
    <w:p w14:paraId="7AA14C8F"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Make decisions </w:t>
      </w:r>
      <w:r w:rsidR="00B743BC">
        <w:rPr>
          <w:rFonts w:ascii="Calibri" w:eastAsia="Calibri" w:hAnsi="Calibri" w:cs="Times New Roman"/>
          <w:color w:val="auto"/>
          <w:sz w:val="22"/>
          <w:szCs w:val="22"/>
        </w:rPr>
        <w:t xml:space="preserve">(acceptable to the World Bank) </w:t>
      </w:r>
      <w:r w:rsidRPr="002E1A3F">
        <w:rPr>
          <w:rFonts w:ascii="Calibri" w:eastAsia="Calibri" w:hAnsi="Calibri" w:cs="Times New Roman"/>
          <w:color w:val="auto"/>
          <w:sz w:val="22"/>
          <w:szCs w:val="22"/>
        </w:rPr>
        <w:t xml:space="preserve">concerning deviations from the project support documents (including the </w:t>
      </w:r>
      <w:r w:rsidR="006A19EA">
        <w:rPr>
          <w:rFonts w:ascii="Calibri" w:eastAsia="Calibri" w:hAnsi="Calibri" w:cs="Times New Roman"/>
          <w:color w:val="auto"/>
          <w:sz w:val="22"/>
          <w:szCs w:val="22"/>
        </w:rPr>
        <w:t>project appraisal document (</w:t>
      </w:r>
      <w:r w:rsidRPr="002E1A3F">
        <w:rPr>
          <w:rFonts w:ascii="Calibri" w:eastAsia="Calibri" w:hAnsi="Calibri" w:cs="Times New Roman"/>
          <w:color w:val="auto"/>
          <w:sz w:val="22"/>
          <w:szCs w:val="22"/>
        </w:rPr>
        <w:t>PAD</w:t>
      </w:r>
      <w:r w:rsidR="006A19EA">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and POM);</w:t>
      </w:r>
    </w:p>
    <w:p w14:paraId="190307E8"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Review and guide the overall progress of the project including</w:t>
      </w:r>
      <w:r w:rsidR="006A19EA">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(a) a special focus on the delays, non- performance of centers, and any other problems and bottlenecks that may inhibit the achievement of the </w:t>
      </w:r>
      <w:r w:rsidR="006A19EA">
        <w:rPr>
          <w:rFonts w:ascii="Calibri" w:eastAsia="Calibri" w:hAnsi="Calibri" w:cs="Times New Roman"/>
          <w:color w:val="auto"/>
          <w:sz w:val="22"/>
          <w:szCs w:val="22"/>
        </w:rPr>
        <w:t>PDO</w:t>
      </w:r>
      <w:r w:rsidRPr="002E1A3F">
        <w:rPr>
          <w:rFonts w:ascii="Calibri" w:eastAsia="Calibri" w:hAnsi="Calibri" w:cs="Times New Roman"/>
          <w:color w:val="auto"/>
          <w:sz w:val="22"/>
          <w:szCs w:val="22"/>
        </w:rPr>
        <w:t xml:space="preserve">; and (b) </w:t>
      </w:r>
      <w:r w:rsidR="006A19EA">
        <w:rPr>
          <w:rFonts w:ascii="Calibri" w:eastAsia="Calibri" w:hAnsi="Calibri" w:cs="Times New Roman"/>
          <w:color w:val="auto"/>
          <w:sz w:val="22"/>
          <w:szCs w:val="22"/>
        </w:rPr>
        <w:t xml:space="preserve">a </w:t>
      </w:r>
      <w:r w:rsidRPr="002E1A3F">
        <w:rPr>
          <w:rFonts w:ascii="Calibri" w:eastAsia="Calibri" w:hAnsi="Calibri" w:cs="Times New Roman"/>
          <w:color w:val="auto"/>
          <w:sz w:val="22"/>
          <w:szCs w:val="22"/>
        </w:rPr>
        <w:t xml:space="preserve">review of progress and approval of </w:t>
      </w:r>
      <w:r w:rsidR="006A19EA">
        <w:rPr>
          <w:rFonts w:ascii="Calibri" w:eastAsia="Calibri" w:hAnsi="Calibri" w:cs="Times New Roman"/>
          <w:color w:val="auto"/>
          <w:sz w:val="22"/>
          <w:szCs w:val="22"/>
        </w:rPr>
        <w:t xml:space="preserve">the </w:t>
      </w:r>
      <w:r w:rsidRPr="002E1A3F">
        <w:rPr>
          <w:rFonts w:ascii="Calibri" w:eastAsia="Calibri" w:hAnsi="Calibri" w:cs="Times New Roman"/>
          <w:color w:val="auto"/>
          <w:sz w:val="22"/>
          <w:szCs w:val="22"/>
        </w:rPr>
        <w:t>work</w:t>
      </w:r>
      <w:r w:rsidR="00D03094">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plan, financial reports and decisions on follow-up activities presented by the RFU;</w:t>
      </w:r>
    </w:p>
    <w:p w14:paraId="24530FCC"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Pr>
          <w:rFonts w:ascii="Calibri" w:eastAsia="Calibri" w:hAnsi="Calibri" w:cs="Times New Roman"/>
          <w:color w:val="auto"/>
          <w:sz w:val="22"/>
          <w:szCs w:val="22"/>
        </w:rPr>
        <w:t xml:space="preserve">Review progress </w:t>
      </w:r>
      <w:r w:rsidR="00467296">
        <w:rPr>
          <w:rFonts w:ascii="Calibri" w:eastAsia="Calibri" w:hAnsi="Calibri" w:cs="Times New Roman"/>
          <w:color w:val="auto"/>
          <w:sz w:val="22"/>
          <w:szCs w:val="22"/>
        </w:rPr>
        <w:t>during implementation</w:t>
      </w:r>
      <w:r>
        <w:rPr>
          <w:rFonts w:ascii="Calibri" w:eastAsia="Calibri" w:hAnsi="Calibri" w:cs="Times New Roman"/>
          <w:color w:val="auto"/>
          <w:sz w:val="22"/>
          <w:szCs w:val="22"/>
        </w:rPr>
        <w:t xml:space="preserve"> in </w:t>
      </w:r>
      <w:r w:rsidR="008021DF">
        <w:rPr>
          <w:rFonts w:ascii="Calibri" w:eastAsia="Calibri" w:hAnsi="Calibri" w:cs="Times New Roman"/>
          <w:color w:val="auto"/>
          <w:sz w:val="22"/>
          <w:szCs w:val="22"/>
        </w:rPr>
        <w:t>incorporati</w:t>
      </w:r>
      <w:r>
        <w:rPr>
          <w:rFonts w:ascii="Calibri" w:eastAsia="Calibri" w:hAnsi="Calibri" w:cs="Times New Roman"/>
          <w:color w:val="auto"/>
          <w:sz w:val="22"/>
          <w:szCs w:val="22"/>
        </w:rPr>
        <w:t>ng</w:t>
      </w:r>
      <w:r w:rsidR="008021DF">
        <w:rPr>
          <w:rFonts w:ascii="Calibri" w:eastAsia="Calibri" w:hAnsi="Calibri" w:cs="Times New Roman"/>
          <w:color w:val="auto"/>
          <w:sz w:val="22"/>
          <w:szCs w:val="22"/>
        </w:rPr>
        <w:t xml:space="preserve"> </w:t>
      </w:r>
      <w:r w:rsidR="004E68F9" w:rsidRPr="002E1A3F">
        <w:rPr>
          <w:rFonts w:ascii="Calibri" w:eastAsia="Calibri" w:hAnsi="Calibri" w:cs="Times New Roman"/>
          <w:color w:val="auto"/>
          <w:sz w:val="22"/>
          <w:szCs w:val="22"/>
        </w:rPr>
        <w:t xml:space="preserve">of cross-cutting </w:t>
      </w:r>
      <w:r w:rsidR="00CF396D">
        <w:rPr>
          <w:rFonts w:ascii="Calibri" w:eastAsia="Calibri" w:hAnsi="Calibri" w:cs="Times New Roman"/>
          <w:color w:val="auto"/>
          <w:sz w:val="22"/>
          <w:szCs w:val="22"/>
        </w:rPr>
        <w:t xml:space="preserve">interventions </w:t>
      </w:r>
      <w:r w:rsidR="004E68F9" w:rsidRPr="002E1A3F">
        <w:rPr>
          <w:rFonts w:ascii="Calibri" w:eastAsia="Calibri" w:hAnsi="Calibri" w:cs="Times New Roman"/>
          <w:color w:val="auto"/>
          <w:sz w:val="22"/>
          <w:szCs w:val="22"/>
        </w:rPr>
        <w:t>as identified in the project documents, e.g. gender and diversity and provide implementation support during visits to the participating institutions on these issues;</w:t>
      </w:r>
    </w:p>
    <w:p w14:paraId="2191C7A6"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Facilitate national, regional, and international networking and outreach activities for the project as a whole;</w:t>
      </w:r>
    </w:p>
    <w:p w14:paraId="70A4EA2B"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Review the extent and performance of ACE Impact partnerships (both academic and sectoral collaborations);</w:t>
      </w:r>
      <w:r w:rsidR="006A19EA">
        <w:rPr>
          <w:rFonts w:ascii="Calibri" w:eastAsia="Calibri" w:hAnsi="Calibri" w:cs="Times New Roman"/>
          <w:color w:val="auto"/>
          <w:sz w:val="22"/>
          <w:szCs w:val="22"/>
        </w:rPr>
        <w:t xml:space="preserve"> and</w:t>
      </w:r>
    </w:p>
    <w:p w14:paraId="01B85CAD" w14:textId="77777777" w:rsidR="002E1A3F" w:rsidRPr="002E1A3F" w:rsidRDefault="00B00100" w:rsidP="008E2709">
      <w:pPr>
        <w:widowControl/>
        <w:numPr>
          <w:ilvl w:val="0"/>
          <w:numId w:val="13"/>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lastRenderedPageBreak/>
        <w:t xml:space="preserve">Oversee audits of the RFU (approval of the annual audit, overseeing follow-up on recommendations in the annual audit report presented by </w:t>
      </w:r>
      <w:r w:rsidR="009A45AF">
        <w:rPr>
          <w:rFonts w:ascii="Calibri" w:eastAsia="Calibri" w:hAnsi="Calibri" w:cs="Times New Roman"/>
          <w:color w:val="auto"/>
          <w:sz w:val="22"/>
          <w:szCs w:val="22"/>
        </w:rPr>
        <w:t xml:space="preserve">the </w:t>
      </w:r>
      <w:r w:rsidRPr="002E1A3F">
        <w:rPr>
          <w:rFonts w:ascii="Calibri" w:eastAsia="Calibri" w:hAnsi="Calibri" w:cs="Times New Roman"/>
          <w:color w:val="auto"/>
          <w:sz w:val="22"/>
          <w:szCs w:val="22"/>
        </w:rPr>
        <w:t>RFU).</w:t>
      </w:r>
    </w:p>
    <w:p w14:paraId="18C7FF70"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Composition of the PSC</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will be such that it will include representation from each country participating in the project.  The PSC</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was constituted by government and regional stakeholders in consultation with the World Bank as part of project preparation. There will be a two-level PSC: Ministerial and government representative levels. The Ministerial-level PSC will consist of Ministers in charge of higher education and ECOWAS. </w:t>
      </w:r>
      <w:bookmarkStart w:id="394" w:name="_Hlk980608"/>
      <w:r w:rsidRPr="002E1A3F">
        <w:rPr>
          <w:rFonts w:ascii="Calibri" w:eastAsia="Calibri" w:hAnsi="Calibri" w:cs="Times New Roman"/>
          <w:color w:val="auto"/>
          <w:sz w:val="22"/>
          <w:szCs w:val="22"/>
          <w:lang w:eastAsia="ko-KR"/>
        </w:rPr>
        <w:t>The Ministry in charge of higher education may assign an ACE Impact focal point who will be a country representative supporting the representative-level PSC member</w:t>
      </w:r>
      <w:r w:rsidRPr="002E1A3F">
        <w:rPr>
          <w:rFonts w:ascii="Batang" w:eastAsia="Batang" w:hAnsi="Batang" w:cs="Batang"/>
          <w:color w:val="auto"/>
          <w:sz w:val="22"/>
          <w:szCs w:val="22"/>
          <w:lang w:eastAsia="ko-KR"/>
        </w:rPr>
        <w:t>.</w:t>
      </w:r>
    </w:p>
    <w:bookmarkEnd w:id="394"/>
    <w:p w14:paraId="4B9F3412"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The representative-level will include the following members:</w:t>
      </w:r>
    </w:p>
    <w:p w14:paraId="359D72DA"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Representation of government/Ministry of Higher Education of each participating country (11 representatives)</w:t>
      </w:r>
    </w:p>
    <w:p w14:paraId="744BE6A4"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Representation by academic experts of international stature representing the disciplines covered under this program (</w:t>
      </w:r>
      <w:r w:rsidR="001815CF">
        <w:rPr>
          <w:rFonts w:ascii="Calibri" w:eastAsia="Calibri" w:hAnsi="Calibri" w:cs="Times New Roman"/>
          <w:color w:val="auto"/>
          <w:sz w:val="22"/>
          <w:szCs w:val="22"/>
        </w:rPr>
        <w:t>two</w:t>
      </w:r>
      <w:r w:rsidRPr="002E1A3F">
        <w:rPr>
          <w:rFonts w:ascii="Calibri" w:eastAsia="Calibri" w:hAnsi="Calibri" w:cs="Times New Roman"/>
          <w:color w:val="auto"/>
          <w:sz w:val="22"/>
          <w:szCs w:val="22"/>
        </w:rPr>
        <w:t xml:space="preserve"> academicians)</w:t>
      </w:r>
    </w:p>
    <w:p w14:paraId="1EDC0C6E"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Representatives from the private sector (</w:t>
      </w:r>
      <w:r w:rsidR="001815CF">
        <w:rPr>
          <w:rFonts w:ascii="Calibri" w:eastAsia="Calibri" w:hAnsi="Calibri" w:cs="Times New Roman"/>
          <w:color w:val="auto"/>
          <w:sz w:val="22"/>
          <w:szCs w:val="22"/>
        </w:rPr>
        <w:t>one</w:t>
      </w:r>
      <w:r w:rsidRPr="002E1A3F">
        <w:rPr>
          <w:rFonts w:ascii="Calibri" w:eastAsia="Calibri" w:hAnsi="Calibri" w:cs="Times New Roman"/>
          <w:color w:val="auto"/>
          <w:sz w:val="22"/>
          <w:szCs w:val="22"/>
        </w:rPr>
        <w:t xml:space="preserve"> private sector representative)</w:t>
      </w:r>
    </w:p>
    <w:p w14:paraId="7AD58C55"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Representatives of the centers (</w:t>
      </w:r>
      <w:r w:rsidR="001815CF">
        <w:rPr>
          <w:rFonts w:ascii="Calibri" w:eastAsia="Calibri" w:hAnsi="Calibri" w:cs="Times New Roman"/>
          <w:color w:val="auto"/>
          <w:sz w:val="22"/>
          <w:szCs w:val="22"/>
        </w:rPr>
        <w:t>one</w:t>
      </w:r>
      <w:r w:rsidRPr="002E1A3F">
        <w:rPr>
          <w:rFonts w:ascii="Calibri" w:eastAsia="Calibri" w:hAnsi="Calibri" w:cs="Times New Roman"/>
          <w:color w:val="auto"/>
          <w:sz w:val="22"/>
          <w:szCs w:val="22"/>
        </w:rPr>
        <w:t xml:space="preserve"> Vice chancellor representing the selected centers)</w:t>
      </w:r>
    </w:p>
    <w:p w14:paraId="6D7597CE"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Representative from ECOWAS (</w:t>
      </w:r>
      <w:r w:rsidR="001815CF">
        <w:rPr>
          <w:rFonts w:ascii="Calibri" w:eastAsia="Calibri" w:hAnsi="Calibri" w:cs="Times New Roman"/>
          <w:color w:val="auto"/>
          <w:sz w:val="22"/>
          <w:szCs w:val="22"/>
        </w:rPr>
        <w:t>one</w:t>
      </w:r>
      <w:r w:rsidRPr="002E1A3F">
        <w:rPr>
          <w:rFonts w:ascii="Calibri" w:eastAsia="Calibri" w:hAnsi="Calibri" w:cs="Times New Roman"/>
          <w:color w:val="auto"/>
          <w:sz w:val="22"/>
          <w:szCs w:val="22"/>
        </w:rPr>
        <w:t>)</w:t>
      </w:r>
    </w:p>
    <w:p w14:paraId="534DAEA6" w14:textId="77777777" w:rsidR="002E1A3F" w:rsidRPr="002E1A3F" w:rsidRDefault="00B00100" w:rsidP="008E2709">
      <w:pPr>
        <w:widowControl/>
        <w:numPr>
          <w:ilvl w:val="0"/>
          <w:numId w:val="35"/>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Representative from UEMOA (</w:t>
      </w:r>
      <w:r w:rsidR="001815CF">
        <w:rPr>
          <w:rFonts w:ascii="Calibri" w:eastAsia="Calibri" w:hAnsi="Calibri" w:cs="Times New Roman"/>
          <w:color w:val="auto"/>
          <w:sz w:val="22"/>
          <w:szCs w:val="22"/>
        </w:rPr>
        <w:t>one</w:t>
      </w:r>
      <w:r w:rsidRPr="002E1A3F">
        <w:rPr>
          <w:rFonts w:ascii="Calibri" w:eastAsia="Calibri" w:hAnsi="Calibri" w:cs="Times New Roman"/>
          <w:color w:val="auto"/>
          <w:sz w:val="22"/>
          <w:szCs w:val="22"/>
        </w:rPr>
        <w:t>)</w:t>
      </w:r>
    </w:p>
    <w:p w14:paraId="6631F709" w14:textId="77777777" w:rsidR="002E1A3F"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The procedures of the PSC meetings will be determined by the Committee itself</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Similar to the processes utilized by the </w:t>
      </w:r>
      <w:r w:rsidR="00BB4A89">
        <w:rPr>
          <w:rFonts w:ascii="Calibri" w:eastAsia="Calibri" w:hAnsi="Calibri" w:cs="Times New Roman"/>
          <w:color w:val="auto"/>
          <w:sz w:val="22"/>
          <w:szCs w:val="22"/>
          <w:lang w:eastAsia="ko-KR"/>
        </w:rPr>
        <w:t>ACE I Project</w:t>
      </w:r>
      <w:r w:rsidRPr="002E1A3F">
        <w:rPr>
          <w:rFonts w:ascii="Calibri" w:eastAsia="Calibri" w:hAnsi="Calibri" w:cs="Times New Roman"/>
          <w:color w:val="auto"/>
          <w:sz w:val="22"/>
          <w:szCs w:val="22"/>
          <w:lang w:eastAsia="ko-KR"/>
        </w:rPr>
        <w:t>, each meeting will be chaired by a Chairperson who will be either the Minister or the representative (depending on the level of the meeting) on the PSC from the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country hosting the meeting. The PSC </w:t>
      </w:r>
      <w:r w:rsidR="009A45AF">
        <w:rPr>
          <w:rFonts w:ascii="Calibri" w:eastAsia="Calibri" w:hAnsi="Calibri" w:cs="Times New Roman"/>
          <w:color w:val="auto"/>
          <w:sz w:val="22"/>
          <w:szCs w:val="22"/>
          <w:lang w:eastAsia="ko-KR"/>
        </w:rPr>
        <w:t xml:space="preserve">will </w:t>
      </w:r>
      <w:r w:rsidRPr="002E1A3F">
        <w:rPr>
          <w:rFonts w:ascii="Calibri" w:eastAsia="Calibri" w:hAnsi="Calibri" w:cs="Times New Roman"/>
          <w:color w:val="auto"/>
          <w:sz w:val="22"/>
          <w:szCs w:val="22"/>
          <w:lang w:eastAsia="ko-KR"/>
        </w:rPr>
        <w:t xml:space="preserve">make decisions on a majority basis. Decisions of the PSC are subject to the project objective, </w:t>
      </w:r>
      <w:r w:rsidRPr="002E1A3F">
        <w:rPr>
          <w:rFonts w:ascii="Calibri" w:eastAsia="Calibri" w:hAnsi="Calibri" w:cs="Times New Roman"/>
          <w:color w:val="auto"/>
          <w:sz w:val="22"/>
          <w:szCs w:val="22"/>
        </w:rPr>
        <w:t>POM</w:t>
      </w:r>
      <w:r w:rsidRPr="002E1A3F">
        <w:rPr>
          <w:rFonts w:ascii="Calibri" w:eastAsia="Calibri" w:hAnsi="Calibri" w:cs="Times New Roman"/>
          <w:color w:val="auto"/>
          <w:sz w:val="22"/>
          <w:szCs w:val="22"/>
          <w:lang w:eastAsia="ko-KR"/>
        </w:rPr>
        <w:t xml:space="preserve"> and FAs as agreed between the World Bank, the governments</w:t>
      </w:r>
      <w:r w:rsidRPr="002E1A3F">
        <w:rPr>
          <w:rFonts w:ascii="Batang" w:eastAsia="Batang" w:hAnsi="Batang" w:cs="Batang"/>
          <w:color w:val="auto"/>
          <w:sz w:val="22"/>
          <w:szCs w:val="22"/>
          <w:lang w:eastAsia="ko-KR"/>
        </w:rPr>
        <w:t>,</w:t>
      </w:r>
      <w:r w:rsidRPr="002E1A3F">
        <w:rPr>
          <w:rFonts w:ascii="Calibri" w:eastAsia="Calibri" w:hAnsi="Calibri" w:cs="Times New Roman"/>
          <w:color w:val="auto"/>
          <w:sz w:val="22"/>
          <w:szCs w:val="22"/>
          <w:lang w:eastAsia="ko-KR"/>
        </w:rPr>
        <w:t xml:space="preserve"> AAU and ECOWAS. The PSC will be able to co-opt external members for advice as it sees fit.</w:t>
      </w:r>
    </w:p>
    <w:p w14:paraId="25DF0138" w14:textId="77777777" w:rsidR="002E1A3F" w:rsidRPr="002E1A3F" w:rsidRDefault="00B00100" w:rsidP="008E2709">
      <w:pPr>
        <w:widowControl/>
        <w:numPr>
          <w:ilvl w:val="0"/>
          <w:numId w:val="12"/>
        </w:numPr>
        <w:autoSpaceDE/>
        <w:autoSpaceDN/>
        <w:adjustRightInd/>
        <w:spacing w:after="240"/>
        <w:ind w:left="0" w:firstLine="0"/>
        <w:jc w:val="both"/>
        <w:rPr>
          <w:rFonts w:ascii="Calibri" w:eastAsia="Calibri" w:hAnsi="Calibri" w:cs="Times New Roman"/>
          <w:color w:val="auto"/>
          <w:sz w:val="22"/>
          <w:szCs w:val="22"/>
          <w:lang w:eastAsia="ko-KR"/>
        </w:rPr>
      </w:pPr>
      <w:r w:rsidRPr="002E1A3F">
        <w:rPr>
          <w:rFonts w:ascii="Calibri" w:eastAsia="Calibri" w:hAnsi="Calibri" w:cs="Times New Roman"/>
          <w:color w:val="auto"/>
          <w:sz w:val="22"/>
          <w:szCs w:val="22"/>
          <w:lang w:eastAsia="ko-KR"/>
        </w:rPr>
        <w:t>The PSC will have an appropriate budget under Component 3 of the First ACE Impact</w:t>
      </w:r>
      <w:r w:rsidR="009A45AF">
        <w:rPr>
          <w:rFonts w:ascii="Calibri" w:eastAsia="Calibri" w:hAnsi="Calibri" w:cs="Times New Roman"/>
          <w:color w:val="auto"/>
          <w:sz w:val="22"/>
          <w:szCs w:val="22"/>
          <w:lang w:eastAsia="ko-KR"/>
        </w:rPr>
        <w:t xml:space="preserve"> Project</w:t>
      </w:r>
      <w:r w:rsidRPr="002E1A3F">
        <w:rPr>
          <w:rFonts w:ascii="Calibri" w:eastAsia="Calibri" w:hAnsi="Calibri" w:cs="Times New Roman"/>
          <w:color w:val="auto"/>
          <w:sz w:val="22"/>
          <w:szCs w:val="22"/>
          <w:lang w:eastAsia="ko-KR"/>
        </w:rPr>
        <w:t xml:space="preserve">, from the RFU, to perform its functions.  Members of the </w:t>
      </w:r>
      <w:r w:rsidR="009A45AF">
        <w:rPr>
          <w:rFonts w:ascii="Calibri" w:eastAsia="Calibri" w:hAnsi="Calibri" w:cs="Times New Roman"/>
          <w:color w:val="auto"/>
          <w:sz w:val="22"/>
          <w:szCs w:val="22"/>
          <w:lang w:eastAsia="ko-KR"/>
        </w:rPr>
        <w:t xml:space="preserve">PSC </w:t>
      </w:r>
      <w:r w:rsidRPr="002E1A3F">
        <w:rPr>
          <w:rFonts w:ascii="Calibri" w:eastAsia="Calibri" w:hAnsi="Calibri" w:cs="Times New Roman"/>
          <w:color w:val="auto"/>
          <w:sz w:val="22"/>
          <w:szCs w:val="22"/>
          <w:lang w:eastAsia="ko-KR"/>
        </w:rPr>
        <w:t xml:space="preserve">will all have reasonable travel expenditures covered and will receive per diem but will not receive honorariums.  </w:t>
      </w:r>
    </w:p>
    <w:p w14:paraId="773E78DD" w14:textId="77777777" w:rsidR="002E1A3F" w:rsidRPr="002E1A3F" w:rsidRDefault="00B00100" w:rsidP="008E2709">
      <w:pPr>
        <w:widowControl/>
        <w:numPr>
          <w:ilvl w:val="6"/>
          <w:numId w:val="10"/>
        </w:numPr>
        <w:autoSpaceDE/>
        <w:autoSpaceDN/>
        <w:adjustRightInd/>
        <w:spacing w:after="240"/>
        <w:ind w:left="0" w:firstLine="0"/>
        <w:rPr>
          <w:rFonts w:ascii="Calibri" w:eastAsia="Times New Roman" w:hAnsi="Calibri" w:cs="Times New Roman"/>
          <w:b/>
          <w:color w:val="0070C0"/>
          <w:sz w:val="22"/>
          <w:szCs w:val="22"/>
        </w:rPr>
      </w:pPr>
      <w:r w:rsidRPr="002E1A3F">
        <w:rPr>
          <w:rFonts w:ascii="Calibri" w:eastAsia="Times New Roman" w:hAnsi="Calibri" w:cs="Times New Roman"/>
          <w:b/>
          <w:color w:val="0070C0"/>
          <w:sz w:val="22"/>
          <w:szCs w:val="22"/>
        </w:rPr>
        <w:t xml:space="preserve">Other Government-level </w:t>
      </w:r>
      <w:r w:rsidR="00E63807">
        <w:rPr>
          <w:rFonts w:ascii="Calibri" w:eastAsia="Times New Roman" w:hAnsi="Calibri" w:cs="Times New Roman"/>
          <w:b/>
          <w:color w:val="0070C0"/>
          <w:sz w:val="22"/>
          <w:szCs w:val="22"/>
        </w:rPr>
        <w:t>A</w:t>
      </w:r>
      <w:r w:rsidRPr="002E1A3F">
        <w:rPr>
          <w:rFonts w:ascii="Calibri" w:eastAsia="Times New Roman" w:hAnsi="Calibri" w:cs="Times New Roman"/>
          <w:b/>
          <w:color w:val="0070C0"/>
          <w:sz w:val="22"/>
          <w:szCs w:val="22"/>
        </w:rPr>
        <w:t>rrangements</w:t>
      </w:r>
    </w:p>
    <w:p w14:paraId="205B4630" w14:textId="3ED9341C" w:rsidR="00CE43E5" w:rsidRPr="003F12D1"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t xml:space="preserve">Government ownership is critical to the success of the ACE Impact centers. Active government participation </w:t>
      </w:r>
      <w:r w:rsidR="00306199">
        <w:rPr>
          <w:rFonts w:ascii="Calibri" w:eastAsia="Calibri" w:hAnsi="Calibri" w:cs="Times New Roman"/>
          <w:color w:val="auto"/>
          <w:sz w:val="22"/>
          <w:szCs w:val="22"/>
          <w:lang w:eastAsia="ko-KR"/>
        </w:rPr>
        <w:t>is</w:t>
      </w:r>
      <w:r w:rsidRPr="002E1A3F">
        <w:rPr>
          <w:rFonts w:ascii="Calibri" w:eastAsia="Calibri" w:hAnsi="Calibri" w:cs="Times New Roman"/>
          <w:color w:val="auto"/>
          <w:sz w:val="22"/>
          <w:szCs w:val="22"/>
          <w:lang w:eastAsia="ko-KR"/>
        </w:rPr>
        <w:t xml:space="preserve"> needed from preparation through the implementation of the project. Each participating government (represented by the </w:t>
      </w:r>
      <w:proofErr w:type="spellStart"/>
      <w:r w:rsidRPr="002E1A3F">
        <w:rPr>
          <w:rFonts w:ascii="Calibri" w:eastAsia="Calibri" w:hAnsi="Calibri" w:cs="Times New Roman"/>
          <w:color w:val="auto"/>
          <w:sz w:val="22"/>
          <w:szCs w:val="22"/>
          <w:lang w:eastAsia="ko-KR"/>
        </w:rPr>
        <w:t>MoF</w:t>
      </w:r>
      <w:proofErr w:type="spellEnd"/>
      <w:r w:rsidRPr="002E1A3F">
        <w:rPr>
          <w:rFonts w:ascii="Calibri" w:eastAsia="Calibri" w:hAnsi="Calibri" w:cs="Times New Roman"/>
          <w:color w:val="auto"/>
          <w:sz w:val="22"/>
          <w:szCs w:val="22"/>
          <w:lang w:eastAsia="ko-KR"/>
        </w:rPr>
        <w:t xml:space="preserve"> or its equivalent), will sign a</w:t>
      </w:r>
      <w:r w:rsidR="009A45AF">
        <w:rPr>
          <w:rFonts w:ascii="Calibri" w:eastAsia="Calibri" w:hAnsi="Calibri" w:cs="Times New Roman"/>
          <w:color w:val="auto"/>
          <w:sz w:val="22"/>
          <w:szCs w:val="22"/>
          <w:lang w:eastAsia="ko-KR"/>
        </w:rPr>
        <w:t>n</w:t>
      </w:r>
      <w:r w:rsidRPr="002E1A3F">
        <w:rPr>
          <w:rFonts w:ascii="Calibri" w:eastAsia="Calibri" w:hAnsi="Calibri" w:cs="Times New Roman"/>
          <w:color w:val="auto"/>
          <w:sz w:val="22"/>
          <w:szCs w:val="22"/>
          <w:lang w:eastAsia="ko-KR"/>
        </w:rPr>
        <w:t xml:space="preserve"> FA with IDA. </w:t>
      </w:r>
    </w:p>
    <w:p w14:paraId="17A5A5DB" w14:textId="77777777" w:rsidR="002E1A3F" w:rsidRPr="006C70A5" w:rsidRDefault="00B00100" w:rsidP="006C70A5">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6C70A5">
        <w:rPr>
          <w:rFonts w:ascii="Calibri" w:eastAsia="Calibri" w:hAnsi="Calibri" w:cs="Times New Roman"/>
          <w:color w:val="auto"/>
          <w:sz w:val="22"/>
          <w:szCs w:val="22"/>
          <w:lang w:eastAsia="ko-KR"/>
        </w:rPr>
        <w:t>The government will specify the center as the implementing entity and subsequently sign a PFA</w:t>
      </w:r>
      <w:r w:rsidRPr="006C70A5">
        <w:rPr>
          <w:rFonts w:ascii="Batang" w:eastAsia="Batang" w:hAnsi="Batang" w:cs="Batang"/>
          <w:color w:val="auto"/>
          <w:sz w:val="22"/>
          <w:szCs w:val="22"/>
          <w:lang w:eastAsia="ko-KR"/>
        </w:rPr>
        <w:t xml:space="preserve"> </w:t>
      </w:r>
      <w:r w:rsidRPr="006C70A5">
        <w:rPr>
          <w:rFonts w:ascii="Calibri" w:eastAsia="Calibri" w:hAnsi="Calibri" w:cs="Times New Roman"/>
          <w:color w:val="auto"/>
          <w:sz w:val="22"/>
          <w:szCs w:val="22"/>
          <w:lang w:eastAsia="ko-KR"/>
        </w:rPr>
        <w:t>(subsidiary agreement) with each ACE host university and the center. This PFA will define the responsibilities of the institution, including fiduciary and reporting arrangements as well as the terms and conditions for its operation, including engagement with partner institutions.</w:t>
      </w:r>
    </w:p>
    <w:p w14:paraId="6AB9DD32" w14:textId="46B21EEC" w:rsidR="008B2623" w:rsidRPr="002E1A3F" w:rsidRDefault="00B00100" w:rsidP="008E2709">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2E1A3F">
        <w:rPr>
          <w:rFonts w:ascii="Calibri" w:eastAsia="Calibri" w:hAnsi="Calibri" w:cs="Times New Roman"/>
          <w:color w:val="auto"/>
          <w:sz w:val="22"/>
          <w:szCs w:val="22"/>
          <w:lang w:eastAsia="ko-KR"/>
        </w:rPr>
        <w:lastRenderedPageBreak/>
        <w:t>The MoF will ensure government commitment and ownership of the project as well as mak</w:t>
      </w:r>
      <w:r w:rsidR="00D03094">
        <w:rPr>
          <w:rFonts w:ascii="Calibri" w:eastAsia="Calibri" w:hAnsi="Calibri" w:cs="Times New Roman"/>
          <w:color w:val="auto"/>
          <w:sz w:val="22"/>
          <w:szCs w:val="22"/>
          <w:lang w:eastAsia="ko-KR"/>
        </w:rPr>
        <w:t>ing</w:t>
      </w:r>
      <w:r w:rsidRPr="002E1A3F">
        <w:rPr>
          <w:rFonts w:ascii="Calibri" w:eastAsia="Calibri" w:hAnsi="Calibri" w:cs="Times New Roman"/>
          <w:color w:val="auto"/>
          <w:sz w:val="22"/>
          <w:szCs w:val="22"/>
          <w:lang w:eastAsia="ko-KR"/>
        </w:rPr>
        <w:t xml:space="preserve"> sure the funding channels for the DLIs are set up accordingly. The MoF will also ensure the financial set-up for the DLI approach is adequately functioning with a commitment to open a budget line for the Second </w:t>
      </w:r>
      <w:r w:rsidR="00BB4A89">
        <w:rPr>
          <w:rFonts w:ascii="Calibri" w:eastAsia="Calibri" w:hAnsi="Calibri" w:cs="Times New Roman"/>
          <w:color w:val="auto"/>
          <w:sz w:val="22"/>
          <w:szCs w:val="22"/>
          <w:lang w:eastAsia="ko-KR"/>
        </w:rPr>
        <w:t>ACE Impact Project</w:t>
      </w:r>
      <w:r w:rsidRPr="002E1A3F">
        <w:rPr>
          <w:rFonts w:ascii="Calibri" w:eastAsia="Calibri" w:hAnsi="Calibri" w:cs="Times New Roman"/>
          <w:color w:val="auto"/>
          <w:sz w:val="22"/>
          <w:szCs w:val="22"/>
          <w:lang w:eastAsia="ko-KR"/>
        </w:rPr>
        <w:t xml:space="preserve"> up to the amount agreed in the FA and in the PFA. (Details on the disbursement arrangements are provided </w:t>
      </w:r>
      <w:r w:rsidR="00211221" w:rsidRPr="002E1A3F">
        <w:rPr>
          <w:rFonts w:ascii="Calibri" w:eastAsia="Calibri" w:hAnsi="Calibri" w:cs="Times New Roman"/>
          <w:color w:val="auto"/>
          <w:sz w:val="22"/>
          <w:szCs w:val="22"/>
          <w:lang w:eastAsia="ko-KR"/>
        </w:rPr>
        <w:t xml:space="preserve">below </w:t>
      </w:r>
      <w:r w:rsidRPr="002E1A3F">
        <w:rPr>
          <w:rFonts w:ascii="Calibri" w:eastAsia="Calibri" w:hAnsi="Calibri" w:cs="Times New Roman"/>
          <w:color w:val="auto"/>
          <w:sz w:val="22"/>
          <w:szCs w:val="22"/>
          <w:lang w:eastAsia="ko-KR"/>
        </w:rPr>
        <w:t>in the FM section</w:t>
      </w:r>
      <w:r w:rsidR="00F87C6A">
        <w:rPr>
          <w:rFonts w:ascii="Calibri" w:eastAsia="Calibri" w:hAnsi="Calibri" w:cs="Times New Roman"/>
          <w:color w:val="auto"/>
          <w:sz w:val="22"/>
          <w:szCs w:val="22"/>
          <w:lang w:eastAsia="ko-KR"/>
        </w:rPr>
        <w:t xml:space="preserve"> </w:t>
      </w:r>
      <w:r w:rsidR="002D6CEE">
        <w:rPr>
          <w:rFonts w:ascii="Calibri" w:eastAsia="Calibri" w:hAnsi="Calibri" w:cs="Times New Roman"/>
          <w:color w:val="auto"/>
          <w:sz w:val="22"/>
          <w:szCs w:val="22"/>
          <w:lang w:eastAsia="ko-KR"/>
        </w:rPr>
        <w:t>of Annex 2</w:t>
      </w:r>
      <w:r w:rsidR="00F87C6A">
        <w:rPr>
          <w:rFonts w:ascii="Calibri" w:eastAsia="Calibri" w:hAnsi="Calibri" w:cs="Times New Roman"/>
          <w:color w:val="auto"/>
          <w:sz w:val="22"/>
          <w:szCs w:val="22"/>
          <w:lang w:eastAsia="ko-KR"/>
        </w:rPr>
        <w:t>, part A</w:t>
      </w:r>
      <w:r w:rsidRPr="002E1A3F">
        <w:rPr>
          <w:rFonts w:ascii="Calibri" w:eastAsia="Calibri" w:hAnsi="Calibri" w:cs="Times New Roman"/>
          <w:color w:val="auto"/>
          <w:sz w:val="22"/>
          <w:szCs w:val="22"/>
          <w:lang w:eastAsia="ko-KR"/>
        </w:rPr>
        <w:t>).</w:t>
      </w:r>
    </w:p>
    <w:p w14:paraId="03A4B8F0" w14:textId="05A95C94" w:rsidR="008B2623" w:rsidRPr="006F3088" w:rsidRDefault="00B00100" w:rsidP="006C70A5">
      <w:pPr>
        <w:widowControl/>
        <w:numPr>
          <w:ilvl w:val="0"/>
          <w:numId w:val="12"/>
        </w:numPr>
        <w:autoSpaceDE/>
        <w:autoSpaceDN/>
        <w:adjustRightInd/>
        <w:spacing w:after="240"/>
        <w:ind w:left="0" w:firstLine="0"/>
        <w:jc w:val="both"/>
        <w:rPr>
          <w:rFonts w:ascii="Batang" w:eastAsia="Batang" w:hAnsi="Batang" w:cs="Batang"/>
          <w:color w:val="auto"/>
          <w:sz w:val="22"/>
          <w:szCs w:val="22"/>
          <w:lang w:eastAsia="ko-KR"/>
        </w:rPr>
      </w:pPr>
      <w:r w:rsidRPr="0033140E">
        <w:rPr>
          <w:rFonts w:ascii="Calibri" w:eastAsia="Calibri" w:hAnsi="Calibri" w:cs="Times New Roman"/>
          <w:color w:val="auto"/>
          <w:sz w:val="22"/>
          <w:szCs w:val="22"/>
          <w:lang w:eastAsia="ko-KR"/>
        </w:rPr>
        <w:t xml:space="preserve">The Ministry in charge of higher education in each respective country will </w:t>
      </w:r>
      <w:r w:rsidR="005A01B1" w:rsidRPr="0033140E">
        <w:rPr>
          <w:rFonts w:ascii="Calibri" w:eastAsia="Calibri" w:hAnsi="Calibri" w:cs="Times New Roman"/>
          <w:color w:val="auto"/>
          <w:sz w:val="22"/>
          <w:szCs w:val="22"/>
          <w:lang w:eastAsia="ko-KR"/>
        </w:rPr>
        <w:t>ensure</w:t>
      </w:r>
      <w:r w:rsidRPr="008B2623">
        <w:rPr>
          <w:rFonts w:ascii="Calibri" w:eastAsia="Calibri" w:hAnsi="Calibri" w:cs="Times New Roman"/>
          <w:color w:val="auto"/>
          <w:sz w:val="22"/>
          <w:szCs w:val="22"/>
          <w:lang w:eastAsia="ko-KR"/>
        </w:rPr>
        <w:t xml:space="preserve"> that there is strong project ownership, ensure al</w:t>
      </w:r>
      <w:r w:rsidRPr="006F3088">
        <w:rPr>
          <w:rFonts w:ascii="Calibri" w:eastAsia="Calibri" w:hAnsi="Calibri" w:cs="Times New Roman"/>
          <w:color w:val="auto"/>
          <w:sz w:val="22"/>
          <w:szCs w:val="22"/>
          <w:lang w:eastAsia="ko-KR"/>
        </w:rPr>
        <w:t xml:space="preserve">ignment between the project and the national higher education policies, and promote active partnership among the country’s higher education institutions and the ACE Impact centers. </w:t>
      </w:r>
    </w:p>
    <w:p w14:paraId="1E46705E" w14:textId="7B7C6E8D" w:rsidR="002E1A3F" w:rsidRPr="006C70A5" w:rsidRDefault="00B00100" w:rsidP="008B2623">
      <w:pPr>
        <w:widowControl/>
        <w:numPr>
          <w:ilvl w:val="0"/>
          <w:numId w:val="12"/>
        </w:numPr>
        <w:autoSpaceDE/>
        <w:autoSpaceDN/>
        <w:adjustRightInd/>
        <w:spacing w:after="240"/>
        <w:ind w:left="0" w:firstLine="0"/>
        <w:jc w:val="both"/>
        <w:rPr>
          <w:rFonts w:ascii="Batang" w:eastAsia="Batang" w:hAnsi="Batang" w:cs="Batang"/>
          <w:lang w:eastAsia="ko-KR"/>
        </w:rPr>
      </w:pPr>
      <w:bookmarkStart w:id="395" w:name="_Hlk23864576"/>
      <w:r w:rsidRPr="00C23017">
        <w:rPr>
          <w:rFonts w:ascii="Calibri" w:eastAsia="Calibri" w:hAnsi="Calibri" w:cs="Times New Roman"/>
          <w:color w:val="auto"/>
          <w:sz w:val="22"/>
          <w:szCs w:val="22"/>
          <w:lang w:eastAsia="ko-KR"/>
        </w:rPr>
        <w:t>Other lin</w:t>
      </w:r>
      <w:bookmarkEnd w:id="395"/>
      <w:r w:rsidRPr="00C23017">
        <w:rPr>
          <w:rFonts w:ascii="Calibri" w:eastAsia="Calibri" w:hAnsi="Calibri" w:cs="Times New Roman"/>
          <w:color w:val="auto"/>
          <w:sz w:val="22"/>
          <w:szCs w:val="22"/>
          <w:lang w:eastAsia="ko-KR"/>
        </w:rPr>
        <w:t xml:space="preserve">e ministries, such as Ministry of Agriculture, Mining or Health, </w:t>
      </w:r>
      <w:r w:rsidRPr="006C70A5">
        <w:rPr>
          <w:rFonts w:ascii="Calibri" w:eastAsia="Calibri" w:hAnsi="Calibri" w:cs="Times New Roman"/>
          <w:color w:val="auto"/>
          <w:sz w:val="22"/>
          <w:szCs w:val="22"/>
          <w:lang w:eastAsia="ko-KR"/>
        </w:rPr>
        <w:t xml:space="preserve">depending on the focus of the selected ACE in the country will seek to promote sectoral impact of the project, facilitate partnerships, support project activities, and align the </w:t>
      </w:r>
      <w:r w:rsidR="009A45AF" w:rsidRPr="006C70A5">
        <w:rPr>
          <w:rFonts w:ascii="Calibri" w:eastAsia="Calibri" w:hAnsi="Calibri" w:cs="Times New Roman"/>
          <w:color w:val="auto"/>
          <w:sz w:val="22"/>
          <w:szCs w:val="22"/>
          <w:lang w:eastAsia="ko-KR"/>
        </w:rPr>
        <w:t xml:space="preserve">proposed </w:t>
      </w:r>
      <w:r w:rsidRPr="006C70A5">
        <w:rPr>
          <w:rFonts w:ascii="Calibri" w:eastAsia="Calibri" w:hAnsi="Calibri" w:cs="Times New Roman"/>
          <w:color w:val="auto"/>
          <w:sz w:val="22"/>
          <w:szCs w:val="22"/>
          <w:lang w:eastAsia="ko-KR"/>
        </w:rPr>
        <w:t xml:space="preserve">Second </w:t>
      </w:r>
      <w:r w:rsidR="00BB4A89" w:rsidRPr="006C70A5">
        <w:rPr>
          <w:rFonts w:ascii="Calibri" w:eastAsia="Calibri" w:hAnsi="Calibri" w:cs="Times New Roman"/>
          <w:color w:val="auto"/>
          <w:sz w:val="22"/>
          <w:szCs w:val="22"/>
          <w:lang w:eastAsia="ko-KR"/>
        </w:rPr>
        <w:t>ACE Impact Project</w:t>
      </w:r>
      <w:r w:rsidRPr="006C70A5">
        <w:rPr>
          <w:rFonts w:ascii="Calibri" w:eastAsia="Calibri" w:hAnsi="Calibri" w:cs="Times New Roman"/>
          <w:color w:val="auto"/>
          <w:sz w:val="22"/>
          <w:szCs w:val="22"/>
          <w:lang w:eastAsia="ko-KR"/>
        </w:rPr>
        <w:t xml:space="preserve"> with national strategy. This will include facilitating linkages and communication regarding the human resource and skills needs of the sector as well as the priorities for applied research.</w:t>
      </w:r>
    </w:p>
    <w:p w14:paraId="174FCCB8" w14:textId="77777777" w:rsidR="002726C6" w:rsidRPr="002E1A3F" w:rsidRDefault="002726C6" w:rsidP="002726C6">
      <w:pPr>
        <w:widowControl/>
        <w:tabs>
          <w:tab w:val="left" w:pos="450"/>
        </w:tabs>
        <w:autoSpaceDE/>
        <w:autoSpaceDN/>
        <w:adjustRightInd/>
        <w:jc w:val="both"/>
        <w:rPr>
          <w:rFonts w:ascii="Batang" w:eastAsia="Batang" w:hAnsi="Batang" w:cs="Batang"/>
          <w:lang w:eastAsia="ko-KR"/>
        </w:rPr>
      </w:pPr>
    </w:p>
    <w:p w14:paraId="6B6D6D1B" w14:textId="77777777" w:rsidR="002726C6" w:rsidRPr="002E1A3F" w:rsidRDefault="002726C6" w:rsidP="002726C6">
      <w:pPr>
        <w:widowControl/>
        <w:numPr>
          <w:ilvl w:val="6"/>
          <w:numId w:val="10"/>
        </w:numPr>
        <w:autoSpaceDE/>
        <w:autoSpaceDN/>
        <w:adjustRightInd/>
        <w:spacing w:after="240"/>
        <w:ind w:left="0" w:firstLine="0"/>
        <w:rPr>
          <w:rFonts w:ascii="Calibri" w:eastAsia="Times New Roman" w:hAnsi="Calibri" w:cs="Times New Roman"/>
          <w:b/>
          <w:color w:val="0070C0"/>
          <w:sz w:val="22"/>
          <w:szCs w:val="22"/>
        </w:rPr>
      </w:pPr>
      <w:r>
        <w:rPr>
          <w:rFonts w:ascii="Calibri" w:eastAsia="Times New Roman" w:hAnsi="Calibri" w:cs="Times New Roman"/>
          <w:b/>
          <w:color w:val="0070C0"/>
          <w:sz w:val="22"/>
          <w:szCs w:val="22"/>
        </w:rPr>
        <w:t>Partners</w:t>
      </w:r>
    </w:p>
    <w:p w14:paraId="7F0EF290" w14:textId="11CFC191" w:rsidR="002726C6" w:rsidRPr="006F3088" w:rsidRDefault="002726C6" w:rsidP="006C70A5">
      <w:pPr>
        <w:widowControl/>
        <w:numPr>
          <w:ilvl w:val="0"/>
          <w:numId w:val="12"/>
        </w:numPr>
        <w:autoSpaceDE/>
        <w:autoSpaceDN/>
        <w:adjustRightInd/>
        <w:spacing w:after="240"/>
        <w:ind w:left="0" w:firstLine="0"/>
        <w:jc w:val="both"/>
        <w:rPr>
          <w:rFonts w:ascii="Calibri" w:eastAsia="Calibri" w:hAnsi="Calibri" w:cs="Times New Roman"/>
          <w:color w:val="auto"/>
          <w:sz w:val="22"/>
          <w:szCs w:val="22"/>
          <w:lang w:eastAsia="ko-KR"/>
        </w:rPr>
      </w:pPr>
      <w:r w:rsidRPr="006C70A5">
        <w:rPr>
          <w:rFonts w:ascii="Calibri" w:eastAsia="Calibri" w:hAnsi="Calibri" w:cs="Times New Roman"/>
          <w:color w:val="auto"/>
          <w:sz w:val="22"/>
          <w:szCs w:val="22"/>
          <w:lang w:eastAsia="ko-KR"/>
        </w:rPr>
        <w:t>During project preparation, several potential partners were consulted. The proposed project will continue to nurture several of these partnerships that have the strongest synergies. See Table A1.2 for the list of partners.</w:t>
      </w:r>
    </w:p>
    <w:p w14:paraId="71DD30E2" w14:textId="77777777" w:rsidR="007D6420" w:rsidRPr="002E1A3F" w:rsidRDefault="00B00100" w:rsidP="007D6420">
      <w:pPr>
        <w:keepNext/>
        <w:keepLines/>
        <w:tabs>
          <w:tab w:val="left" w:pos="0"/>
          <w:tab w:val="left" w:pos="720"/>
        </w:tabs>
        <w:ind w:right="-270"/>
        <w:jc w:val="center"/>
        <w:rPr>
          <w:rFonts w:ascii="Calibri" w:eastAsia="Calibri,Times New Roman" w:hAnsi="Calibri" w:cs="Calibri"/>
          <w:sz w:val="22"/>
          <w:szCs w:val="22"/>
        </w:rPr>
      </w:pPr>
      <w:r w:rsidRPr="002E1A3F">
        <w:rPr>
          <w:rFonts w:ascii="Calibri" w:eastAsia="Calibri" w:hAnsi="Calibri" w:cs="Calibri"/>
          <w:b/>
          <w:spacing w:val="-1"/>
          <w:sz w:val="22"/>
          <w:szCs w:val="22"/>
        </w:rPr>
        <w:t>Table</w:t>
      </w:r>
      <w:r w:rsidR="00893F8E">
        <w:rPr>
          <w:rFonts w:ascii="Calibri" w:eastAsia="Calibri" w:hAnsi="Calibri" w:cs="Calibri"/>
          <w:b/>
          <w:spacing w:val="-1"/>
          <w:sz w:val="22"/>
          <w:szCs w:val="22"/>
        </w:rPr>
        <w:t>A1.2</w:t>
      </w:r>
      <w:r w:rsidRPr="002E1A3F">
        <w:rPr>
          <w:rFonts w:ascii="Calibri" w:eastAsia="Calibri" w:hAnsi="Calibri" w:cs="Calibri"/>
          <w:b/>
          <w:spacing w:val="-1"/>
          <w:sz w:val="22"/>
          <w:szCs w:val="22"/>
        </w:rPr>
        <w:t>.</w:t>
      </w:r>
      <w:r w:rsidRPr="002E1A3F">
        <w:rPr>
          <w:rFonts w:ascii="Calibri" w:eastAsia="Calibri,Times New Roman" w:hAnsi="Calibri" w:cs="Calibri"/>
          <w:b/>
          <w:spacing w:val="-1"/>
          <w:sz w:val="22"/>
          <w:szCs w:val="22"/>
        </w:rPr>
        <w:t xml:space="preserve"> </w:t>
      </w:r>
      <w:r w:rsidRPr="002E1A3F">
        <w:rPr>
          <w:rFonts w:ascii="Calibri" w:eastAsia="Calibri" w:hAnsi="Calibri" w:cs="Calibri"/>
          <w:b/>
          <w:i/>
          <w:spacing w:val="-1"/>
          <w:sz w:val="22"/>
          <w:szCs w:val="22"/>
        </w:rPr>
        <w:t xml:space="preserve">Stakeholders </w:t>
      </w:r>
      <w:r>
        <w:rPr>
          <w:rFonts w:ascii="Calibri" w:eastAsia="Calibri" w:hAnsi="Calibri" w:cs="Calibri"/>
          <w:b/>
          <w:i/>
          <w:spacing w:val="-1"/>
          <w:sz w:val="22"/>
          <w:szCs w:val="22"/>
        </w:rPr>
        <w:t>C</w:t>
      </w:r>
      <w:r w:rsidRPr="002E1A3F">
        <w:rPr>
          <w:rFonts w:ascii="Calibri" w:eastAsia="Calibri" w:hAnsi="Calibri" w:cs="Calibri"/>
          <w:b/>
          <w:i/>
          <w:spacing w:val="-1"/>
          <w:sz w:val="22"/>
          <w:szCs w:val="22"/>
        </w:rPr>
        <w:t xml:space="preserve">onsulted </w:t>
      </w:r>
      <w:r>
        <w:rPr>
          <w:rFonts w:ascii="Calibri" w:eastAsia="Calibri" w:hAnsi="Calibri" w:cs="Calibri"/>
          <w:b/>
          <w:i/>
          <w:spacing w:val="-1"/>
          <w:sz w:val="22"/>
          <w:szCs w:val="22"/>
        </w:rPr>
        <w:t>D</w:t>
      </w:r>
      <w:r w:rsidRPr="002E1A3F">
        <w:rPr>
          <w:rFonts w:ascii="Calibri" w:eastAsia="Calibri" w:hAnsi="Calibri" w:cs="Calibri"/>
          <w:b/>
          <w:i/>
          <w:spacing w:val="-1"/>
          <w:sz w:val="22"/>
          <w:szCs w:val="22"/>
        </w:rPr>
        <w:t xml:space="preserve">uring </w:t>
      </w:r>
      <w:r>
        <w:rPr>
          <w:rFonts w:ascii="Calibri" w:eastAsia="Calibri" w:hAnsi="Calibri" w:cs="Calibri"/>
          <w:b/>
          <w:i/>
          <w:spacing w:val="-1"/>
          <w:sz w:val="22"/>
          <w:szCs w:val="22"/>
        </w:rPr>
        <w:t>P</w:t>
      </w:r>
      <w:r w:rsidRPr="002E1A3F">
        <w:rPr>
          <w:rFonts w:ascii="Calibri" w:eastAsia="Calibri" w:hAnsi="Calibri" w:cs="Calibri"/>
          <w:b/>
          <w:i/>
          <w:spacing w:val="-1"/>
          <w:sz w:val="22"/>
          <w:szCs w:val="22"/>
        </w:rPr>
        <w:t xml:space="preserve">roject </w:t>
      </w:r>
      <w:r>
        <w:rPr>
          <w:rFonts w:ascii="Calibri" w:eastAsia="Calibri" w:hAnsi="Calibri" w:cs="Calibri"/>
          <w:b/>
          <w:i/>
          <w:spacing w:val="-1"/>
          <w:sz w:val="22"/>
          <w:szCs w:val="22"/>
        </w:rPr>
        <w:t>P</w:t>
      </w:r>
      <w:r w:rsidRPr="002E1A3F">
        <w:rPr>
          <w:rFonts w:ascii="Calibri" w:eastAsia="Calibri" w:hAnsi="Calibri" w:cs="Calibri"/>
          <w:b/>
          <w:i/>
          <w:spacing w:val="-1"/>
          <w:sz w:val="22"/>
          <w:szCs w:val="22"/>
        </w:rPr>
        <w:t>reparation</w:t>
      </w:r>
    </w:p>
    <w:tbl>
      <w:tblPr>
        <w:tblStyle w:val="TableGrid24"/>
        <w:tblW w:w="9535" w:type="dxa"/>
        <w:tblLook w:val="04A0" w:firstRow="1" w:lastRow="0" w:firstColumn="1" w:lastColumn="0" w:noHBand="0" w:noVBand="1"/>
      </w:tblPr>
      <w:tblGrid>
        <w:gridCol w:w="5215"/>
        <w:gridCol w:w="4320"/>
      </w:tblGrid>
      <w:tr w:rsidR="000C3959" w14:paraId="7BC8099C" w14:textId="77777777" w:rsidTr="00F9158E">
        <w:trPr>
          <w:trHeight w:val="242"/>
        </w:trPr>
        <w:tc>
          <w:tcPr>
            <w:tcW w:w="5215" w:type="dxa"/>
            <w:shd w:val="clear" w:color="auto" w:fill="auto"/>
          </w:tcPr>
          <w:p w14:paraId="4DA9514D" w14:textId="37E37E91" w:rsidR="007D6420" w:rsidRPr="002E1A3F" w:rsidRDefault="00B00100" w:rsidP="00F9158E">
            <w:pPr>
              <w:keepNext/>
              <w:keepLines/>
              <w:tabs>
                <w:tab w:val="left" w:pos="0"/>
                <w:tab w:val="left" w:pos="720"/>
              </w:tabs>
              <w:spacing w:after="80"/>
              <w:jc w:val="center"/>
              <w:rPr>
                <w:rFonts w:ascii="Calibri,Times New Roman" w:eastAsia="Calibri,Times New Roman" w:hAnsi="Calibri,Times New Roman" w:cs="Calibri,Times New Roman"/>
                <w:b/>
                <w:bCs/>
                <w:sz w:val="18"/>
                <w:szCs w:val="18"/>
              </w:rPr>
            </w:pPr>
            <w:r w:rsidRPr="002E1A3F">
              <w:rPr>
                <w:rFonts w:ascii="Calibri" w:eastAsia="Calibri" w:hAnsi="Calibri" w:cs="Calibri"/>
                <w:b/>
                <w:bCs/>
                <w:sz w:val="18"/>
                <w:szCs w:val="18"/>
              </w:rPr>
              <w:t>Stakeholder</w:t>
            </w:r>
            <w:r w:rsidR="00846A1A">
              <w:rPr>
                <w:rFonts w:ascii="Calibri" w:eastAsia="Calibri" w:hAnsi="Calibri" w:cs="Calibri"/>
                <w:b/>
                <w:bCs/>
                <w:sz w:val="18"/>
                <w:szCs w:val="18"/>
              </w:rPr>
              <w:t>s</w:t>
            </w:r>
            <w:r w:rsidRPr="002E1A3F">
              <w:rPr>
                <w:rFonts w:ascii="Calibri" w:eastAsia="Calibri" w:hAnsi="Calibri" w:cs="Calibri"/>
                <w:b/>
                <w:bCs/>
                <w:sz w:val="18"/>
                <w:szCs w:val="18"/>
              </w:rPr>
              <w:t xml:space="preserve"> </w:t>
            </w:r>
          </w:p>
        </w:tc>
        <w:tc>
          <w:tcPr>
            <w:tcW w:w="4320" w:type="dxa"/>
            <w:shd w:val="clear" w:color="auto" w:fill="auto"/>
          </w:tcPr>
          <w:p w14:paraId="73A0D2E8" w14:textId="77777777" w:rsidR="007D6420" w:rsidRPr="002E1A3F" w:rsidRDefault="00B00100" w:rsidP="00F9158E">
            <w:pPr>
              <w:keepNext/>
              <w:keepLines/>
              <w:tabs>
                <w:tab w:val="left" w:pos="0"/>
                <w:tab w:val="left" w:pos="720"/>
              </w:tabs>
              <w:jc w:val="center"/>
              <w:rPr>
                <w:rFonts w:ascii="Calibri,Times New Roman" w:eastAsia="Calibri,Times New Roman" w:hAnsi="Calibri,Times New Roman" w:cs="Calibri,Times New Roman"/>
                <w:b/>
                <w:bCs/>
                <w:sz w:val="18"/>
                <w:szCs w:val="18"/>
              </w:rPr>
            </w:pPr>
            <w:r w:rsidRPr="002E1A3F">
              <w:rPr>
                <w:rFonts w:ascii="Calibri" w:eastAsia="Calibri" w:hAnsi="Calibri" w:cs="Calibri"/>
                <w:b/>
                <w:bCs/>
                <w:sz w:val="18"/>
                <w:szCs w:val="18"/>
              </w:rPr>
              <w:t>Activities</w:t>
            </w:r>
          </w:p>
        </w:tc>
      </w:tr>
      <w:tr w:rsidR="000C3959" w14:paraId="71821AA6" w14:textId="77777777" w:rsidTr="008E2709">
        <w:trPr>
          <w:trHeight w:val="827"/>
        </w:trPr>
        <w:tc>
          <w:tcPr>
            <w:tcW w:w="5215" w:type="dxa"/>
          </w:tcPr>
          <w:p w14:paraId="4425A546"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 xml:space="preserve">In-Country Stakeholders </w:t>
            </w:r>
          </w:p>
          <w:p w14:paraId="73425527" w14:textId="77777777" w:rsidR="007D6420" w:rsidRPr="002E1A3F" w:rsidRDefault="00B00100" w:rsidP="00F9158E">
            <w:pPr>
              <w:keepNext/>
              <w:keepLines/>
              <w:widowControl/>
              <w:numPr>
                <w:ilvl w:val="0"/>
                <w:numId w:val="15"/>
              </w:numPr>
              <w:tabs>
                <w:tab w:val="left" w:pos="0"/>
                <w:tab w:val="left" w:pos="376"/>
              </w:tabs>
              <w:autoSpaceDE/>
              <w:autoSpaceDN/>
              <w:adjustRightInd/>
              <w:spacing w:after="80"/>
              <w:ind w:left="196" w:hanging="164"/>
              <w:rPr>
                <w:rFonts w:ascii="Calibri" w:eastAsia="Calibri" w:hAnsi="Calibri" w:cs="Calibri"/>
                <w:sz w:val="18"/>
                <w:szCs w:val="18"/>
              </w:rPr>
            </w:pPr>
            <w:r w:rsidRPr="002E1A3F">
              <w:rPr>
                <w:rFonts w:ascii="Calibri" w:eastAsia="Calibri" w:hAnsi="Calibri" w:cs="Calibri"/>
                <w:sz w:val="18"/>
                <w:szCs w:val="18"/>
              </w:rPr>
              <w:t>National governments (Ministries, agencies in charge of Higher Education and Research, line ministries)</w:t>
            </w:r>
          </w:p>
          <w:p w14:paraId="52C9BA7E" w14:textId="77777777" w:rsidR="007D6420" w:rsidRPr="002E1A3F" w:rsidRDefault="00B00100" w:rsidP="00F9158E">
            <w:pPr>
              <w:keepNext/>
              <w:keepLines/>
              <w:widowControl/>
              <w:numPr>
                <w:ilvl w:val="0"/>
                <w:numId w:val="15"/>
              </w:numPr>
              <w:tabs>
                <w:tab w:val="left" w:pos="0"/>
                <w:tab w:val="left" w:pos="376"/>
              </w:tabs>
              <w:autoSpaceDE/>
              <w:autoSpaceDN/>
              <w:adjustRightInd/>
              <w:spacing w:after="80"/>
              <w:ind w:left="196" w:hanging="164"/>
              <w:rPr>
                <w:rFonts w:ascii="Calibri" w:eastAsia="Calibri,Times New Roman" w:hAnsi="Calibri" w:cs="Calibri"/>
                <w:sz w:val="18"/>
                <w:szCs w:val="18"/>
              </w:rPr>
            </w:pPr>
            <w:r w:rsidRPr="002E1A3F">
              <w:rPr>
                <w:rFonts w:ascii="Calibri" w:eastAsia="Calibri" w:hAnsi="Calibri" w:cs="Calibri"/>
                <w:sz w:val="18"/>
                <w:szCs w:val="18"/>
              </w:rPr>
              <w:t>Universities (management, faculty &amp; students) and national research institutes</w:t>
            </w:r>
          </w:p>
        </w:tc>
        <w:tc>
          <w:tcPr>
            <w:tcW w:w="4320" w:type="dxa"/>
          </w:tcPr>
          <w:p w14:paraId="20046165" w14:textId="77777777" w:rsidR="007D6420" w:rsidRPr="002E1A3F" w:rsidRDefault="007D6420" w:rsidP="00F9158E">
            <w:pPr>
              <w:keepNext/>
              <w:keepLines/>
              <w:tabs>
                <w:tab w:val="left" w:pos="0"/>
                <w:tab w:val="left" w:pos="376"/>
                <w:tab w:val="left" w:pos="586"/>
              </w:tabs>
              <w:ind w:left="196"/>
              <w:rPr>
                <w:rFonts w:ascii="Calibri" w:eastAsia="Calibri,Times New Roman" w:hAnsi="Calibri" w:cs="Calibri"/>
                <w:sz w:val="18"/>
                <w:szCs w:val="18"/>
              </w:rPr>
            </w:pPr>
          </w:p>
          <w:p w14:paraId="63192F90" w14:textId="77777777" w:rsidR="007D6420" w:rsidRPr="002E1A3F" w:rsidRDefault="00B00100" w:rsidP="00F9158E">
            <w:pPr>
              <w:keepNext/>
              <w:keepLines/>
              <w:widowControl/>
              <w:numPr>
                <w:ilvl w:val="0"/>
                <w:numId w:val="15"/>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Consultations on overall project</w:t>
            </w:r>
          </w:p>
          <w:p w14:paraId="58429947" w14:textId="77777777" w:rsidR="007D6420" w:rsidRPr="002E1A3F" w:rsidRDefault="00B00100" w:rsidP="00F9158E">
            <w:pPr>
              <w:keepNext/>
              <w:keepLines/>
              <w:widowControl/>
              <w:numPr>
                <w:ilvl w:val="0"/>
                <w:numId w:val="15"/>
              </w:numPr>
              <w:tabs>
                <w:tab w:val="left" w:pos="0"/>
                <w:tab w:val="left" w:pos="376"/>
                <w:tab w:val="left" w:pos="58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 xml:space="preserve">National Workshops (10 out of 11 countries) </w:t>
            </w:r>
          </w:p>
          <w:p w14:paraId="0DFF1D33" w14:textId="77777777" w:rsidR="007D6420" w:rsidRPr="002E1A3F" w:rsidRDefault="00B00100" w:rsidP="00F9158E">
            <w:pPr>
              <w:keepNext/>
              <w:keepLines/>
              <w:widowControl/>
              <w:numPr>
                <w:ilvl w:val="0"/>
                <w:numId w:val="15"/>
              </w:numPr>
              <w:tabs>
                <w:tab w:val="left" w:pos="0"/>
                <w:tab w:val="left" w:pos="376"/>
                <w:tab w:val="left" w:pos="586"/>
              </w:tabs>
              <w:autoSpaceDE/>
              <w:autoSpaceDN/>
              <w:adjustRightInd/>
              <w:ind w:left="196" w:hanging="164"/>
              <w:rPr>
                <w:rFonts w:ascii="Calibri" w:eastAsia="Calibri,Times New Roman" w:hAnsi="Calibri" w:cs="Calibri"/>
                <w:sz w:val="18"/>
                <w:szCs w:val="18"/>
              </w:rPr>
            </w:pPr>
            <w:r>
              <w:rPr>
                <w:rFonts w:ascii="Calibri" w:eastAsia="Calibri" w:hAnsi="Calibri" w:cs="Calibri"/>
                <w:sz w:val="18"/>
                <w:szCs w:val="18"/>
              </w:rPr>
              <w:t>Four</w:t>
            </w:r>
            <w:r w:rsidRPr="002E1A3F">
              <w:rPr>
                <w:rFonts w:ascii="Calibri" w:eastAsia="Calibri" w:hAnsi="Calibri" w:cs="Calibri"/>
                <w:sz w:val="18"/>
                <w:szCs w:val="18"/>
              </w:rPr>
              <w:t xml:space="preserve"> </w:t>
            </w:r>
            <w:r>
              <w:rPr>
                <w:rFonts w:ascii="Calibri" w:eastAsia="Calibri" w:hAnsi="Calibri" w:cs="Calibri"/>
                <w:sz w:val="18"/>
                <w:szCs w:val="18"/>
              </w:rPr>
              <w:t>PSC</w:t>
            </w:r>
            <w:r w:rsidRPr="002E1A3F">
              <w:rPr>
                <w:rFonts w:ascii="Calibri" w:eastAsia="Calibri" w:hAnsi="Calibri" w:cs="Calibri"/>
                <w:sz w:val="18"/>
                <w:szCs w:val="18"/>
              </w:rPr>
              <w:t xml:space="preserve"> meetings </w:t>
            </w:r>
          </w:p>
          <w:p w14:paraId="0F0FF04B" w14:textId="77777777" w:rsidR="007D6420" w:rsidRPr="002E1A3F" w:rsidRDefault="00B00100" w:rsidP="00F9158E">
            <w:pPr>
              <w:keepNext/>
              <w:keepLines/>
              <w:widowControl/>
              <w:numPr>
                <w:ilvl w:val="0"/>
                <w:numId w:val="15"/>
              </w:numPr>
              <w:tabs>
                <w:tab w:val="left" w:pos="0"/>
                <w:tab w:val="left" w:pos="376"/>
                <w:tab w:val="left" w:pos="586"/>
              </w:tabs>
              <w:autoSpaceDE/>
              <w:autoSpaceDN/>
              <w:adjustRightInd/>
              <w:ind w:left="196" w:hanging="164"/>
              <w:rPr>
                <w:rFonts w:ascii="Calibri" w:eastAsia="Calibri,Times New Roman" w:hAnsi="Calibri" w:cs="Calibri"/>
                <w:sz w:val="18"/>
                <w:szCs w:val="18"/>
              </w:rPr>
            </w:pPr>
            <w:proofErr w:type="gramStart"/>
            <w:r>
              <w:rPr>
                <w:rFonts w:ascii="Calibri" w:eastAsia="Calibri" w:hAnsi="Calibri" w:cs="Calibri"/>
                <w:sz w:val="18"/>
                <w:szCs w:val="18"/>
              </w:rPr>
              <w:t>ACE</w:t>
            </w:r>
            <w:proofErr w:type="gramEnd"/>
            <w:r>
              <w:rPr>
                <w:rFonts w:ascii="Calibri" w:eastAsia="Calibri" w:hAnsi="Calibri" w:cs="Calibri"/>
                <w:sz w:val="18"/>
                <w:szCs w:val="18"/>
              </w:rPr>
              <w:t xml:space="preserve"> I Project</w:t>
            </w:r>
            <w:r w:rsidRPr="002E1A3F">
              <w:rPr>
                <w:rFonts w:ascii="Calibri" w:eastAsia="Calibri" w:hAnsi="Calibri" w:cs="Calibri"/>
                <w:sz w:val="18"/>
                <w:szCs w:val="18"/>
              </w:rPr>
              <w:t xml:space="preserve"> regional workshop and ACE Impact Regional Bootcamp </w:t>
            </w:r>
          </w:p>
        </w:tc>
      </w:tr>
      <w:tr w:rsidR="000C3959" w14:paraId="297E7B4E" w14:textId="77777777" w:rsidTr="00F9158E">
        <w:trPr>
          <w:trHeight w:val="873"/>
        </w:trPr>
        <w:tc>
          <w:tcPr>
            <w:tcW w:w="5215" w:type="dxa"/>
          </w:tcPr>
          <w:p w14:paraId="2745555B"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Regional Bodies</w:t>
            </w:r>
          </w:p>
          <w:p w14:paraId="29E85210"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ECOWAS</w:t>
            </w:r>
          </w:p>
          <w:p w14:paraId="50A0E6A9"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AAU</w:t>
            </w:r>
          </w:p>
          <w:p w14:paraId="47BDB9BC"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UEMOA</w:t>
            </w:r>
          </w:p>
        </w:tc>
        <w:tc>
          <w:tcPr>
            <w:tcW w:w="4320" w:type="dxa"/>
          </w:tcPr>
          <w:p w14:paraId="548B410E"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Consultations on the project</w:t>
            </w:r>
          </w:p>
          <w:p w14:paraId="7D4B952B"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 xml:space="preserve">ECOWAS Technical and Ministerial Meetings </w:t>
            </w:r>
          </w:p>
          <w:p w14:paraId="57A67FB7" w14:textId="77777777" w:rsidR="007D6420" w:rsidRPr="002E1A3F" w:rsidRDefault="00B00100" w:rsidP="00F9158E">
            <w:pPr>
              <w:keepNext/>
              <w:keepLines/>
              <w:widowControl/>
              <w:numPr>
                <w:ilvl w:val="0"/>
                <w:numId w:val="15"/>
              </w:numPr>
              <w:tabs>
                <w:tab w:val="left" w:pos="0"/>
                <w:tab w:val="left" w:pos="376"/>
              </w:tabs>
              <w:autoSpaceDE/>
              <w:autoSpaceDN/>
              <w:adjustRightInd/>
              <w:ind w:left="187" w:hanging="158"/>
              <w:rPr>
                <w:rFonts w:ascii="Calibri" w:eastAsia="Calibri,Times New Roman" w:hAnsi="Calibri" w:cs="Calibri"/>
                <w:sz w:val="18"/>
                <w:szCs w:val="18"/>
              </w:rPr>
            </w:pPr>
            <w:r w:rsidRPr="002E1A3F">
              <w:rPr>
                <w:rFonts w:ascii="Calibri" w:eastAsia="Calibri" w:hAnsi="Calibri" w:cs="Calibri"/>
                <w:sz w:val="18"/>
                <w:szCs w:val="18"/>
              </w:rPr>
              <w:t>Consultations with AAU on regional facilitation</w:t>
            </w:r>
          </w:p>
        </w:tc>
      </w:tr>
      <w:tr w:rsidR="000C3959" w14:paraId="7422140B" w14:textId="77777777" w:rsidTr="00F9158E">
        <w:trPr>
          <w:trHeight w:val="1197"/>
        </w:trPr>
        <w:tc>
          <w:tcPr>
            <w:tcW w:w="5215" w:type="dxa"/>
          </w:tcPr>
          <w:p w14:paraId="744D216B"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World Bank</w:t>
            </w:r>
          </w:p>
          <w:p w14:paraId="4E080E04" w14:textId="77777777" w:rsidR="007D6420" w:rsidRPr="002E1A3F" w:rsidRDefault="00B00100" w:rsidP="00F9158E">
            <w:pPr>
              <w:keepNext/>
              <w:keepLines/>
              <w:widowControl/>
              <w:numPr>
                <w:ilvl w:val="0"/>
                <w:numId w:val="15"/>
              </w:numPr>
              <w:tabs>
                <w:tab w:val="left" w:pos="0"/>
                <w:tab w:val="left" w:pos="720"/>
              </w:tabs>
              <w:autoSpaceDE/>
              <w:autoSpaceDN/>
              <w:adjustRightInd/>
              <w:ind w:left="196" w:hanging="164"/>
              <w:jc w:val="both"/>
              <w:rPr>
                <w:rFonts w:ascii="Calibri" w:eastAsia="Calibri" w:hAnsi="Calibri" w:cs="Calibri"/>
                <w:sz w:val="18"/>
                <w:szCs w:val="18"/>
              </w:rPr>
            </w:pPr>
            <w:r w:rsidRPr="002E1A3F">
              <w:rPr>
                <w:rFonts w:ascii="Calibri" w:eastAsia="Calibri" w:hAnsi="Calibri" w:cs="Calibri"/>
                <w:sz w:val="18"/>
                <w:szCs w:val="18"/>
              </w:rPr>
              <w:t>GPs and Office of the Chief Economist</w:t>
            </w:r>
          </w:p>
          <w:p w14:paraId="260E8AF1" w14:textId="77777777" w:rsidR="007D6420" w:rsidRPr="002E1A3F" w:rsidRDefault="00B00100" w:rsidP="00F9158E">
            <w:pPr>
              <w:keepNext/>
              <w:keepLines/>
              <w:widowControl/>
              <w:numPr>
                <w:ilvl w:val="0"/>
                <w:numId w:val="15"/>
              </w:numPr>
              <w:tabs>
                <w:tab w:val="left" w:pos="0"/>
                <w:tab w:val="left" w:pos="720"/>
              </w:tabs>
              <w:autoSpaceDE/>
              <w:autoSpaceDN/>
              <w:adjustRightInd/>
              <w:ind w:left="196" w:hanging="164"/>
              <w:jc w:val="both"/>
              <w:rPr>
                <w:rFonts w:ascii="Calibri" w:eastAsia="Calibri" w:hAnsi="Calibri" w:cs="Calibri"/>
                <w:sz w:val="18"/>
                <w:szCs w:val="18"/>
              </w:rPr>
            </w:pPr>
            <w:r w:rsidRPr="002E1A3F">
              <w:rPr>
                <w:rFonts w:ascii="Calibri" w:eastAsia="Calibri" w:hAnsi="Calibri" w:cs="Calibri"/>
                <w:sz w:val="18"/>
                <w:szCs w:val="18"/>
              </w:rPr>
              <w:t xml:space="preserve">Country Management Units (CMUs) </w:t>
            </w:r>
          </w:p>
          <w:p w14:paraId="16F51113" w14:textId="77777777" w:rsidR="007D6420" w:rsidRPr="002E1A3F" w:rsidRDefault="007D6420" w:rsidP="00F9158E">
            <w:pPr>
              <w:keepNext/>
              <w:keepLines/>
              <w:tabs>
                <w:tab w:val="left" w:pos="0"/>
                <w:tab w:val="left" w:pos="720"/>
              </w:tabs>
              <w:jc w:val="both"/>
              <w:rPr>
                <w:rFonts w:ascii="Calibri" w:eastAsia="Calibri" w:hAnsi="Calibri" w:cs="Calibri"/>
                <w:sz w:val="18"/>
                <w:szCs w:val="18"/>
              </w:rPr>
            </w:pPr>
          </w:p>
        </w:tc>
        <w:tc>
          <w:tcPr>
            <w:tcW w:w="4320" w:type="dxa"/>
          </w:tcPr>
          <w:p w14:paraId="529CD15B" w14:textId="77777777" w:rsidR="007D6420" w:rsidRPr="002E1A3F" w:rsidRDefault="00B00100" w:rsidP="00F9158E">
            <w:pPr>
              <w:keepNext/>
              <w:keepLines/>
              <w:widowControl/>
              <w:numPr>
                <w:ilvl w:val="0"/>
                <w:numId w:val="15"/>
              </w:numPr>
              <w:tabs>
                <w:tab w:val="left" w:pos="0"/>
                <w:tab w:val="left" w:pos="376"/>
              </w:tabs>
              <w:autoSpaceDE/>
              <w:autoSpaceDN/>
              <w:adjustRightInd/>
              <w:ind w:left="187" w:hanging="158"/>
              <w:rPr>
                <w:rFonts w:ascii="Calibri" w:eastAsia="Calibri" w:hAnsi="Calibri" w:cs="Calibri"/>
                <w:sz w:val="18"/>
                <w:szCs w:val="18"/>
              </w:rPr>
            </w:pPr>
            <w:r w:rsidRPr="002E1A3F">
              <w:rPr>
                <w:rFonts w:ascii="Calibri" w:eastAsia="Calibri" w:hAnsi="Calibri" w:cs="Calibri"/>
                <w:sz w:val="18"/>
                <w:szCs w:val="18"/>
              </w:rPr>
              <w:t xml:space="preserve">Consultations on </w:t>
            </w:r>
            <w:proofErr w:type="spellStart"/>
            <w:r w:rsidRPr="002E1A3F">
              <w:rPr>
                <w:rFonts w:ascii="Calibri" w:eastAsia="Calibri" w:hAnsi="Calibri" w:cs="Calibri"/>
                <w:sz w:val="18"/>
                <w:szCs w:val="18"/>
              </w:rPr>
              <w:t>ToRs</w:t>
            </w:r>
            <w:proofErr w:type="spellEnd"/>
            <w:r w:rsidRPr="002E1A3F">
              <w:rPr>
                <w:rFonts w:ascii="Calibri" w:eastAsia="Calibri" w:hAnsi="Calibri" w:cs="Calibri"/>
                <w:sz w:val="18"/>
                <w:szCs w:val="18"/>
              </w:rPr>
              <w:t xml:space="preserve"> for Pre-Identified Regional Development Challenges (10 GPs) </w:t>
            </w:r>
          </w:p>
          <w:p w14:paraId="65186686" w14:textId="77777777" w:rsidR="007D6420" w:rsidRPr="002E1A3F" w:rsidRDefault="00B00100" w:rsidP="00F9158E">
            <w:pPr>
              <w:keepNext/>
              <w:keepLines/>
              <w:widowControl/>
              <w:numPr>
                <w:ilvl w:val="0"/>
                <w:numId w:val="15"/>
              </w:numPr>
              <w:tabs>
                <w:tab w:val="left" w:pos="0"/>
                <w:tab w:val="left" w:pos="376"/>
              </w:tabs>
              <w:autoSpaceDE/>
              <w:autoSpaceDN/>
              <w:adjustRightInd/>
              <w:ind w:left="187" w:hanging="158"/>
              <w:rPr>
                <w:rFonts w:ascii="Calibri" w:eastAsia="Calibri" w:hAnsi="Calibri" w:cs="Calibri"/>
                <w:sz w:val="18"/>
                <w:szCs w:val="18"/>
              </w:rPr>
            </w:pPr>
            <w:r w:rsidRPr="002E1A3F">
              <w:rPr>
                <w:rFonts w:ascii="Calibri" w:eastAsia="Calibri" w:hAnsi="Calibri" w:cs="Calibri"/>
                <w:sz w:val="18"/>
                <w:szCs w:val="18"/>
              </w:rPr>
              <w:t xml:space="preserve">Consultations on national participation and IDA allocation </w:t>
            </w:r>
          </w:p>
        </w:tc>
      </w:tr>
      <w:tr w:rsidR="000C3959" w14:paraId="66B566F8" w14:textId="77777777" w:rsidTr="00F9158E">
        <w:trPr>
          <w:trHeight w:val="938"/>
        </w:trPr>
        <w:tc>
          <w:tcPr>
            <w:tcW w:w="5215" w:type="dxa"/>
          </w:tcPr>
          <w:p w14:paraId="5A67E361"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Development Partners</w:t>
            </w:r>
          </w:p>
          <w:p w14:paraId="5E8AE3F7"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AFD and IRD (France)</w:t>
            </w:r>
          </w:p>
          <w:p w14:paraId="115871DF"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IDRC (Canada)</w:t>
            </w:r>
          </w:p>
          <w:p w14:paraId="09152426"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BMBF (Germany)</w:t>
            </w:r>
          </w:p>
        </w:tc>
        <w:tc>
          <w:tcPr>
            <w:tcW w:w="4320" w:type="dxa"/>
          </w:tcPr>
          <w:p w14:paraId="0B1878C2" w14:textId="77777777" w:rsidR="007D6420" w:rsidRPr="002E1A3F" w:rsidRDefault="007D6420" w:rsidP="00F9158E">
            <w:pPr>
              <w:keepNext/>
              <w:keepLines/>
              <w:widowControl/>
              <w:tabs>
                <w:tab w:val="left" w:pos="0"/>
                <w:tab w:val="left" w:pos="376"/>
              </w:tabs>
              <w:autoSpaceDE/>
              <w:autoSpaceDN/>
              <w:adjustRightInd/>
              <w:ind w:left="196"/>
              <w:rPr>
                <w:rFonts w:ascii="Calibri" w:eastAsia="Calibri,Times New Roman" w:hAnsi="Calibri" w:cs="Calibri"/>
                <w:sz w:val="18"/>
                <w:szCs w:val="18"/>
              </w:rPr>
            </w:pPr>
          </w:p>
          <w:p w14:paraId="44DD71BC"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Consultation on AFD Co-financing</w:t>
            </w:r>
          </w:p>
          <w:p w14:paraId="7E61092B"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Times New Roman" w:hAnsi="Calibri" w:cs="Calibri"/>
                <w:sz w:val="18"/>
                <w:szCs w:val="18"/>
              </w:rPr>
            </w:pPr>
            <w:r w:rsidRPr="002E1A3F">
              <w:rPr>
                <w:rFonts w:ascii="Calibri" w:eastAsia="Calibri" w:hAnsi="Calibri" w:cs="Calibri"/>
                <w:sz w:val="18"/>
                <w:szCs w:val="18"/>
              </w:rPr>
              <w:t>Consultations on project design</w:t>
            </w:r>
          </w:p>
          <w:p w14:paraId="6BA9A896" w14:textId="77777777" w:rsidR="007D6420" w:rsidRPr="002E1A3F" w:rsidRDefault="00B00100" w:rsidP="00F9158E">
            <w:pPr>
              <w:keepNext/>
              <w:keepLines/>
              <w:widowControl/>
              <w:numPr>
                <w:ilvl w:val="0"/>
                <w:numId w:val="15"/>
              </w:numPr>
              <w:tabs>
                <w:tab w:val="left" w:pos="0"/>
                <w:tab w:val="left" w:pos="376"/>
              </w:tabs>
              <w:autoSpaceDE/>
              <w:autoSpaceDN/>
              <w:adjustRightInd/>
              <w:ind w:left="187" w:hanging="158"/>
              <w:rPr>
                <w:rFonts w:ascii="Calibri" w:eastAsia="Calibri,Times New Roman" w:hAnsi="Calibri" w:cs="Calibri"/>
                <w:sz w:val="18"/>
                <w:szCs w:val="18"/>
              </w:rPr>
            </w:pPr>
            <w:r w:rsidRPr="002E1A3F">
              <w:rPr>
                <w:rFonts w:ascii="Calibri" w:eastAsia="Calibri" w:hAnsi="Calibri" w:cs="Calibri"/>
                <w:sz w:val="18"/>
                <w:szCs w:val="18"/>
              </w:rPr>
              <w:t>Consultations on partnerships post selection</w:t>
            </w:r>
          </w:p>
        </w:tc>
      </w:tr>
      <w:tr w:rsidR="000C3959" w14:paraId="242E337D" w14:textId="77777777" w:rsidTr="00F9158E">
        <w:trPr>
          <w:trHeight w:val="647"/>
        </w:trPr>
        <w:tc>
          <w:tcPr>
            <w:tcW w:w="5215" w:type="dxa"/>
          </w:tcPr>
          <w:p w14:paraId="583C2843"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Research Funding Agencies</w:t>
            </w:r>
          </w:p>
          <w:p w14:paraId="16E168F6"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ANR, CNRS (France)</w:t>
            </w:r>
          </w:p>
          <w:p w14:paraId="608457F1"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DAAD, DFG (Germany)</w:t>
            </w:r>
          </w:p>
          <w:p w14:paraId="502EA9B1"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 xml:space="preserve">UKRI (UK) </w:t>
            </w:r>
          </w:p>
          <w:p w14:paraId="2930CFC8"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 xml:space="preserve">NSF (US) </w:t>
            </w:r>
          </w:p>
          <w:p w14:paraId="509FF563"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Japan Society for the Promotion of Science (JSPS) and Japan Science and Technology Agency (JST) (Japan)</w:t>
            </w:r>
          </w:p>
        </w:tc>
        <w:tc>
          <w:tcPr>
            <w:tcW w:w="4320" w:type="dxa"/>
          </w:tcPr>
          <w:p w14:paraId="2395A69E" w14:textId="77777777" w:rsidR="007D6420" w:rsidRPr="002E1A3F" w:rsidRDefault="007D6420" w:rsidP="00F9158E">
            <w:pPr>
              <w:keepNext/>
              <w:keepLines/>
              <w:tabs>
                <w:tab w:val="left" w:pos="0"/>
                <w:tab w:val="left" w:pos="376"/>
              </w:tabs>
              <w:ind w:left="196"/>
              <w:rPr>
                <w:rFonts w:ascii="Calibri" w:eastAsia="Calibri,Times New Roman" w:hAnsi="Calibri" w:cs="Calibri"/>
                <w:sz w:val="18"/>
                <w:szCs w:val="18"/>
              </w:rPr>
            </w:pPr>
          </w:p>
          <w:p w14:paraId="3F25B219" w14:textId="77777777" w:rsidR="007D6420" w:rsidRPr="002E1A3F" w:rsidRDefault="00B00100" w:rsidP="00F9158E">
            <w:pPr>
              <w:keepNext/>
              <w:keepLines/>
              <w:widowControl/>
              <w:numPr>
                <w:ilvl w:val="0"/>
                <w:numId w:val="15"/>
              </w:numPr>
              <w:tabs>
                <w:tab w:val="left" w:pos="0"/>
                <w:tab w:val="left" w:pos="376"/>
              </w:tabs>
              <w:autoSpaceDE/>
              <w:autoSpaceDN/>
              <w:adjustRightInd/>
              <w:ind w:left="187" w:hanging="158"/>
              <w:rPr>
                <w:rFonts w:ascii="Calibri" w:eastAsia="Calibri,Times New Roman" w:hAnsi="Calibri" w:cs="Calibri"/>
                <w:sz w:val="18"/>
                <w:szCs w:val="18"/>
              </w:rPr>
            </w:pPr>
            <w:r w:rsidRPr="002E1A3F">
              <w:rPr>
                <w:rFonts w:ascii="Calibri" w:eastAsia="Calibri" w:hAnsi="Calibri" w:cs="Calibri"/>
                <w:sz w:val="18"/>
                <w:szCs w:val="18"/>
              </w:rPr>
              <w:t>Workshops and consultations on project design and partnerships with international academics and industry</w:t>
            </w:r>
          </w:p>
        </w:tc>
      </w:tr>
      <w:tr w:rsidR="000C3959" w14:paraId="7DF0DF1F" w14:textId="77777777" w:rsidTr="00F9158E">
        <w:trPr>
          <w:trHeight w:val="494"/>
        </w:trPr>
        <w:tc>
          <w:tcPr>
            <w:tcW w:w="5215" w:type="dxa"/>
          </w:tcPr>
          <w:p w14:paraId="1B7A040D" w14:textId="77777777" w:rsidR="007D6420" w:rsidRPr="002E1A3F" w:rsidRDefault="00B00100" w:rsidP="00F9158E">
            <w:pPr>
              <w:keepNext/>
              <w:keepLines/>
              <w:tabs>
                <w:tab w:val="left" w:pos="0"/>
                <w:tab w:val="left" w:pos="720"/>
              </w:tabs>
              <w:jc w:val="both"/>
              <w:rPr>
                <w:rFonts w:ascii="Calibri" w:eastAsia="Calibri" w:hAnsi="Calibri" w:cs="Calibri"/>
                <w:b/>
                <w:color w:val="0070C0"/>
                <w:sz w:val="18"/>
                <w:szCs w:val="18"/>
              </w:rPr>
            </w:pPr>
            <w:r w:rsidRPr="002E1A3F">
              <w:rPr>
                <w:rFonts w:ascii="Calibri" w:eastAsia="Calibri" w:hAnsi="Calibri" w:cs="Calibri"/>
                <w:b/>
                <w:color w:val="0070C0"/>
                <w:sz w:val="18"/>
                <w:szCs w:val="18"/>
              </w:rPr>
              <w:t>Industry/Sectoral Players</w:t>
            </w:r>
          </w:p>
          <w:p w14:paraId="32FA1EB2"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ICT-oriented companies (Intel, Microsoft, Orange, Digital skills, Ericsson, Vodafone)</w:t>
            </w:r>
          </w:p>
          <w:p w14:paraId="40786071"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 xml:space="preserve">Solar energy companies </w:t>
            </w:r>
          </w:p>
          <w:p w14:paraId="6518975B"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West African Health Organization (WAHO);</w:t>
            </w:r>
          </w:p>
          <w:p w14:paraId="7B7362C2"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West African Power Pool (WAPP)</w:t>
            </w:r>
          </w:p>
          <w:p w14:paraId="14A0B17A"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National Instruments</w:t>
            </w:r>
          </w:p>
          <w:p w14:paraId="73C558AE" w14:textId="77777777" w:rsidR="007D6420" w:rsidRPr="002E1A3F" w:rsidRDefault="00B00100" w:rsidP="00F9158E">
            <w:pPr>
              <w:keepNext/>
              <w:keepLines/>
              <w:widowControl/>
              <w:numPr>
                <w:ilvl w:val="0"/>
                <w:numId w:val="15"/>
              </w:numPr>
              <w:tabs>
                <w:tab w:val="left" w:pos="0"/>
                <w:tab w:val="left" w:pos="376"/>
              </w:tabs>
              <w:autoSpaceDE/>
              <w:autoSpaceDN/>
              <w:adjustRightInd/>
              <w:ind w:left="196" w:hanging="164"/>
              <w:rPr>
                <w:rFonts w:ascii="Calibri" w:eastAsia="Calibri" w:hAnsi="Calibri" w:cs="Calibri"/>
                <w:sz w:val="18"/>
                <w:szCs w:val="18"/>
              </w:rPr>
            </w:pPr>
            <w:r w:rsidRPr="002E1A3F">
              <w:rPr>
                <w:rFonts w:ascii="Calibri" w:eastAsia="Calibri" w:hAnsi="Calibri" w:cs="Calibri"/>
                <w:sz w:val="18"/>
                <w:szCs w:val="18"/>
              </w:rPr>
              <w:t>Royal Academy of Engineers (UK)</w:t>
            </w:r>
          </w:p>
        </w:tc>
        <w:tc>
          <w:tcPr>
            <w:tcW w:w="4320" w:type="dxa"/>
          </w:tcPr>
          <w:p w14:paraId="74E7F05C" w14:textId="77777777" w:rsidR="007D6420" w:rsidRPr="002E1A3F" w:rsidRDefault="007D6420" w:rsidP="00F9158E">
            <w:pPr>
              <w:keepNext/>
              <w:keepLines/>
              <w:tabs>
                <w:tab w:val="left" w:pos="0"/>
                <w:tab w:val="left" w:pos="376"/>
              </w:tabs>
              <w:ind w:left="202"/>
              <w:rPr>
                <w:rFonts w:ascii="Calibri" w:eastAsia="Calibri" w:hAnsi="Calibri" w:cs="Calibri"/>
                <w:sz w:val="18"/>
                <w:szCs w:val="18"/>
              </w:rPr>
            </w:pPr>
          </w:p>
          <w:p w14:paraId="00FD0205" w14:textId="77777777" w:rsidR="007D6420" w:rsidRPr="002E1A3F" w:rsidRDefault="00B00100" w:rsidP="00F9158E">
            <w:pPr>
              <w:keepNext/>
              <w:keepLines/>
              <w:widowControl/>
              <w:numPr>
                <w:ilvl w:val="0"/>
                <w:numId w:val="15"/>
              </w:numPr>
              <w:tabs>
                <w:tab w:val="left" w:pos="0"/>
                <w:tab w:val="left" w:pos="376"/>
              </w:tabs>
              <w:autoSpaceDE/>
              <w:autoSpaceDN/>
              <w:adjustRightInd/>
              <w:ind w:left="202" w:hanging="164"/>
              <w:rPr>
                <w:rFonts w:ascii="Calibri" w:eastAsia="Calibri" w:hAnsi="Calibri" w:cs="Calibri"/>
                <w:sz w:val="18"/>
                <w:szCs w:val="18"/>
              </w:rPr>
            </w:pPr>
            <w:r w:rsidRPr="002E1A3F">
              <w:rPr>
                <w:rFonts w:ascii="Calibri" w:eastAsia="Calibri" w:hAnsi="Calibri" w:cs="Calibri"/>
                <w:sz w:val="18"/>
                <w:szCs w:val="18"/>
              </w:rPr>
              <w:t>Consultations on skills and applied research needs within various sectors</w:t>
            </w:r>
          </w:p>
          <w:p w14:paraId="05433264" w14:textId="77777777" w:rsidR="007D6420" w:rsidRPr="002E1A3F" w:rsidRDefault="00B00100" w:rsidP="00F9158E">
            <w:pPr>
              <w:keepNext/>
              <w:keepLines/>
              <w:widowControl/>
              <w:numPr>
                <w:ilvl w:val="0"/>
                <w:numId w:val="15"/>
              </w:numPr>
              <w:tabs>
                <w:tab w:val="left" w:pos="0"/>
                <w:tab w:val="left" w:pos="376"/>
              </w:tabs>
              <w:autoSpaceDE/>
              <w:autoSpaceDN/>
              <w:adjustRightInd/>
              <w:spacing w:after="80"/>
              <w:ind w:left="196" w:hanging="164"/>
              <w:rPr>
                <w:rFonts w:ascii="Calibri" w:eastAsia="Calibri" w:hAnsi="Calibri" w:cs="Calibri"/>
                <w:sz w:val="18"/>
                <w:szCs w:val="18"/>
              </w:rPr>
            </w:pPr>
            <w:r w:rsidRPr="002E1A3F">
              <w:rPr>
                <w:rFonts w:ascii="Calibri" w:eastAsia="Calibri" w:hAnsi="Calibri" w:cs="Calibri"/>
                <w:sz w:val="18"/>
                <w:szCs w:val="18"/>
              </w:rPr>
              <w:t>Discussions on potential areas of collaboration</w:t>
            </w:r>
          </w:p>
        </w:tc>
      </w:tr>
    </w:tbl>
    <w:p w14:paraId="1CACA7D3" w14:textId="77777777" w:rsidR="007D6420" w:rsidRPr="008E2709" w:rsidRDefault="007D6420" w:rsidP="008E2709">
      <w:pPr>
        <w:pStyle w:val="ListParagraph"/>
        <w:spacing w:after="120"/>
        <w:ind w:left="360"/>
        <w:jc w:val="both"/>
        <w:rPr>
          <w:rFonts w:ascii="Batang" w:eastAsia="Batang" w:hAnsi="Batang" w:cs="Batang"/>
          <w:lang w:eastAsia="ko-KR"/>
        </w:rPr>
        <w:sectPr w:rsidR="007D6420" w:rsidRPr="008E2709" w:rsidSect="0037713F">
          <w:headerReference w:type="even" r:id="rId49"/>
          <w:headerReference w:type="default" r:id="rId50"/>
          <w:footerReference w:type="default" r:id="rId51"/>
          <w:headerReference w:type="first" r:id="rId52"/>
          <w:pgSz w:w="12240" w:h="15840"/>
          <w:pgMar w:top="1440" w:right="1440" w:bottom="1440" w:left="1440" w:header="720" w:footer="720" w:gutter="0"/>
          <w:cols w:space="720"/>
          <w:docGrid w:linePitch="360"/>
        </w:sectPr>
      </w:pPr>
    </w:p>
    <w:tbl>
      <w:tblPr>
        <w:tblW w:w="10962" w:type="dxa"/>
        <w:tblInd w:w="-882" w:type="dxa"/>
        <w:shd w:val="clear" w:color="auto" w:fill="F2F7FC"/>
        <w:tblLayout w:type="fixed"/>
        <w:tblLook w:val="04A0" w:firstRow="1" w:lastRow="0" w:firstColumn="1" w:lastColumn="0" w:noHBand="0" w:noVBand="1"/>
      </w:tblPr>
      <w:tblGrid>
        <w:gridCol w:w="10962"/>
      </w:tblGrid>
      <w:tr w:rsidR="000C3959" w14:paraId="25568873" w14:textId="77777777" w:rsidTr="009277AD">
        <w:trPr>
          <w:trHeight w:val="432"/>
        </w:trPr>
        <w:tc>
          <w:tcPr>
            <w:tcW w:w="10962" w:type="dxa"/>
            <w:shd w:val="clear" w:color="auto" w:fill="F2F7FC"/>
            <w:vAlign w:val="center"/>
          </w:tcPr>
          <w:p w14:paraId="26AF121C" w14:textId="77777777" w:rsidR="002E1A3F" w:rsidRPr="002E1A3F" w:rsidRDefault="00B00100"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396" w:name="_Toc256000155"/>
            <w:bookmarkStart w:id="397" w:name="_Toc256000126"/>
            <w:bookmarkStart w:id="398" w:name="_Toc256000096"/>
            <w:bookmarkStart w:id="399" w:name="_Toc256000064"/>
            <w:bookmarkStart w:id="400" w:name="_Toc256000033"/>
            <w:bookmarkStart w:id="401" w:name="_Toc8301940"/>
            <w:bookmarkStart w:id="402" w:name="_Toc14789362"/>
            <w:bookmarkStart w:id="403" w:name="_Toc22655929"/>
            <w:bookmarkStart w:id="404" w:name="_Toc23779855"/>
            <w:bookmarkStart w:id="405" w:name="_Toc23866071"/>
            <w:bookmarkStart w:id="406" w:name="_Toc23930682"/>
            <w:r w:rsidRPr="002E1A3F">
              <w:rPr>
                <w:rFonts w:ascii="Calibri" w:eastAsia="Times New Roman" w:hAnsi="Calibri" w:cs="Times New Roman"/>
                <w:b/>
                <w:iCs/>
                <w:color w:val="auto"/>
                <w:sz w:val="22"/>
                <w:szCs w:val="22"/>
              </w:rPr>
              <w:lastRenderedPageBreak/>
              <w:t>ANNEX 2: Financial Management, Disbursements and Procurement</w:t>
            </w:r>
            <w:bookmarkEnd w:id="396"/>
            <w:bookmarkEnd w:id="397"/>
            <w:bookmarkEnd w:id="398"/>
            <w:bookmarkEnd w:id="399"/>
            <w:bookmarkEnd w:id="400"/>
            <w:bookmarkEnd w:id="401"/>
            <w:bookmarkEnd w:id="402"/>
            <w:bookmarkEnd w:id="403"/>
            <w:bookmarkEnd w:id="404"/>
            <w:bookmarkEnd w:id="405"/>
            <w:bookmarkEnd w:id="406"/>
          </w:p>
        </w:tc>
      </w:tr>
    </w:tbl>
    <w:p w14:paraId="03BD7A2C" w14:textId="77777777" w:rsidR="002E1A3F" w:rsidRPr="002E1A3F" w:rsidRDefault="002E1A3F" w:rsidP="002E1A3F">
      <w:pPr>
        <w:widowControl/>
        <w:autoSpaceDE/>
        <w:autoSpaceDN/>
        <w:adjustRightInd/>
        <w:spacing w:after="160" w:line="259" w:lineRule="auto"/>
        <w:ind w:left="360"/>
        <w:contextualSpacing/>
        <w:rPr>
          <w:rFonts w:ascii="Calibri" w:eastAsia="Times New Roman" w:hAnsi="Calibri" w:cs="Calibri"/>
          <w:b/>
          <w:color w:val="0070C0"/>
          <w:sz w:val="22"/>
          <w:szCs w:val="22"/>
          <w:lang w:val="fr-FR"/>
        </w:rPr>
      </w:pPr>
    </w:p>
    <w:p w14:paraId="1704AE06" w14:textId="77777777" w:rsidR="002E1A3F" w:rsidRPr="002E1A3F" w:rsidRDefault="00B00100" w:rsidP="008E2709">
      <w:pPr>
        <w:widowControl/>
        <w:numPr>
          <w:ilvl w:val="0"/>
          <w:numId w:val="29"/>
        </w:numPr>
        <w:autoSpaceDE/>
        <w:autoSpaceDN/>
        <w:adjustRightInd/>
        <w:spacing w:after="240"/>
        <w:rPr>
          <w:rFonts w:ascii="Calibri" w:eastAsia="Times New Roman" w:hAnsi="Calibri" w:cs="Calibri"/>
          <w:b/>
          <w:color w:val="0070C0"/>
          <w:sz w:val="22"/>
          <w:szCs w:val="22"/>
        </w:rPr>
      </w:pPr>
      <w:r w:rsidRPr="002E1A3F">
        <w:rPr>
          <w:rFonts w:ascii="Calibri" w:eastAsia="Times New Roman" w:hAnsi="Calibri" w:cs="Calibri"/>
          <w:b/>
          <w:color w:val="0070C0"/>
          <w:sz w:val="22"/>
          <w:szCs w:val="22"/>
        </w:rPr>
        <w:t>Financial Management and Disbursements</w:t>
      </w:r>
    </w:p>
    <w:p w14:paraId="2994CCF6" w14:textId="77777777" w:rsidR="003D4270" w:rsidRPr="00B81291" w:rsidRDefault="00B00100" w:rsidP="006C70A5">
      <w:pPr>
        <w:spacing w:after="240"/>
        <w:ind w:left="360"/>
        <w:jc w:val="both"/>
        <w:rPr>
          <w:rFonts w:ascii="Calibri" w:eastAsia="Times New Roman" w:hAnsi="Calibri" w:cs="Calibri"/>
          <w:b/>
          <w:i/>
          <w:color w:val="0070C0"/>
          <w:sz w:val="22"/>
          <w:szCs w:val="22"/>
          <w:lang w:eastAsia="ko-KR"/>
        </w:rPr>
      </w:pPr>
      <w:r w:rsidRPr="00B81291">
        <w:rPr>
          <w:rFonts w:ascii="Calibri" w:eastAsia="Times New Roman" w:hAnsi="Calibri" w:cs="Calibri"/>
          <w:b/>
          <w:i/>
          <w:color w:val="0070C0"/>
          <w:sz w:val="22"/>
          <w:szCs w:val="22"/>
          <w:lang w:eastAsia="ko-KR"/>
        </w:rPr>
        <w:t>Financial Management - Institutional Arrangements</w:t>
      </w:r>
    </w:p>
    <w:p w14:paraId="4C87B65C" w14:textId="65FE898B" w:rsidR="005B5A65" w:rsidRPr="005B5A65" w:rsidRDefault="00B00100" w:rsidP="00C2286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5B5A65">
        <w:rPr>
          <w:rFonts w:ascii="Calibri" w:eastAsia="Calibri" w:hAnsi="Calibri" w:cs="Calibri"/>
          <w:b/>
          <w:color w:val="auto"/>
          <w:sz w:val="22"/>
          <w:szCs w:val="22"/>
        </w:rPr>
        <w:t>At the national level, each selected higher education institution will implement its own ACE Impact sub-project.</w:t>
      </w:r>
      <w:r w:rsidRPr="005B5A65">
        <w:rPr>
          <w:rFonts w:ascii="Calibri" w:eastAsia="Calibri" w:hAnsi="Calibri" w:cs="Calibri"/>
          <w:color w:val="auto"/>
          <w:sz w:val="22"/>
          <w:szCs w:val="22"/>
        </w:rPr>
        <w:t xml:space="preserve"> Each Second ACE Impact host institution will house an ACE Impact implementation team that will manage both the technical and the fiduciary aspects of its own sub-project. </w:t>
      </w:r>
      <w:bookmarkStart w:id="407" w:name="_Hlk535077866"/>
      <w:r w:rsidRPr="005B5A65">
        <w:rPr>
          <w:rFonts w:ascii="Calibri" w:eastAsia="Calibri" w:hAnsi="Calibri" w:cs="Calibri"/>
          <w:color w:val="auto"/>
          <w:sz w:val="22"/>
          <w:szCs w:val="22"/>
        </w:rPr>
        <w:t>At the regional level, AAU, in its role as the RFU will receive a grant for overall project facilitation as indicated under Component 3</w:t>
      </w:r>
      <w:bookmarkEnd w:id="407"/>
      <w:r w:rsidR="00DC04CB" w:rsidRPr="005B5A65">
        <w:rPr>
          <w:rFonts w:ascii="Calibri" w:eastAsia="Calibri" w:hAnsi="Calibri" w:cs="Calibri"/>
          <w:color w:val="auto"/>
          <w:sz w:val="22"/>
          <w:szCs w:val="22"/>
        </w:rPr>
        <w:t>.</w:t>
      </w:r>
      <w:r w:rsidRPr="005B5A65">
        <w:rPr>
          <w:rFonts w:ascii="Calibri" w:eastAsia="Calibri" w:hAnsi="Calibri" w:cs="Calibri"/>
          <w:color w:val="auto"/>
          <w:sz w:val="22"/>
          <w:szCs w:val="22"/>
        </w:rPr>
        <w:t xml:space="preserve"> AAU will be responsible for all fiduciary aspects associated with the use of the grant it will receive. In addition, </w:t>
      </w:r>
      <w:bookmarkStart w:id="408" w:name="_Hlk535077995"/>
      <w:r w:rsidRPr="005B5A65">
        <w:rPr>
          <w:rFonts w:ascii="Calibri" w:eastAsia="Calibri" w:hAnsi="Calibri" w:cs="Calibri"/>
          <w:color w:val="auto"/>
          <w:sz w:val="22"/>
          <w:szCs w:val="22"/>
        </w:rPr>
        <w:t xml:space="preserve">under </w:t>
      </w:r>
      <w:r w:rsidR="0009168D" w:rsidRPr="005B5A65">
        <w:rPr>
          <w:rFonts w:ascii="Calibri" w:eastAsia="Calibri" w:hAnsi="Calibri" w:cs="Calibri"/>
          <w:color w:val="auto"/>
          <w:sz w:val="22"/>
          <w:szCs w:val="22"/>
        </w:rPr>
        <w:t>C</w:t>
      </w:r>
      <w:r w:rsidRPr="005B5A65">
        <w:rPr>
          <w:rFonts w:ascii="Calibri" w:eastAsia="Calibri" w:hAnsi="Calibri" w:cs="Calibri"/>
          <w:color w:val="auto"/>
          <w:sz w:val="22"/>
          <w:szCs w:val="22"/>
        </w:rPr>
        <w:t xml:space="preserve">omponent 3 of the </w:t>
      </w:r>
      <w:r w:rsidR="00DC04CB" w:rsidRPr="005B5A65">
        <w:rPr>
          <w:rFonts w:ascii="Calibri" w:eastAsia="Calibri" w:hAnsi="Calibri" w:cs="Calibri"/>
          <w:color w:val="auto"/>
          <w:sz w:val="22"/>
          <w:szCs w:val="22"/>
        </w:rPr>
        <w:t>proposed</w:t>
      </w:r>
      <w:r w:rsidRPr="005B5A65">
        <w:rPr>
          <w:rFonts w:ascii="Calibri" w:eastAsia="Calibri" w:hAnsi="Calibri" w:cs="Calibri"/>
          <w:color w:val="auto"/>
          <w:sz w:val="22"/>
          <w:szCs w:val="22"/>
        </w:rPr>
        <w:t xml:space="preserve"> project, the NUC </w:t>
      </w:r>
      <w:r w:rsidR="00DE6BA3" w:rsidRPr="005B5A65">
        <w:rPr>
          <w:rFonts w:ascii="Calibri" w:eastAsia="Calibri" w:hAnsi="Calibri" w:cs="Calibri"/>
          <w:color w:val="auto"/>
          <w:sz w:val="22"/>
          <w:szCs w:val="22"/>
        </w:rPr>
        <w:t xml:space="preserve">and the PCU-Gambia </w:t>
      </w:r>
      <w:r w:rsidRPr="005B5A65">
        <w:rPr>
          <w:rFonts w:ascii="Calibri" w:eastAsia="Calibri" w:hAnsi="Calibri" w:cs="Calibri"/>
          <w:color w:val="auto"/>
          <w:sz w:val="22"/>
          <w:szCs w:val="22"/>
        </w:rPr>
        <w:t>as indicated earlier will also receive funding for national level coordination of the centers in Nigeria</w:t>
      </w:r>
      <w:r w:rsidR="00DE6BA3" w:rsidRPr="005B5A65">
        <w:rPr>
          <w:rFonts w:ascii="Calibri" w:eastAsia="Calibri" w:hAnsi="Calibri" w:cs="Calibri"/>
          <w:color w:val="auto"/>
          <w:sz w:val="22"/>
          <w:szCs w:val="22"/>
        </w:rPr>
        <w:t xml:space="preserve"> and </w:t>
      </w:r>
      <w:r w:rsidR="00257580" w:rsidRPr="005B5A65">
        <w:rPr>
          <w:rFonts w:ascii="Calibri" w:eastAsia="Calibri" w:hAnsi="Calibri" w:cs="Calibri"/>
          <w:color w:val="auto"/>
          <w:sz w:val="22"/>
          <w:szCs w:val="22"/>
        </w:rPr>
        <w:t>T</w:t>
      </w:r>
      <w:r w:rsidR="00DE6BA3" w:rsidRPr="005B5A65">
        <w:rPr>
          <w:rFonts w:ascii="Calibri" w:eastAsia="Calibri" w:hAnsi="Calibri" w:cs="Calibri"/>
          <w:color w:val="auto"/>
          <w:sz w:val="22"/>
          <w:szCs w:val="22"/>
        </w:rPr>
        <w:t>he Gambia</w:t>
      </w:r>
      <w:r w:rsidRPr="005B5A65">
        <w:rPr>
          <w:rFonts w:ascii="Calibri" w:eastAsia="Calibri" w:hAnsi="Calibri" w:cs="Calibri"/>
          <w:color w:val="auto"/>
          <w:sz w:val="22"/>
          <w:szCs w:val="22"/>
        </w:rPr>
        <w:t xml:space="preserve">. </w:t>
      </w:r>
      <w:bookmarkEnd w:id="408"/>
      <w:r w:rsidR="00E63807">
        <w:rPr>
          <w:rFonts w:ascii="Calibri" w:eastAsia="Calibri" w:hAnsi="Calibri" w:cs="Calibri"/>
          <w:color w:val="auto"/>
          <w:sz w:val="22"/>
          <w:szCs w:val="22"/>
        </w:rPr>
        <w:t>Sub-c</w:t>
      </w:r>
      <w:r w:rsidRPr="005B5A65">
        <w:rPr>
          <w:rFonts w:ascii="Calibri" w:eastAsia="Calibri" w:hAnsi="Calibri" w:cs="Calibri"/>
          <w:color w:val="auto"/>
          <w:sz w:val="22"/>
          <w:szCs w:val="22"/>
        </w:rPr>
        <w:t xml:space="preserve">omponent 2.2 will be implemented by </w:t>
      </w:r>
      <w:r w:rsidRPr="005B5A65">
        <w:rPr>
          <w:rFonts w:ascii="Calibri" w:eastAsia="Calibri" w:hAnsi="Calibri" w:cs="Calibri"/>
          <w:i/>
          <w:color w:val="auto"/>
          <w:sz w:val="22"/>
          <w:szCs w:val="22"/>
        </w:rPr>
        <w:t>icipe</w:t>
      </w:r>
      <w:r w:rsidR="00CB1904" w:rsidRPr="005B5A65">
        <w:rPr>
          <w:rFonts w:ascii="Calibri" w:eastAsia="Calibri" w:hAnsi="Calibri" w:cs="Calibri"/>
          <w:i/>
          <w:color w:val="auto"/>
          <w:sz w:val="22"/>
          <w:szCs w:val="22"/>
        </w:rPr>
        <w:t>,</w:t>
      </w:r>
      <w:r w:rsidRPr="005B5A65">
        <w:rPr>
          <w:rFonts w:ascii="Calibri" w:eastAsia="Calibri" w:hAnsi="Calibri" w:cs="Calibri"/>
          <w:color w:val="auto"/>
          <w:sz w:val="22"/>
          <w:szCs w:val="22"/>
        </w:rPr>
        <w:t xml:space="preserve"> which is a regional coordination unit implementing RSIF. The </w:t>
      </w:r>
      <w:r w:rsidR="0037397E">
        <w:rPr>
          <w:rFonts w:ascii="Calibri" w:eastAsia="Calibri" w:hAnsi="Calibri" w:cs="Calibri"/>
          <w:color w:val="auto"/>
          <w:sz w:val="22"/>
          <w:szCs w:val="22"/>
        </w:rPr>
        <w:t xml:space="preserve">FM </w:t>
      </w:r>
      <w:r w:rsidRPr="005B5A65">
        <w:rPr>
          <w:rFonts w:ascii="Calibri" w:eastAsia="Calibri" w:hAnsi="Calibri" w:cs="Calibri"/>
          <w:color w:val="auto"/>
          <w:sz w:val="22"/>
          <w:szCs w:val="22"/>
        </w:rPr>
        <w:t xml:space="preserve">action plan and mitigating measures are reflected in Table A 2.3. </w:t>
      </w:r>
    </w:p>
    <w:p w14:paraId="0D6BBBB8" w14:textId="77777777" w:rsidR="002E1A3F" w:rsidRPr="002E1A3F"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2E1A3F">
        <w:rPr>
          <w:rFonts w:ascii="Calibri" w:eastAsia="Calibri" w:hAnsi="Calibri" w:cs="Calibri"/>
          <w:b/>
          <w:color w:val="auto"/>
          <w:sz w:val="22"/>
          <w:szCs w:val="22"/>
        </w:rPr>
        <w:t xml:space="preserve">Assessments of the FM capacity of each of the implementing entities (the ACE Impact centers, </w:t>
      </w:r>
      <w:r w:rsidRPr="002E1A3F">
        <w:rPr>
          <w:rFonts w:ascii="Calibri" w:eastAsia="Calibri" w:hAnsi="Calibri" w:cs="Calibri"/>
          <w:b/>
          <w:i/>
          <w:color w:val="auto"/>
          <w:sz w:val="22"/>
          <w:szCs w:val="22"/>
        </w:rPr>
        <w:t>icipe</w:t>
      </w:r>
      <w:r w:rsidR="00CB1904">
        <w:rPr>
          <w:rFonts w:ascii="Calibri" w:eastAsia="Calibri" w:hAnsi="Calibri" w:cs="Calibri"/>
          <w:b/>
          <w:i/>
          <w:color w:val="auto"/>
          <w:sz w:val="22"/>
          <w:szCs w:val="22"/>
        </w:rPr>
        <w:t>,</w:t>
      </w:r>
      <w:r w:rsidRPr="002E1A3F">
        <w:rPr>
          <w:rFonts w:ascii="Calibri" w:eastAsia="Calibri" w:hAnsi="Calibri" w:cs="Calibri"/>
          <w:b/>
          <w:color w:val="auto"/>
          <w:sz w:val="22"/>
          <w:szCs w:val="22"/>
        </w:rPr>
        <w:t xml:space="preserve"> </w:t>
      </w:r>
      <w:r w:rsidR="00D60143">
        <w:rPr>
          <w:rFonts w:ascii="Calibri" w:eastAsia="Calibri" w:hAnsi="Calibri" w:cs="Calibri"/>
          <w:b/>
          <w:color w:val="auto"/>
          <w:sz w:val="22"/>
          <w:szCs w:val="22"/>
        </w:rPr>
        <w:t xml:space="preserve">AAU, </w:t>
      </w:r>
      <w:r w:rsidR="00CB1904">
        <w:rPr>
          <w:rFonts w:ascii="Calibri" w:eastAsia="Calibri" w:hAnsi="Calibri" w:cs="Calibri"/>
          <w:b/>
          <w:color w:val="auto"/>
          <w:sz w:val="22"/>
          <w:szCs w:val="22"/>
        </w:rPr>
        <w:t>NUC</w:t>
      </w:r>
      <w:r w:rsidR="00D60143">
        <w:rPr>
          <w:rFonts w:ascii="Calibri" w:eastAsia="Calibri" w:hAnsi="Calibri" w:cs="Calibri"/>
          <w:b/>
          <w:color w:val="auto"/>
          <w:sz w:val="22"/>
          <w:szCs w:val="22"/>
        </w:rPr>
        <w:t xml:space="preserve"> and the </w:t>
      </w:r>
      <w:r w:rsidR="00B31184" w:rsidRPr="00B31184">
        <w:rPr>
          <w:rFonts w:ascii="Calibri" w:eastAsia="Calibri" w:hAnsi="Calibri" w:cs="Calibri"/>
          <w:b/>
          <w:color w:val="auto"/>
          <w:sz w:val="22"/>
          <w:szCs w:val="22"/>
        </w:rPr>
        <w:t>PCU-Gambia</w:t>
      </w:r>
      <w:r w:rsidRPr="002E1A3F">
        <w:rPr>
          <w:rFonts w:ascii="Calibri" w:eastAsia="Calibri" w:hAnsi="Calibri" w:cs="Calibri"/>
          <w:b/>
          <w:color w:val="auto"/>
          <w:sz w:val="22"/>
          <w:szCs w:val="22"/>
        </w:rPr>
        <w:t xml:space="preserve">) in the participating countries </w:t>
      </w:r>
      <w:r w:rsidR="00562681">
        <w:rPr>
          <w:rFonts w:ascii="Calibri" w:eastAsia="Calibri" w:hAnsi="Calibri" w:cs="Calibri"/>
          <w:b/>
          <w:color w:val="auto"/>
          <w:sz w:val="22"/>
          <w:szCs w:val="22"/>
        </w:rPr>
        <w:t>have been</w:t>
      </w:r>
      <w:r w:rsidRPr="002E1A3F">
        <w:rPr>
          <w:rFonts w:ascii="Calibri" w:eastAsia="Calibri" w:hAnsi="Calibri" w:cs="Calibri"/>
          <w:b/>
          <w:color w:val="auto"/>
          <w:sz w:val="22"/>
          <w:szCs w:val="22"/>
        </w:rPr>
        <w:t xml:space="preserve"> completed</w:t>
      </w:r>
      <w:r w:rsidR="00FE6DAD">
        <w:rPr>
          <w:rFonts w:ascii="Calibri" w:eastAsia="Calibri" w:hAnsi="Calibri" w:cs="Calibri"/>
          <w:b/>
          <w:color w:val="auto"/>
          <w:sz w:val="22"/>
          <w:szCs w:val="22"/>
        </w:rPr>
        <w:t xml:space="preserve">. The detailed summaries </w:t>
      </w:r>
      <w:r w:rsidR="003444E1">
        <w:rPr>
          <w:rFonts w:ascii="Calibri" w:eastAsia="Calibri" w:hAnsi="Calibri" w:cs="Calibri"/>
          <w:b/>
          <w:color w:val="auto"/>
          <w:sz w:val="22"/>
          <w:szCs w:val="22"/>
        </w:rPr>
        <w:t>are</w:t>
      </w:r>
      <w:r w:rsidR="00FE6DAD">
        <w:rPr>
          <w:rFonts w:ascii="Calibri" w:eastAsia="Calibri" w:hAnsi="Calibri" w:cs="Calibri"/>
          <w:b/>
          <w:color w:val="auto"/>
          <w:sz w:val="22"/>
          <w:szCs w:val="22"/>
        </w:rPr>
        <w:t xml:space="preserve"> provided</w:t>
      </w:r>
      <w:r w:rsidRPr="002E1A3F">
        <w:rPr>
          <w:rFonts w:ascii="Calibri" w:eastAsia="Calibri" w:hAnsi="Calibri" w:cs="Calibri"/>
          <w:b/>
          <w:color w:val="auto"/>
          <w:sz w:val="22"/>
          <w:szCs w:val="22"/>
        </w:rPr>
        <w:t xml:space="preserve"> </w:t>
      </w:r>
      <w:r w:rsidR="003444E1">
        <w:rPr>
          <w:rFonts w:ascii="Calibri" w:eastAsia="Calibri" w:hAnsi="Calibri" w:cs="Calibri"/>
          <w:b/>
          <w:color w:val="auto"/>
          <w:sz w:val="22"/>
          <w:szCs w:val="22"/>
        </w:rPr>
        <w:t>below</w:t>
      </w:r>
      <w:r w:rsidR="00017BE5">
        <w:rPr>
          <w:rFonts w:ascii="Calibri" w:eastAsia="Calibri" w:hAnsi="Calibri" w:cs="Calibri"/>
          <w:b/>
          <w:color w:val="auto"/>
          <w:sz w:val="22"/>
          <w:szCs w:val="22"/>
        </w:rPr>
        <w:t>.</w:t>
      </w:r>
      <w:r w:rsidRPr="002E1A3F">
        <w:rPr>
          <w:rFonts w:ascii="Calibri" w:eastAsia="Calibri" w:hAnsi="Calibri" w:cs="Calibri"/>
          <w:b/>
          <w:color w:val="auto"/>
          <w:sz w:val="22"/>
          <w:szCs w:val="22"/>
        </w:rPr>
        <w:t xml:space="preserve"> </w:t>
      </w:r>
    </w:p>
    <w:p w14:paraId="790D4294" w14:textId="77777777" w:rsidR="002E1A3F" w:rsidRDefault="00B00100" w:rsidP="006C70A5">
      <w:pPr>
        <w:widowControl/>
        <w:numPr>
          <w:ilvl w:val="0"/>
          <w:numId w:val="30"/>
        </w:numPr>
        <w:autoSpaceDE/>
        <w:autoSpaceDN/>
        <w:adjustRightInd/>
        <w:spacing w:after="120"/>
        <w:ind w:right="720" w:firstLine="0"/>
        <w:jc w:val="both"/>
        <w:rPr>
          <w:rFonts w:ascii="Calibri" w:eastAsia="Calibri" w:hAnsi="Calibri" w:cs="Calibri"/>
          <w:color w:val="auto"/>
          <w:sz w:val="22"/>
          <w:szCs w:val="22"/>
        </w:rPr>
      </w:pPr>
      <w:r>
        <w:rPr>
          <w:rFonts w:ascii="Calibri" w:eastAsia="Calibri" w:hAnsi="Calibri" w:cs="Calibri"/>
          <w:color w:val="auto"/>
          <w:sz w:val="22"/>
          <w:szCs w:val="22"/>
        </w:rPr>
        <w:t>The FM assessment</w:t>
      </w:r>
      <w:r w:rsidR="002D18F7">
        <w:rPr>
          <w:rFonts w:ascii="Calibri" w:eastAsia="Calibri" w:hAnsi="Calibri" w:cs="Calibri"/>
          <w:color w:val="auto"/>
          <w:sz w:val="22"/>
          <w:szCs w:val="22"/>
        </w:rPr>
        <w:t>s</w:t>
      </w:r>
      <w:r>
        <w:rPr>
          <w:rFonts w:ascii="Calibri" w:eastAsia="Calibri" w:hAnsi="Calibri" w:cs="Calibri"/>
          <w:color w:val="auto"/>
          <w:sz w:val="22"/>
          <w:szCs w:val="22"/>
        </w:rPr>
        <w:t xml:space="preserve"> for AA</w:t>
      </w:r>
      <w:r w:rsidR="004A7BB3">
        <w:rPr>
          <w:rFonts w:ascii="Calibri" w:eastAsia="Calibri" w:hAnsi="Calibri" w:cs="Calibri"/>
          <w:color w:val="auto"/>
          <w:sz w:val="22"/>
          <w:szCs w:val="22"/>
        </w:rPr>
        <w:t>U</w:t>
      </w:r>
      <w:r w:rsidR="000D7175">
        <w:rPr>
          <w:rFonts w:ascii="Calibri" w:eastAsia="Calibri" w:hAnsi="Calibri" w:cs="Calibri"/>
          <w:color w:val="auto"/>
          <w:sz w:val="22"/>
          <w:szCs w:val="22"/>
        </w:rPr>
        <w:t xml:space="preserve"> and </w:t>
      </w:r>
      <w:r w:rsidR="000D7175" w:rsidRPr="00B81291">
        <w:rPr>
          <w:rFonts w:ascii="Calibri" w:eastAsia="Calibri" w:hAnsi="Calibri" w:cs="Calibri"/>
          <w:i/>
          <w:color w:val="auto"/>
          <w:sz w:val="22"/>
          <w:szCs w:val="22"/>
        </w:rPr>
        <w:t>icipe</w:t>
      </w:r>
      <w:r w:rsidR="000D7175">
        <w:rPr>
          <w:rFonts w:ascii="Calibri" w:eastAsia="Calibri" w:hAnsi="Calibri" w:cs="Calibri"/>
          <w:color w:val="auto"/>
          <w:sz w:val="22"/>
          <w:szCs w:val="22"/>
        </w:rPr>
        <w:t xml:space="preserve"> were conducted </w:t>
      </w:r>
      <w:r w:rsidR="005E6280">
        <w:rPr>
          <w:rFonts w:ascii="Calibri" w:eastAsia="Calibri" w:hAnsi="Calibri" w:cs="Calibri"/>
          <w:color w:val="auto"/>
          <w:sz w:val="22"/>
          <w:szCs w:val="22"/>
        </w:rPr>
        <w:t xml:space="preserve">as part of </w:t>
      </w:r>
      <w:r w:rsidR="002D18F7">
        <w:rPr>
          <w:rFonts w:ascii="Calibri" w:eastAsia="Calibri" w:hAnsi="Calibri" w:cs="Calibri"/>
          <w:color w:val="auto"/>
          <w:sz w:val="22"/>
          <w:szCs w:val="22"/>
        </w:rPr>
        <w:t xml:space="preserve">the </w:t>
      </w:r>
      <w:r w:rsidR="005E6280">
        <w:rPr>
          <w:rFonts w:ascii="Calibri" w:eastAsia="Calibri" w:hAnsi="Calibri" w:cs="Calibri"/>
          <w:color w:val="auto"/>
          <w:sz w:val="22"/>
          <w:szCs w:val="22"/>
        </w:rPr>
        <w:t xml:space="preserve">preparation of the First </w:t>
      </w:r>
      <w:r w:rsidR="00BB4A89">
        <w:rPr>
          <w:rFonts w:ascii="Calibri" w:eastAsia="Calibri" w:hAnsi="Calibri" w:cs="Calibri"/>
          <w:color w:val="auto"/>
          <w:sz w:val="22"/>
          <w:szCs w:val="22"/>
        </w:rPr>
        <w:t>ACE Impact Project</w:t>
      </w:r>
      <w:r w:rsidR="005E6280">
        <w:rPr>
          <w:rFonts w:ascii="Calibri" w:eastAsia="Calibri" w:hAnsi="Calibri" w:cs="Calibri"/>
          <w:color w:val="auto"/>
          <w:sz w:val="22"/>
          <w:szCs w:val="22"/>
        </w:rPr>
        <w:t xml:space="preserve"> and the </w:t>
      </w:r>
      <w:r w:rsidR="00FA42DB" w:rsidRPr="002E1A3F">
        <w:rPr>
          <w:rFonts w:ascii="Calibri" w:eastAsia="Calibri" w:hAnsi="Calibri" w:cs="Calibri"/>
          <w:color w:val="auto"/>
          <w:sz w:val="22"/>
          <w:szCs w:val="22"/>
        </w:rPr>
        <w:t xml:space="preserve">Africa RSIF for Applied Sciences, Engineering and Technology </w:t>
      </w:r>
      <w:r w:rsidR="00017BE5">
        <w:rPr>
          <w:rFonts w:ascii="Calibri" w:eastAsia="Calibri" w:hAnsi="Calibri" w:cs="Calibri"/>
          <w:color w:val="auto"/>
          <w:sz w:val="22"/>
          <w:szCs w:val="22"/>
        </w:rPr>
        <w:t>P</w:t>
      </w:r>
      <w:r w:rsidR="00FA42DB" w:rsidRPr="002E1A3F">
        <w:rPr>
          <w:rFonts w:ascii="Calibri" w:eastAsia="Calibri" w:hAnsi="Calibri" w:cs="Calibri"/>
          <w:color w:val="auto"/>
          <w:sz w:val="22"/>
          <w:szCs w:val="22"/>
        </w:rPr>
        <w:t>roject (P165581)</w:t>
      </w:r>
      <w:r w:rsidR="002D18F7">
        <w:rPr>
          <w:rFonts w:ascii="Calibri" w:eastAsia="Calibri" w:hAnsi="Calibri" w:cs="Calibri"/>
          <w:color w:val="auto"/>
          <w:sz w:val="22"/>
          <w:szCs w:val="22"/>
        </w:rPr>
        <w:t>,</w:t>
      </w:r>
      <w:r w:rsidR="005E6280">
        <w:rPr>
          <w:rFonts w:ascii="Calibri" w:eastAsia="Calibri" w:hAnsi="Calibri" w:cs="Calibri"/>
          <w:color w:val="auto"/>
          <w:sz w:val="22"/>
          <w:szCs w:val="22"/>
        </w:rPr>
        <w:t xml:space="preserve"> </w:t>
      </w:r>
      <w:r w:rsidR="002D18F7">
        <w:rPr>
          <w:rFonts w:ascii="Calibri" w:eastAsia="Calibri" w:hAnsi="Calibri" w:cs="Calibri"/>
          <w:color w:val="auto"/>
          <w:sz w:val="22"/>
          <w:szCs w:val="22"/>
        </w:rPr>
        <w:t xml:space="preserve">respectively, </w:t>
      </w:r>
      <w:r w:rsidR="005E6280">
        <w:rPr>
          <w:rFonts w:ascii="Calibri" w:eastAsia="Calibri" w:hAnsi="Calibri" w:cs="Calibri"/>
          <w:color w:val="auto"/>
          <w:sz w:val="22"/>
          <w:szCs w:val="22"/>
        </w:rPr>
        <w:t xml:space="preserve">both of </w:t>
      </w:r>
      <w:r w:rsidR="00FA42DB" w:rsidRPr="002E1A3F">
        <w:rPr>
          <w:rFonts w:ascii="Calibri" w:eastAsia="Calibri" w:hAnsi="Calibri" w:cs="Calibri"/>
          <w:color w:val="auto"/>
          <w:sz w:val="22"/>
          <w:szCs w:val="22"/>
        </w:rPr>
        <w:t xml:space="preserve">which </w:t>
      </w:r>
      <w:r w:rsidR="005E6280">
        <w:rPr>
          <w:rFonts w:ascii="Calibri" w:eastAsia="Calibri" w:hAnsi="Calibri" w:cs="Calibri"/>
          <w:color w:val="auto"/>
          <w:sz w:val="22"/>
          <w:szCs w:val="22"/>
        </w:rPr>
        <w:t xml:space="preserve">are in their </w:t>
      </w:r>
      <w:r w:rsidR="00FA42DB" w:rsidRPr="002E1A3F">
        <w:rPr>
          <w:rFonts w:ascii="Calibri" w:eastAsia="Calibri" w:hAnsi="Calibri" w:cs="Calibri"/>
          <w:color w:val="auto"/>
          <w:sz w:val="22"/>
          <w:szCs w:val="22"/>
        </w:rPr>
        <w:t>first year of implementation.</w:t>
      </w:r>
      <w:r w:rsidR="00500224">
        <w:rPr>
          <w:rFonts w:ascii="Calibri" w:eastAsia="Calibri" w:hAnsi="Calibri" w:cs="Calibri"/>
          <w:color w:val="auto"/>
          <w:sz w:val="22"/>
          <w:szCs w:val="22"/>
        </w:rPr>
        <w:t xml:space="preserve"> </w:t>
      </w:r>
      <w:r w:rsidR="00894C59">
        <w:rPr>
          <w:rFonts w:ascii="Calibri" w:eastAsia="Calibri" w:hAnsi="Calibri" w:cs="Calibri"/>
          <w:color w:val="auto"/>
          <w:sz w:val="22"/>
          <w:szCs w:val="22"/>
        </w:rPr>
        <w:t xml:space="preserve">These two entities </w:t>
      </w:r>
      <w:r w:rsidR="003A7F52">
        <w:rPr>
          <w:rFonts w:ascii="Calibri" w:eastAsia="Calibri" w:hAnsi="Calibri" w:cs="Calibri"/>
          <w:color w:val="auto"/>
          <w:sz w:val="22"/>
          <w:szCs w:val="22"/>
        </w:rPr>
        <w:t xml:space="preserve">meet the World Bank’s FM requirements. </w:t>
      </w:r>
    </w:p>
    <w:p w14:paraId="0CC02593" w14:textId="77777777" w:rsidR="000B7010" w:rsidRPr="000B7010" w:rsidRDefault="00B00100" w:rsidP="006C70A5">
      <w:pPr>
        <w:widowControl/>
        <w:numPr>
          <w:ilvl w:val="0"/>
          <w:numId w:val="23"/>
        </w:numPr>
        <w:autoSpaceDE/>
        <w:autoSpaceDN/>
        <w:adjustRightInd/>
        <w:spacing w:after="120"/>
        <w:ind w:firstLine="0"/>
        <w:jc w:val="both"/>
        <w:rPr>
          <w:rFonts w:ascii="Calibri" w:eastAsia="Batang" w:hAnsi="Calibri" w:cs="Times New Roman"/>
          <w:b/>
          <w:i/>
          <w:color w:val="auto"/>
          <w:sz w:val="22"/>
          <w:szCs w:val="22"/>
          <w:lang w:eastAsia="ko-KR"/>
        </w:rPr>
      </w:pPr>
      <w:r w:rsidRPr="000B7010">
        <w:rPr>
          <w:rFonts w:ascii="Calibri" w:eastAsia="Batang" w:hAnsi="Calibri" w:cs="Times New Roman"/>
          <w:b/>
          <w:i/>
          <w:color w:val="auto"/>
          <w:sz w:val="22"/>
          <w:szCs w:val="22"/>
          <w:lang w:eastAsia="ko-KR"/>
        </w:rPr>
        <w:t xml:space="preserve">NUC </w:t>
      </w:r>
    </w:p>
    <w:p w14:paraId="426E2AFB" w14:textId="77777777" w:rsidR="000B7010" w:rsidRDefault="00B00100" w:rsidP="00ED2C0A">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0B7010">
        <w:rPr>
          <w:rFonts w:ascii="Calibri" w:eastAsia="Calibri" w:hAnsi="Calibri" w:cs="Calibri"/>
          <w:color w:val="auto"/>
          <w:sz w:val="22"/>
          <w:szCs w:val="22"/>
        </w:rPr>
        <w:t xml:space="preserve">A FM assessment was conducted on the FM arrangements for the NUC with the objective of determining whether the implementing entity has acceptable </w:t>
      </w:r>
      <w:r w:rsidR="00017BE5">
        <w:rPr>
          <w:rFonts w:ascii="Calibri" w:eastAsia="Calibri" w:hAnsi="Calibri" w:cs="Calibri"/>
          <w:color w:val="auto"/>
          <w:sz w:val="22"/>
          <w:szCs w:val="22"/>
        </w:rPr>
        <w:t>FM</w:t>
      </w:r>
      <w:r w:rsidRPr="000B7010">
        <w:rPr>
          <w:rFonts w:ascii="Calibri" w:eastAsia="Calibri" w:hAnsi="Calibri" w:cs="Calibri"/>
          <w:color w:val="auto"/>
          <w:sz w:val="22"/>
          <w:szCs w:val="22"/>
        </w:rPr>
        <w:t xml:space="preserve"> arrangements in place that satisfy the World Bank Policy and Directive for IPF Operations. The </w:t>
      </w:r>
      <w:r w:rsidR="00017BE5">
        <w:rPr>
          <w:rFonts w:ascii="Calibri" w:eastAsia="Calibri" w:hAnsi="Calibri" w:cs="Calibri"/>
          <w:color w:val="auto"/>
          <w:sz w:val="22"/>
          <w:szCs w:val="22"/>
        </w:rPr>
        <w:t>FM</w:t>
      </w:r>
      <w:r w:rsidRPr="000B7010">
        <w:rPr>
          <w:rFonts w:ascii="Calibri" w:eastAsia="Calibri" w:hAnsi="Calibri" w:cs="Calibri"/>
          <w:color w:val="auto"/>
          <w:sz w:val="22"/>
          <w:szCs w:val="22"/>
        </w:rPr>
        <w:t xml:space="preserve"> team for NUC that would also be handling this project has gained experience from the implementation of ACE I. They have acquired reasonable training and experience in the </w:t>
      </w:r>
      <w:r w:rsidR="00C00B64">
        <w:rPr>
          <w:rFonts w:asciiTheme="minorHAnsi" w:eastAsiaTheme="minorHAnsi" w:hAnsiTheme="minorHAnsi" w:cstheme="minorHAnsi"/>
          <w:color w:val="auto"/>
          <w:sz w:val="22"/>
          <w:szCs w:val="22"/>
        </w:rPr>
        <w:t>World</w:t>
      </w:r>
      <w:r w:rsidR="00C00B64" w:rsidRPr="000B7010">
        <w:rPr>
          <w:rFonts w:ascii="Calibri" w:eastAsia="Calibri" w:hAnsi="Calibri" w:cs="Calibri"/>
          <w:color w:val="auto"/>
          <w:sz w:val="22"/>
          <w:szCs w:val="22"/>
        </w:rPr>
        <w:t xml:space="preserve"> </w:t>
      </w:r>
      <w:r w:rsidRPr="000B7010">
        <w:rPr>
          <w:rFonts w:ascii="Calibri" w:eastAsia="Calibri" w:hAnsi="Calibri" w:cs="Calibri"/>
          <w:color w:val="auto"/>
          <w:sz w:val="22"/>
          <w:szCs w:val="22"/>
        </w:rPr>
        <w:t xml:space="preserve">Bank’s </w:t>
      </w:r>
      <w:r w:rsidR="00017BE5">
        <w:rPr>
          <w:rFonts w:ascii="Calibri" w:eastAsia="Calibri" w:hAnsi="Calibri" w:cs="Calibri"/>
          <w:color w:val="auto"/>
          <w:sz w:val="22"/>
          <w:szCs w:val="22"/>
        </w:rPr>
        <w:t>FM</w:t>
      </w:r>
      <w:r w:rsidRPr="000B7010">
        <w:rPr>
          <w:rFonts w:ascii="Calibri" w:eastAsia="Calibri" w:hAnsi="Calibri" w:cs="Calibri"/>
          <w:color w:val="auto"/>
          <w:sz w:val="22"/>
          <w:szCs w:val="22"/>
        </w:rPr>
        <w:t xml:space="preserve"> and disbursement. </w:t>
      </w:r>
    </w:p>
    <w:p w14:paraId="1773A9F7" w14:textId="77777777" w:rsidR="004F4E10" w:rsidRPr="00B81291" w:rsidRDefault="00B00100" w:rsidP="00ED2C0A">
      <w:pPr>
        <w:widowControl/>
        <w:numPr>
          <w:ilvl w:val="0"/>
          <w:numId w:val="23"/>
        </w:numPr>
        <w:autoSpaceDE/>
        <w:autoSpaceDN/>
        <w:adjustRightInd/>
        <w:spacing w:after="120"/>
        <w:ind w:firstLine="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PCU-Gambia</w:t>
      </w:r>
    </w:p>
    <w:p w14:paraId="4B4C26D8" w14:textId="77777777" w:rsidR="00582653" w:rsidRPr="00582653"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582653">
        <w:rPr>
          <w:rFonts w:ascii="Calibri" w:eastAsia="Calibri" w:hAnsi="Calibri" w:cs="Calibri"/>
          <w:color w:val="auto"/>
          <w:sz w:val="22"/>
          <w:szCs w:val="22"/>
        </w:rPr>
        <w:t xml:space="preserve">The overall FM risk </w:t>
      </w:r>
      <w:r w:rsidR="003C54A5">
        <w:rPr>
          <w:rFonts w:ascii="Calibri" w:eastAsia="Calibri" w:hAnsi="Calibri" w:cs="Calibri"/>
          <w:color w:val="auto"/>
          <w:sz w:val="22"/>
          <w:szCs w:val="22"/>
        </w:rPr>
        <w:t xml:space="preserve">of the project in The Gambia </w:t>
      </w:r>
      <w:r w:rsidRPr="00582653">
        <w:rPr>
          <w:rFonts w:ascii="Calibri" w:eastAsia="Calibri" w:hAnsi="Calibri" w:cs="Calibri"/>
          <w:color w:val="auto"/>
          <w:sz w:val="22"/>
          <w:szCs w:val="22"/>
        </w:rPr>
        <w:t xml:space="preserve">is </w:t>
      </w:r>
      <w:r w:rsidR="003C54A5">
        <w:rPr>
          <w:rFonts w:ascii="Calibri" w:eastAsia="Calibri" w:hAnsi="Calibri" w:cs="Calibri"/>
          <w:color w:val="auto"/>
          <w:sz w:val="22"/>
          <w:szCs w:val="22"/>
        </w:rPr>
        <w:t>s</w:t>
      </w:r>
      <w:r w:rsidRPr="00582653">
        <w:rPr>
          <w:rFonts w:ascii="Calibri" w:eastAsia="Calibri" w:hAnsi="Calibri" w:cs="Calibri"/>
          <w:color w:val="auto"/>
          <w:sz w:val="22"/>
          <w:szCs w:val="22"/>
        </w:rPr>
        <w:t>ubstantial.</w:t>
      </w:r>
      <w:r w:rsidR="003C54A5">
        <w:rPr>
          <w:rFonts w:ascii="Calibri" w:eastAsia="Calibri" w:hAnsi="Calibri" w:cs="Calibri"/>
          <w:color w:val="auto"/>
          <w:sz w:val="22"/>
          <w:szCs w:val="22"/>
        </w:rPr>
        <w:t xml:space="preserve"> </w:t>
      </w:r>
      <w:r w:rsidRPr="00582653">
        <w:rPr>
          <w:rFonts w:ascii="Calibri" w:eastAsia="Calibri" w:hAnsi="Calibri" w:cs="Calibri"/>
          <w:color w:val="auto"/>
          <w:sz w:val="22"/>
          <w:szCs w:val="22"/>
        </w:rPr>
        <w:t xml:space="preserve">The project will be implemented by the Ministry of Higher Education, Research, Science and Technology and the main beneficiary is GTTI which </w:t>
      </w:r>
      <w:r w:rsidR="00CD3D48">
        <w:rPr>
          <w:rFonts w:ascii="Calibri" w:eastAsia="Calibri" w:hAnsi="Calibri" w:cs="Calibri"/>
          <w:color w:val="auto"/>
          <w:sz w:val="22"/>
          <w:szCs w:val="22"/>
        </w:rPr>
        <w:t xml:space="preserve">is being </w:t>
      </w:r>
      <w:r w:rsidRPr="00582653">
        <w:rPr>
          <w:rFonts w:ascii="Calibri" w:eastAsia="Calibri" w:hAnsi="Calibri" w:cs="Calibri"/>
          <w:color w:val="auto"/>
          <w:sz w:val="22"/>
          <w:szCs w:val="22"/>
        </w:rPr>
        <w:t xml:space="preserve">converted to a University. The GTTI </w:t>
      </w:r>
      <w:r w:rsidR="00017BE5">
        <w:rPr>
          <w:rFonts w:ascii="Calibri" w:eastAsia="Calibri" w:hAnsi="Calibri" w:cs="Calibri"/>
          <w:color w:val="auto"/>
          <w:sz w:val="22"/>
          <w:szCs w:val="22"/>
        </w:rPr>
        <w:t>FM</w:t>
      </w:r>
      <w:r w:rsidRPr="00582653">
        <w:rPr>
          <w:rFonts w:ascii="Calibri" w:eastAsia="Calibri" w:hAnsi="Calibri" w:cs="Calibri"/>
          <w:color w:val="auto"/>
          <w:sz w:val="22"/>
          <w:szCs w:val="22"/>
        </w:rPr>
        <w:t xml:space="preserve"> capacity has been assessed to determine if their current FM arrangements are adequate to implement the project. Based on the FM assessment</w:t>
      </w:r>
      <w:r w:rsidR="009F5941">
        <w:rPr>
          <w:rFonts w:ascii="Calibri" w:eastAsia="Calibri" w:hAnsi="Calibri" w:cs="Calibri"/>
          <w:color w:val="auto"/>
          <w:sz w:val="22"/>
          <w:szCs w:val="22"/>
        </w:rPr>
        <w:t>,</w:t>
      </w:r>
      <w:r w:rsidRPr="00582653">
        <w:rPr>
          <w:rFonts w:ascii="Calibri" w:eastAsia="Calibri" w:hAnsi="Calibri" w:cs="Calibri"/>
          <w:color w:val="auto"/>
          <w:sz w:val="22"/>
          <w:szCs w:val="22"/>
        </w:rPr>
        <w:t xml:space="preserve"> it was determined that currently</w:t>
      </w:r>
      <w:r w:rsidR="009F5941">
        <w:rPr>
          <w:rFonts w:ascii="Calibri" w:eastAsia="Calibri" w:hAnsi="Calibri" w:cs="Calibri"/>
          <w:color w:val="auto"/>
          <w:sz w:val="22"/>
          <w:szCs w:val="22"/>
        </w:rPr>
        <w:t>,</w:t>
      </w:r>
      <w:r w:rsidRPr="00582653">
        <w:rPr>
          <w:rFonts w:ascii="Calibri" w:eastAsia="Calibri" w:hAnsi="Calibri" w:cs="Calibri"/>
          <w:color w:val="auto"/>
          <w:sz w:val="22"/>
          <w:szCs w:val="22"/>
        </w:rPr>
        <w:t xml:space="preserve"> the GTTI does not have adequate </w:t>
      </w:r>
      <w:r w:rsidR="00017BE5">
        <w:rPr>
          <w:rFonts w:ascii="Calibri" w:eastAsia="Calibri" w:hAnsi="Calibri" w:cs="Calibri"/>
          <w:color w:val="auto"/>
          <w:sz w:val="22"/>
          <w:szCs w:val="22"/>
        </w:rPr>
        <w:t>FM</w:t>
      </w:r>
      <w:r w:rsidRPr="00582653">
        <w:rPr>
          <w:rFonts w:ascii="Calibri" w:eastAsia="Calibri" w:hAnsi="Calibri" w:cs="Calibri"/>
          <w:color w:val="auto"/>
          <w:sz w:val="22"/>
          <w:szCs w:val="22"/>
        </w:rPr>
        <w:t xml:space="preserve"> capacity and as such</w:t>
      </w:r>
      <w:r w:rsidR="00D81C4D">
        <w:rPr>
          <w:rFonts w:ascii="Calibri" w:eastAsia="Calibri" w:hAnsi="Calibri" w:cs="Calibri"/>
          <w:color w:val="auto"/>
          <w:sz w:val="22"/>
          <w:szCs w:val="22"/>
        </w:rPr>
        <w:t>,</w:t>
      </w:r>
      <w:r w:rsidRPr="00582653">
        <w:rPr>
          <w:rFonts w:ascii="Calibri" w:eastAsia="Calibri" w:hAnsi="Calibri" w:cs="Calibri"/>
          <w:color w:val="auto"/>
          <w:sz w:val="22"/>
          <w:szCs w:val="22"/>
        </w:rPr>
        <w:t xml:space="preserve"> the overall fiduciary</w:t>
      </w:r>
      <w:r w:rsidR="00934391">
        <w:rPr>
          <w:rFonts w:ascii="Calibri" w:eastAsia="Calibri" w:hAnsi="Calibri" w:cs="Calibri"/>
          <w:color w:val="auto"/>
          <w:sz w:val="22"/>
          <w:szCs w:val="22"/>
        </w:rPr>
        <w:t xml:space="preserve"> aspects </w:t>
      </w:r>
      <w:r w:rsidR="00BF73E5">
        <w:rPr>
          <w:rFonts w:ascii="Calibri" w:eastAsia="Calibri" w:hAnsi="Calibri" w:cs="Calibri"/>
          <w:color w:val="auto"/>
          <w:sz w:val="22"/>
          <w:szCs w:val="22"/>
        </w:rPr>
        <w:t xml:space="preserve">of the project </w:t>
      </w:r>
      <w:r w:rsidR="00934391">
        <w:rPr>
          <w:rFonts w:ascii="Calibri" w:eastAsia="Calibri" w:hAnsi="Calibri" w:cs="Calibri"/>
          <w:color w:val="auto"/>
          <w:sz w:val="22"/>
          <w:szCs w:val="22"/>
        </w:rPr>
        <w:t>during</w:t>
      </w:r>
      <w:r w:rsidRPr="00582653">
        <w:rPr>
          <w:rFonts w:ascii="Calibri" w:eastAsia="Calibri" w:hAnsi="Calibri" w:cs="Calibri"/>
          <w:color w:val="auto"/>
          <w:sz w:val="22"/>
          <w:szCs w:val="22"/>
        </w:rPr>
        <w:t xml:space="preserve"> implementation will be the responsibility of the PCU</w:t>
      </w:r>
      <w:r w:rsidR="0034178B">
        <w:rPr>
          <w:rFonts w:ascii="Calibri" w:eastAsia="Calibri" w:hAnsi="Calibri" w:cs="Calibri"/>
          <w:color w:val="auto"/>
          <w:sz w:val="22"/>
          <w:szCs w:val="22"/>
        </w:rPr>
        <w:t>-Gambia</w:t>
      </w:r>
      <w:r w:rsidRPr="00582653">
        <w:rPr>
          <w:rFonts w:ascii="Calibri" w:eastAsia="Calibri" w:hAnsi="Calibri" w:cs="Calibri"/>
          <w:color w:val="auto"/>
          <w:sz w:val="22"/>
          <w:szCs w:val="22"/>
        </w:rPr>
        <w:t xml:space="preserve"> of </w:t>
      </w:r>
      <w:r w:rsidR="00017BE5">
        <w:rPr>
          <w:rFonts w:ascii="Calibri" w:eastAsia="Calibri" w:hAnsi="Calibri" w:cs="Calibri"/>
          <w:color w:val="auto"/>
          <w:sz w:val="22"/>
          <w:szCs w:val="22"/>
        </w:rPr>
        <w:t>T</w:t>
      </w:r>
      <w:r w:rsidR="00EE2274">
        <w:rPr>
          <w:rFonts w:ascii="Calibri" w:eastAsia="Calibri" w:hAnsi="Calibri" w:cs="Calibri"/>
          <w:color w:val="auto"/>
          <w:sz w:val="22"/>
          <w:szCs w:val="22"/>
        </w:rPr>
        <w:t xml:space="preserve">he Gambia’s </w:t>
      </w:r>
      <w:r w:rsidR="00257EEC">
        <w:rPr>
          <w:rFonts w:ascii="Calibri" w:eastAsia="Calibri" w:hAnsi="Calibri" w:cs="Calibri"/>
          <w:color w:val="auto"/>
          <w:sz w:val="22"/>
          <w:szCs w:val="22"/>
        </w:rPr>
        <w:t>education sector</w:t>
      </w:r>
      <w:r w:rsidRPr="00582653">
        <w:rPr>
          <w:rFonts w:ascii="Calibri" w:eastAsia="Calibri" w:hAnsi="Calibri" w:cs="Calibri"/>
          <w:color w:val="auto"/>
          <w:sz w:val="22"/>
          <w:szCs w:val="22"/>
        </w:rPr>
        <w:t xml:space="preserve">. Considering the lack of readiness for implementation of the GTTI, the FM arrangements for the </w:t>
      </w:r>
      <w:r w:rsidR="0034178B">
        <w:rPr>
          <w:rFonts w:ascii="Calibri" w:eastAsia="Calibri" w:hAnsi="Calibri" w:cs="Calibri"/>
          <w:color w:val="auto"/>
          <w:sz w:val="22"/>
          <w:szCs w:val="22"/>
        </w:rPr>
        <w:t xml:space="preserve">Second </w:t>
      </w:r>
      <w:r w:rsidR="00BB4A89">
        <w:rPr>
          <w:rFonts w:ascii="Calibri" w:eastAsia="Calibri" w:hAnsi="Calibri" w:cs="Calibri"/>
          <w:color w:val="auto"/>
          <w:sz w:val="22"/>
          <w:szCs w:val="22"/>
        </w:rPr>
        <w:t>ACE Impact Project</w:t>
      </w:r>
      <w:r w:rsidRPr="00582653">
        <w:rPr>
          <w:rFonts w:ascii="Calibri" w:eastAsia="Calibri" w:hAnsi="Calibri" w:cs="Calibri"/>
          <w:color w:val="auto"/>
          <w:sz w:val="22"/>
          <w:szCs w:val="22"/>
        </w:rPr>
        <w:t xml:space="preserve"> would be based on the existing arrangements in place at the PCU</w:t>
      </w:r>
      <w:r w:rsidR="0034178B">
        <w:rPr>
          <w:rFonts w:ascii="Calibri" w:eastAsia="Calibri" w:hAnsi="Calibri" w:cs="Calibri"/>
          <w:color w:val="auto"/>
          <w:sz w:val="22"/>
          <w:szCs w:val="22"/>
        </w:rPr>
        <w:t>-Gambia</w:t>
      </w:r>
      <w:r w:rsidRPr="00582653">
        <w:rPr>
          <w:rFonts w:ascii="Calibri" w:eastAsia="Calibri" w:hAnsi="Calibri" w:cs="Calibri"/>
          <w:color w:val="auto"/>
          <w:sz w:val="22"/>
          <w:szCs w:val="22"/>
        </w:rPr>
        <w:t xml:space="preserve"> under the IDA</w:t>
      </w:r>
      <w:r w:rsidR="00017BE5">
        <w:rPr>
          <w:rFonts w:ascii="Calibri" w:eastAsia="Calibri" w:hAnsi="Calibri" w:cs="Calibri"/>
          <w:color w:val="auto"/>
          <w:sz w:val="22"/>
          <w:szCs w:val="22"/>
        </w:rPr>
        <w:t>-</w:t>
      </w:r>
      <w:r w:rsidRPr="00582653">
        <w:rPr>
          <w:rFonts w:ascii="Calibri" w:eastAsia="Calibri" w:hAnsi="Calibri" w:cs="Calibri"/>
          <w:color w:val="auto"/>
          <w:sz w:val="22"/>
          <w:szCs w:val="22"/>
        </w:rPr>
        <w:t xml:space="preserve">funded </w:t>
      </w:r>
      <w:r w:rsidR="00D4284E">
        <w:rPr>
          <w:rFonts w:ascii="Calibri" w:eastAsia="Calibri" w:hAnsi="Calibri" w:cs="Calibri"/>
          <w:color w:val="auto"/>
          <w:sz w:val="22"/>
          <w:szCs w:val="22"/>
        </w:rPr>
        <w:t>Education Sector Support Program (</w:t>
      </w:r>
      <w:r w:rsidRPr="001F4C8D">
        <w:rPr>
          <w:rFonts w:ascii="Calibri" w:eastAsia="Calibri" w:hAnsi="Calibri" w:cs="Calibri"/>
          <w:color w:val="auto"/>
          <w:sz w:val="22"/>
          <w:szCs w:val="22"/>
        </w:rPr>
        <w:t>ESSP</w:t>
      </w:r>
      <w:r w:rsidR="00D4284E" w:rsidRPr="001F4C8D">
        <w:rPr>
          <w:rFonts w:ascii="Calibri" w:eastAsia="Calibri" w:hAnsi="Calibri" w:cs="Calibri"/>
          <w:color w:val="auto"/>
          <w:sz w:val="22"/>
          <w:szCs w:val="22"/>
        </w:rPr>
        <w:t>)</w:t>
      </w:r>
      <w:r w:rsidRPr="001F4C8D">
        <w:rPr>
          <w:rFonts w:ascii="Calibri" w:eastAsia="Calibri" w:hAnsi="Calibri" w:cs="Calibri"/>
          <w:color w:val="auto"/>
          <w:sz w:val="22"/>
          <w:szCs w:val="22"/>
        </w:rPr>
        <w:t xml:space="preserve"> </w:t>
      </w:r>
      <w:r w:rsidR="00883186">
        <w:rPr>
          <w:rFonts w:ascii="Calibri" w:eastAsia="Calibri" w:hAnsi="Calibri" w:cs="Calibri"/>
          <w:color w:val="auto"/>
          <w:sz w:val="22"/>
          <w:szCs w:val="22"/>
        </w:rPr>
        <w:t>P</w:t>
      </w:r>
      <w:r w:rsidRPr="001F4C8D">
        <w:rPr>
          <w:rFonts w:ascii="Calibri" w:eastAsia="Calibri" w:hAnsi="Calibri" w:cs="Calibri"/>
          <w:color w:val="auto"/>
          <w:sz w:val="22"/>
          <w:szCs w:val="22"/>
        </w:rPr>
        <w:t>roject</w:t>
      </w:r>
      <w:r w:rsidR="0097197A">
        <w:rPr>
          <w:rFonts w:ascii="Calibri" w:eastAsia="Calibri" w:hAnsi="Calibri" w:cs="Calibri"/>
          <w:color w:val="auto"/>
          <w:sz w:val="22"/>
          <w:szCs w:val="22"/>
        </w:rPr>
        <w:t xml:space="preserve"> (</w:t>
      </w:r>
      <w:r w:rsidR="0097197A" w:rsidRPr="0097197A">
        <w:rPr>
          <w:rFonts w:ascii="Calibri" w:eastAsia="Calibri" w:hAnsi="Calibri" w:cs="Calibri"/>
          <w:color w:val="auto"/>
          <w:sz w:val="22"/>
          <w:szCs w:val="22"/>
        </w:rPr>
        <w:t>P162890)</w:t>
      </w:r>
      <w:r w:rsidRPr="00582653">
        <w:rPr>
          <w:rFonts w:ascii="Calibri" w:eastAsia="Calibri" w:hAnsi="Calibri" w:cs="Calibri"/>
          <w:color w:val="auto"/>
          <w:sz w:val="22"/>
          <w:szCs w:val="22"/>
        </w:rPr>
        <w:t xml:space="preserve">. </w:t>
      </w:r>
      <w:r w:rsidR="006E6A39">
        <w:rPr>
          <w:rFonts w:ascii="Calibri" w:eastAsia="Calibri" w:hAnsi="Calibri" w:cs="Calibri"/>
          <w:color w:val="auto"/>
          <w:sz w:val="22"/>
          <w:szCs w:val="22"/>
        </w:rPr>
        <w:t>T</w:t>
      </w:r>
      <w:r w:rsidRPr="00582653">
        <w:rPr>
          <w:rFonts w:ascii="Calibri" w:eastAsia="Calibri" w:hAnsi="Calibri" w:cs="Calibri"/>
          <w:color w:val="auto"/>
          <w:sz w:val="22"/>
          <w:szCs w:val="22"/>
        </w:rPr>
        <w:t xml:space="preserve">he PCU understands the World Bank FM requirements </w:t>
      </w:r>
      <w:r w:rsidRPr="00582653">
        <w:rPr>
          <w:rFonts w:ascii="Calibri" w:eastAsia="Calibri" w:hAnsi="Calibri" w:cs="Calibri"/>
          <w:color w:val="auto"/>
          <w:sz w:val="22"/>
          <w:szCs w:val="22"/>
        </w:rPr>
        <w:lastRenderedPageBreak/>
        <w:t>and has experience in managing IDA</w:t>
      </w:r>
      <w:r w:rsidR="00017BE5">
        <w:rPr>
          <w:rFonts w:ascii="Calibri" w:eastAsia="Calibri" w:hAnsi="Calibri" w:cs="Calibri"/>
          <w:color w:val="auto"/>
          <w:sz w:val="22"/>
          <w:szCs w:val="22"/>
        </w:rPr>
        <w:t>-funded</w:t>
      </w:r>
      <w:r w:rsidRPr="00582653">
        <w:rPr>
          <w:rFonts w:ascii="Calibri" w:eastAsia="Calibri" w:hAnsi="Calibri" w:cs="Calibri"/>
          <w:color w:val="auto"/>
          <w:sz w:val="22"/>
          <w:szCs w:val="22"/>
        </w:rPr>
        <w:t xml:space="preserve"> projects.</w:t>
      </w:r>
      <w:r w:rsidR="005602B0">
        <w:rPr>
          <w:rFonts w:ascii="Calibri" w:eastAsia="Calibri" w:hAnsi="Calibri" w:cs="Calibri"/>
          <w:color w:val="auto"/>
          <w:sz w:val="22"/>
          <w:szCs w:val="22"/>
        </w:rPr>
        <w:t xml:space="preserve"> In summary,</w:t>
      </w:r>
      <w:r w:rsidRPr="00582653">
        <w:rPr>
          <w:rFonts w:ascii="Calibri" w:eastAsia="Calibri" w:hAnsi="Calibri" w:cs="Calibri"/>
          <w:color w:val="auto"/>
          <w:sz w:val="22"/>
          <w:szCs w:val="22"/>
        </w:rPr>
        <w:t xml:space="preserve"> </w:t>
      </w:r>
      <w:r w:rsidR="006E6A39">
        <w:rPr>
          <w:rFonts w:ascii="Calibri" w:eastAsia="Calibri" w:hAnsi="Calibri" w:cs="Calibri"/>
          <w:color w:val="auto"/>
          <w:sz w:val="22"/>
          <w:szCs w:val="22"/>
        </w:rPr>
        <w:t>i</w:t>
      </w:r>
      <w:r w:rsidRPr="00582653">
        <w:rPr>
          <w:rFonts w:ascii="Calibri" w:eastAsia="Calibri" w:hAnsi="Calibri" w:cs="Calibri"/>
          <w:color w:val="auto"/>
          <w:sz w:val="22"/>
          <w:szCs w:val="22"/>
        </w:rPr>
        <w:t xml:space="preserve">t is proposed that the PCU shall be responsible for </w:t>
      </w:r>
      <w:r w:rsidR="00293C6A">
        <w:rPr>
          <w:rFonts w:ascii="Calibri" w:eastAsia="Calibri" w:hAnsi="Calibri" w:cs="Calibri"/>
          <w:color w:val="auto"/>
          <w:sz w:val="22"/>
          <w:szCs w:val="22"/>
        </w:rPr>
        <w:t xml:space="preserve">fiduciary tasks </w:t>
      </w:r>
      <w:r w:rsidR="006E6A39">
        <w:rPr>
          <w:rFonts w:ascii="Calibri" w:eastAsia="Calibri" w:hAnsi="Calibri" w:cs="Calibri"/>
          <w:color w:val="auto"/>
          <w:sz w:val="22"/>
          <w:szCs w:val="22"/>
        </w:rPr>
        <w:t>and</w:t>
      </w:r>
      <w:r w:rsidR="00C56627">
        <w:rPr>
          <w:rFonts w:ascii="Calibri" w:eastAsia="Calibri" w:hAnsi="Calibri" w:cs="Calibri"/>
          <w:color w:val="auto"/>
          <w:sz w:val="22"/>
          <w:szCs w:val="22"/>
        </w:rPr>
        <w:t xml:space="preserve"> will</w:t>
      </w:r>
      <w:r w:rsidR="006E6A39">
        <w:rPr>
          <w:rFonts w:ascii="Calibri" w:eastAsia="Calibri" w:hAnsi="Calibri" w:cs="Calibri"/>
          <w:color w:val="auto"/>
          <w:sz w:val="22"/>
          <w:szCs w:val="22"/>
        </w:rPr>
        <w:t xml:space="preserve"> provide </w:t>
      </w:r>
      <w:r w:rsidR="00C56627">
        <w:rPr>
          <w:rFonts w:ascii="Calibri" w:eastAsia="Calibri" w:hAnsi="Calibri" w:cs="Calibri"/>
          <w:color w:val="auto"/>
          <w:sz w:val="22"/>
          <w:szCs w:val="22"/>
        </w:rPr>
        <w:t xml:space="preserve">the </w:t>
      </w:r>
      <w:r w:rsidR="006E6A39">
        <w:rPr>
          <w:rFonts w:ascii="Calibri" w:eastAsia="Calibri" w:hAnsi="Calibri" w:cs="Calibri"/>
          <w:color w:val="auto"/>
          <w:sz w:val="22"/>
          <w:szCs w:val="22"/>
        </w:rPr>
        <w:t xml:space="preserve">needed fiduciary support to GTTI, for </w:t>
      </w:r>
      <w:r w:rsidRPr="00582653">
        <w:rPr>
          <w:rFonts w:ascii="Calibri" w:eastAsia="Calibri" w:hAnsi="Calibri" w:cs="Calibri"/>
          <w:color w:val="auto"/>
          <w:sz w:val="22"/>
          <w:szCs w:val="22"/>
        </w:rPr>
        <w:t xml:space="preserve">an initial two-year period, following which the GTTI will be reassessed to determine if </w:t>
      </w:r>
      <w:r w:rsidR="00017BE5">
        <w:rPr>
          <w:rFonts w:ascii="Calibri" w:eastAsia="Calibri" w:hAnsi="Calibri" w:cs="Calibri"/>
          <w:color w:val="auto"/>
          <w:sz w:val="22"/>
          <w:szCs w:val="22"/>
        </w:rPr>
        <w:t>it would</w:t>
      </w:r>
      <w:r w:rsidRPr="00582653">
        <w:rPr>
          <w:rFonts w:ascii="Calibri" w:eastAsia="Calibri" w:hAnsi="Calibri" w:cs="Calibri"/>
          <w:color w:val="auto"/>
          <w:sz w:val="22"/>
          <w:szCs w:val="22"/>
        </w:rPr>
        <w:t xml:space="preserve"> </w:t>
      </w:r>
      <w:r w:rsidR="00017BE5">
        <w:rPr>
          <w:rFonts w:ascii="Calibri" w:eastAsia="Calibri" w:hAnsi="Calibri" w:cs="Calibri"/>
          <w:color w:val="auto"/>
          <w:sz w:val="22"/>
          <w:szCs w:val="22"/>
        </w:rPr>
        <w:t xml:space="preserve">have capacity to </w:t>
      </w:r>
      <w:r w:rsidR="003834D6" w:rsidRPr="00582653">
        <w:rPr>
          <w:rFonts w:ascii="Calibri" w:eastAsia="Calibri" w:hAnsi="Calibri" w:cs="Calibri"/>
          <w:color w:val="auto"/>
          <w:sz w:val="22"/>
          <w:szCs w:val="22"/>
        </w:rPr>
        <w:t>manag</w:t>
      </w:r>
      <w:r w:rsidR="00F32FED">
        <w:rPr>
          <w:rFonts w:ascii="Calibri" w:eastAsia="Calibri" w:hAnsi="Calibri" w:cs="Calibri"/>
          <w:color w:val="auto"/>
          <w:sz w:val="22"/>
          <w:szCs w:val="22"/>
        </w:rPr>
        <w:t>e</w:t>
      </w:r>
      <w:r w:rsidR="0061116D">
        <w:rPr>
          <w:rFonts w:ascii="Calibri" w:eastAsia="Calibri" w:hAnsi="Calibri" w:cs="Calibri"/>
          <w:color w:val="auto"/>
          <w:sz w:val="22"/>
          <w:szCs w:val="22"/>
        </w:rPr>
        <w:t xml:space="preserve"> the fiduciary aspects of the project.</w:t>
      </w:r>
      <w:r w:rsidRPr="00582653">
        <w:rPr>
          <w:rFonts w:ascii="Calibri" w:eastAsia="Calibri" w:hAnsi="Calibri" w:cs="Calibri"/>
          <w:color w:val="auto"/>
          <w:sz w:val="22"/>
          <w:szCs w:val="22"/>
        </w:rPr>
        <w:t xml:space="preserve"> </w:t>
      </w:r>
    </w:p>
    <w:p w14:paraId="437B1C90" w14:textId="77777777" w:rsidR="00F15812" w:rsidRDefault="00B00100" w:rsidP="006C70A5">
      <w:pPr>
        <w:pStyle w:val="ListParagraph"/>
        <w:widowControl/>
        <w:numPr>
          <w:ilvl w:val="0"/>
          <w:numId w:val="23"/>
        </w:numPr>
        <w:autoSpaceDE/>
        <w:autoSpaceDN/>
        <w:adjustRightInd/>
        <w:spacing w:after="120"/>
        <w:ind w:right="720" w:firstLine="0"/>
        <w:jc w:val="both"/>
        <w:rPr>
          <w:rFonts w:ascii="Calibri" w:eastAsia="Batang" w:hAnsi="Calibri" w:cs="Times New Roman"/>
          <w:b/>
          <w:i/>
          <w:color w:val="auto"/>
          <w:sz w:val="22"/>
          <w:szCs w:val="22"/>
          <w:lang w:eastAsia="ko-KR"/>
        </w:rPr>
      </w:pPr>
      <w:r w:rsidRPr="00B81291">
        <w:rPr>
          <w:rFonts w:ascii="Calibri" w:eastAsia="Calibri" w:hAnsi="Calibri" w:cs="Calibri"/>
          <w:color w:val="auto"/>
          <w:sz w:val="22"/>
          <w:szCs w:val="22"/>
        </w:rPr>
        <w:tab/>
      </w:r>
      <w:r w:rsidRPr="00B81291">
        <w:rPr>
          <w:rFonts w:ascii="Calibri" w:eastAsia="Batang" w:hAnsi="Calibri" w:cs="Times New Roman"/>
          <w:b/>
          <w:i/>
          <w:color w:val="auto"/>
          <w:sz w:val="22"/>
          <w:szCs w:val="22"/>
          <w:lang w:eastAsia="ko-KR"/>
        </w:rPr>
        <w:t>Selected Centers</w:t>
      </w:r>
    </w:p>
    <w:p w14:paraId="65038FF6" w14:textId="77777777" w:rsidR="000655D2" w:rsidRDefault="00B00100" w:rsidP="00136D88">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0655D2">
        <w:rPr>
          <w:rFonts w:ascii="Calibri" w:eastAsia="Calibri" w:hAnsi="Calibri" w:cs="Calibri"/>
          <w:b/>
          <w:i/>
          <w:color w:val="auto"/>
          <w:sz w:val="22"/>
          <w:szCs w:val="22"/>
        </w:rPr>
        <w:t xml:space="preserve">In </w:t>
      </w:r>
      <w:r w:rsidRPr="00B81291">
        <w:rPr>
          <w:rFonts w:ascii="Calibri" w:eastAsia="Calibri" w:hAnsi="Calibri" w:cs="Calibri"/>
          <w:b/>
          <w:i/>
          <w:color w:val="auto"/>
          <w:sz w:val="22"/>
          <w:szCs w:val="22"/>
        </w:rPr>
        <w:t>Benin:</w:t>
      </w:r>
      <w:r w:rsidRPr="00B81291">
        <w:rPr>
          <w:rFonts w:ascii="Calibri" w:eastAsia="Calibri" w:hAnsi="Calibri" w:cs="Calibri"/>
          <w:color w:val="auto"/>
          <w:sz w:val="22"/>
          <w:szCs w:val="22"/>
        </w:rPr>
        <w:t xml:space="preserve"> </w:t>
      </w:r>
      <w:r w:rsidR="00D17FE5">
        <w:rPr>
          <w:rFonts w:ascii="Calibri" w:eastAsia="Calibri" w:hAnsi="Calibri" w:cs="Calibri"/>
          <w:color w:val="auto"/>
          <w:sz w:val="22"/>
          <w:szCs w:val="22"/>
        </w:rPr>
        <w:t>T</w:t>
      </w:r>
      <w:r w:rsidR="00D17FE5" w:rsidRPr="007A6F32">
        <w:rPr>
          <w:rFonts w:ascii="Calibri" w:eastAsia="Calibri" w:hAnsi="Calibri" w:cs="Calibri"/>
          <w:color w:val="auto"/>
          <w:sz w:val="22"/>
          <w:szCs w:val="22"/>
        </w:rPr>
        <w:t xml:space="preserve">he overall FM risk </w:t>
      </w:r>
      <w:r w:rsidR="00C66B03">
        <w:rPr>
          <w:rFonts w:ascii="Calibri" w:eastAsia="Calibri" w:hAnsi="Calibri" w:cs="Calibri"/>
          <w:color w:val="auto"/>
          <w:sz w:val="22"/>
          <w:szCs w:val="22"/>
        </w:rPr>
        <w:t>of the project in Benin is su</w:t>
      </w:r>
      <w:r w:rsidR="00D17FE5" w:rsidRPr="007A6F32">
        <w:rPr>
          <w:rFonts w:ascii="Calibri" w:eastAsia="Calibri" w:hAnsi="Calibri" w:cs="Calibri"/>
          <w:color w:val="auto"/>
          <w:sz w:val="22"/>
          <w:szCs w:val="22"/>
        </w:rPr>
        <w:t>bstantial</w:t>
      </w:r>
      <w:r w:rsidR="00017BE5">
        <w:rPr>
          <w:rFonts w:ascii="Calibri" w:eastAsia="Calibri" w:hAnsi="Calibri" w:cs="Calibri"/>
          <w:color w:val="auto"/>
          <w:sz w:val="22"/>
          <w:szCs w:val="22"/>
        </w:rPr>
        <w:t>.</w:t>
      </w:r>
      <w:r w:rsidR="00D17FE5" w:rsidRPr="000655D2">
        <w:rPr>
          <w:rFonts w:ascii="Calibri" w:eastAsia="Calibri" w:hAnsi="Calibri" w:cs="Calibri"/>
          <w:color w:val="auto"/>
          <w:sz w:val="22"/>
          <w:szCs w:val="22"/>
        </w:rPr>
        <w:t xml:space="preserve"> </w:t>
      </w:r>
      <w:r w:rsidRPr="00B81291">
        <w:rPr>
          <w:rFonts w:ascii="Calibri" w:eastAsia="Calibri" w:hAnsi="Calibri" w:cs="Calibri"/>
          <w:color w:val="auto"/>
          <w:sz w:val="22"/>
          <w:szCs w:val="22"/>
        </w:rPr>
        <w:t>A</w:t>
      </w:r>
      <w:r w:rsidR="00017BE5">
        <w:rPr>
          <w:rFonts w:ascii="Calibri" w:eastAsia="Calibri" w:hAnsi="Calibri" w:cs="Calibri"/>
          <w:color w:val="auto"/>
          <w:sz w:val="22"/>
          <w:szCs w:val="22"/>
        </w:rPr>
        <w:t>n FM</w:t>
      </w:r>
      <w:r w:rsidRPr="00B81291">
        <w:rPr>
          <w:rFonts w:ascii="Calibri" w:eastAsia="Calibri" w:hAnsi="Calibri" w:cs="Calibri"/>
          <w:color w:val="auto"/>
          <w:sz w:val="22"/>
          <w:szCs w:val="22"/>
        </w:rPr>
        <w:t xml:space="preserve"> assessment was conducted on the participating ACEs in</w:t>
      </w:r>
      <w:r w:rsidR="00160252" w:rsidRPr="000655D2">
        <w:rPr>
          <w:rFonts w:ascii="Calibri" w:eastAsia="Calibri" w:hAnsi="Calibri" w:cs="Calibri"/>
          <w:color w:val="auto"/>
          <w:sz w:val="22"/>
          <w:szCs w:val="22"/>
        </w:rPr>
        <w:t xml:space="preserve"> </w:t>
      </w:r>
      <w:r w:rsidRPr="00B81291">
        <w:rPr>
          <w:rFonts w:ascii="Calibri" w:eastAsia="Calibri" w:hAnsi="Calibri" w:cs="Calibri"/>
          <w:color w:val="auto"/>
          <w:sz w:val="22"/>
          <w:szCs w:val="22"/>
        </w:rPr>
        <w:t xml:space="preserve">Benin, </w:t>
      </w:r>
      <w:r w:rsidR="00160252" w:rsidRPr="000655D2">
        <w:rPr>
          <w:rFonts w:ascii="Calibri" w:eastAsia="Calibri" w:hAnsi="Calibri" w:cs="Calibri"/>
          <w:color w:val="auto"/>
          <w:sz w:val="22"/>
          <w:szCs w:val="22"/>
        </w:rPr>
        <w:t xml:space="preserve">all within the University of Abomey-Calavi. </w:t>
      </w:r>
      <w:r w:rsidR="00160252" w:rsidRPr="00B81291">
        <w:rPr>
          <w:rFonts w:ascii="Calibri" w:eastAsia="Calibri" w:hAnsi="Calibri" w:cs="Calibri"/>
          <w:color w:val="auto"/>
          <w:sz w:val="22"/>
          <w:szCs w:val="22"/>
          <w:lang w:val="fr-FR"/>
        </w:rPr>
        <w:t xml:space="preserve">The centers </w:t>
      </w:r>
      <w:r w:rsidR="007D10EC" w:rsidRPr="00B81291">
        <w:rPr>
          <w:rFonts w:ascii="Calibri" w:eastAsia="Calibri" w:hAnsi="Calibri" w:cs="Calibri"/>
          <w:color w:val="auto"/>
          <w:sz w:val="22"/>
          <w:szCs w:val="22"/>
          <w:lang w:val="fr-FR"/>
        </w:rPr>
        <w:t>are:</w:t>
      </w:r>
      <w:r w:rsidR="00160252" w:rsidRPr="00B81291">
        <w:rPr>
          <w:rFonts w:ascii="Calibri" w:eastAsia="Calibri" w:hAnsi="Calibri" w:cs="Calibri"/>
          <w:color w:val="auto"/>
          <w:sz w:val="22"/>
          <w:szCs w:val="22"/>
          <w:lang w:val="fr-FR"/>
        </w:rPr>
        <w:t xml:space="preserve"> </w:t>
      </w:r>
      <w:r w:rsidRPr="00B81291">
        <w:rPr>
          <w:rFonts w:ascii="Calibri" w:eastAsia="Calibri" w:hAnsi="Calibri" w:cs="Calibri"/>
          <w:color w:val="auto"/>
          <w:sz w:val="22"/>
          <w:szCs w:val="22"/>
          <w:lang w:val="fr-FR"/>
        </w:rPr>
        <w:t>(i)</w:t>
      </w:r>
      <w:r w:rsidR="00990694">
        <w:rPr>
          <w:rFonts w:ascii="Calibri" w:eastAsia="Calibri" w:hAnsi="Calibri" w:cs="Calibri"/>
          <w:color w:val="auto"/>
          <w:sz w:val="22"/>
          <w:szCs w:val="22"/>
          <w:lang w:val="fr-FR"/>
        </w:rPr>
        <w:t xml:space="preserve"> </w:t>
      </w:r>
      <w:r w:rsidR="00990694" w:rsidRPr="00B81291">
        <w:rPr>
          <w:rFonts w:ascii="Calibri" w:eastAsia="Calibri" w:hAnsi="Calibri" w:cs="Calibri"/>
          <w:i/>
          <w:color w:val="auto"/>
          <w:sz w:val="22"/>
          <w:szCs w:val="22"/>
          <w:lang w:val="fr-FR"/>
        </w:rPr>
        <w:t>ACE:</w:t>
      </w:r>
      <w:r w:rsidRPr="00B81291">
        <w:rPr>
          <w:rFonts w:ascii="Calibri" w:eastAsia="Calibri" w:hAnsi="Calibri" w:cs="Calibri"/>
          <w:i/>
          <w:color w:val="auto"/>
          <w:sz w:val="22"/>
          <w:szCs w:val="22"/>
          <w:lang w:val="fr-FR"/>
        </w:rPr>
        <w:t xml:space="preserve"> Mathematical Sciences, Computer Science and Applications (</w:t>
      </w:r>
      <w:r w:rsidR="00DE4A61">
        <w:rPr>
          <w:rFonts w:ascii="Calibri" w:eastAsia="Calibri" w:hAnsi="Calibri" w:cs="Calibri"/>
          <w:i/>
          <w:color w:val="auto"/>
          <w:sz w:val="22"/>
          <w:szCs w:val="22"/>
          <w:lang w:val="fr-FR"/>
        </w:rPr>
        <w:t>CEA-SMIA</w:t>
      </w:r>
      <w:r w:rsidRPr="00B81291">
        <w:rPr>
          <w:rFonts w:ascii="Calibri" w:eastAsia="Calibri" w:hAnsi="Calibri" w:cs="Calibri"/>
          <w:i/>
          <w:color w:val="auto"/>
          <w:sz w:val="22"/>
          <w:szCs w:val="22"/>
          <w:lang w:val="fr-FR"/>
        </w:rPr>
        <w:t>) / Projet de Centre d’Excellence Africain en Sciences Mathématiques</w:t>
      </w:r>
      <w:r w:rsidR="00093F23">
        <w:rPr>
          <w:rFonts w:ascii="Calibri" w:eastAsia="Calibri" w:hAnsi="Calibri" w:cs="Calibri"/>
          <w:i/>
          <w:color w:val="auto"/>
          <w:sz w:val="22"/>
          <w:szCs w:val="22"/>
          <w:lang w:val="fr-FR"/>
        </w:rPr>
        <w:t xml:space="preserve">, </w:t>
      </w:r>
      <w:r w:rsidR="00BD4207">
        <w:rPr>
          <w:rFonts w:ascii="Calibri" w:eastAsia="Calibri" w:hAnsi="Calibri" w:cs="Calibri"/>
          <w:i/>
          <w:color w:val="auto"/>
          <w:sz w:val="22"/>
          <w:szCs w:val="22"/>
          <w:lang w:val="fr-FR"/>
        </w:rPr>
        <w:t>Informatique</w:t>
      </w:r>
      <w:r w:rsidRPr="00B81291">
        <w:rPr>
          <w:rFonts w:ascii="Calibri" w:eastAsia="Calibri" w:hAnsi="Calibri" w:cs="Calibri"/>
          <w:i/>
          <w:color w:val="auto"/>
          <w:sz w:val="22"/>
          <w:szCs w:val="22"/>
          <w:lang w:val="fr-FR"/>
        </w:rPr>
        <w:t xml:space="preserve"> et Applications</w:t>
      </w:r>
      <w:r w:rsidR="001815CF">
        <w:rPr>
          <w:rFonts w:ascii="Calibri" w:eastAsia="Calibri" w:hAnsi="Calibri" w:cs="Calibri"/>
          <w:i/>
          <w:color w:val="auto"/>
          <w:sz w:val="22"/>
          <w:szCs w:val="22"/>
          <w:lang w:val="fr-FR"/>
        </w:rPr>
        <w:t>;</w:t>
      </w:r>
      <w:r w:rsidRPr="00B81291">
        <w:rPr>
          <w:rFonts w:ascii="Calibri" w:eastAsia="Calibri" w:hAnsi="Calibri" w:cs="Calibri"/>
          <w:i/>
          <w:color w:val="auto"/>
          <w:sz w:val="22"/>
          <w:szCs w:val="22"/>
          <w:lang w:val="fr-FR"/>
        </w:rPr>
        <w:t xml:space="preserve"> (ii) ACE: Water and Sanitation / Centre d’Excellence Africain pour l’Eau et l’Assainissement (C2EA)</w:t>
      </w:r>
      <w:r w:rsidR="004D0BE1" w:rsidRPr="00B81291">
        <w:rPr>
          <w:rFonts w:ascii="Calibri" w:eastAsia="Calibri" w:hAnsi="Calibri" w:cs="Calibri"/>
          <w:color w:val="auto"/>
          <w:sz w:val="22"/>
          <w:szCs w:val="22"/>
          <w:lang w:val="fr-FR"/>
        </w:rPr>
        <w:t xml:space="preserve">. </w:t>
      </w:r>
      <w:r w:rsidR="004D0BE1" w:rsidRPr="00B81291">
        <w:rPr>
          <w:rFonts w:ascii="Calibri" w:eastAsia="Calibri" w:hAnsi="Calibri" w:cs="Calibri"/>
          <w:color w:val="auto"/>
          <w:sz w:val="22"/>
          <w:szCs w:val="22"/>
        </w:rPr>
        <w:t>As</w:t>
      </w:r>
      <w:r w:rsidR="004D0BE1" w:rsidRPr="000655D2">
        <w:rPr>
          <w:rFonts w:ascii="Calibri" w:eastAsia="Calibri" w:hAnsi="Calibri" w:cs="Calibri"/>
          <w:color w:val="auto"/>
          <w:sz w:val="22"/>
          <w:szCs w:val="22"/>
        </w:rPr>
        <w:t xml:space="preserve"> an add-on to the project in Benin, </w:t>
      </w:r>
      <w:r w:rsidR="007720E2" w:rsidRPr="000655D2">
        <w:rPr>
          <w:rFonts w:ascii="Calibri" w:eastAsia="Calibri" w:hAnsi="Calibri" w:cs="Calibri"/>
          <w:color w:val="auto"/>
          <w:sz w:val="22"/>
          <w:szCs w:val="22"/>
        </w:rPr>
        <w:t>the</w:t>
      </w:r>
      <w:r w:rsidRPr="00B81291">
        <w:rPr>
          <w:rFonts w:ascii="Calibri" w:eastAsia="Calibri" w:hAnsi="Calibri" w:cs="Calibri"/>
          <w:i/>
          <w:color w:val="auto"/>
          <w:sz w:val="22"/>
          <w:szCs w:val="22"/>
        </w:rPr>
        <w:t xml:space="preserve"> College of engineering </w:t>
      </w:r>
      <w:r w:rsidR="00470525">
        <w:rPr>
          <w:rFonts w:ascii="Calibri" w:eastAsia="Calibri" w:hAnsi="Calibri" w:cs="Calibri"/>
          <w:i/>
          <w:color w:val="auto"/>
          <w:sz w:val="22"/>
          <w:szCs w:val="22"/>
        </w:rPr>
        <w:t>in Energy, Transport Infrastructures and Environment</w:t>
      </w:r>
      <w:r w:rsidR="00470525" w:rsidRPr="00B81291">
        <w:rPr>
          <w:rFonts w:ascii="Calibri" w:eastAsia="Calibri" w:hAnsi="Calibri" w:cs="Calibri"/>
          <w:i/>
          <w:color w:val="auto"/>
          <w:sz w:val="22"/>
          <w:szCs w:val="22"/>
        </w:rPr>
        <w:t xml:space="preserve"> </w:t>
      </w:r>
      <w:r w:rsidRPr="00B81291">
        <w:rPr>
          <w:rFonts w:ascii="Calibri" w:eastAsia="Calibri" w:hAnsi="Calibri" w:cs="Calibri"/>
          <w:i/>
          <w:color w:val="auto"/>
          <w:sz w:val="22"/>
          <w:szCs w:val="22"/>
        </w:rPr>
        <w:t xml:space="preserve">/ Collège d’ingénierie </w:t>
      </w:r>
      <w:r w:rsidR="00B2476A">
        <w:rPr>
          <w:rFonts w:ascii="Calibri" w:eastAsia="Calibri" w:hAnsi="Calibri" w:cs="Calibri"/>
          <w:i/>
          <w:color w:val="auto"/>
          <w:sz w:val="22"/>
          <w:szCs w:val="22"/>
        </w:rPr>
        <w:t xml:space="preserve">en Énergie, Infrastructure des transports et Environnement </w:t>
      </w:r>
      <w:r w:rsidR="00B2476A" w:rsidRPr="00B81291">
        <w:rPr>
          <w:rFonts w:ascii="Calibri" w:eastAsia="Calibri" w:hAnsi="Calibri" w:cs="Calibri"/>
          <w:i/>
          <w:color w:val="auto"/>
          <w:sz w:val="22"/>
          <w:szCs w:val="22"/>
        </w:rPr>
        <w:t>(CoE-</w:t>
      </w:r>
      <w:r w:rsidR="00B2476A">
        <w:rPr>
          <w:rFonts w:ascii="Calibri" w:eastAsia="Calibri" w:hAnsi="Calibri" w:cs="Calibri"/>
          <w:i/>
          <w:color w:val="auto"/>
          <w:sz w:val="22"/>
          <w:szCs w:val="22"/>
        </w:rPr>
        <w:t>EIE</w:t>
      </w:r>
      <w:r w:rsidR="00B2476A" w:rsidRPr="00B81291">
        <w:rPr>
          <w:rFonts w:ascii="Calibri" w:eastAsia="Calibri" w:hAnsi="Calibri" w:cs="Calibri"/>
          <w:i/>
          <w:color w:val="auto"/>
          <w:sz w:val="22"/>
          <w:szCs w:val="22"/>
        </w:rPr>
        <w:t>)</w:t>
      </w:r>
      <w:r w:rsidR="00B2476A" w:rsidRPr="000655D2">
        <w:rPr>
          <w:rFonts w:ascii="Calibri" w:eastAsia="Calibri" w:hAnsi="Calibri" w:cs="Calibri"/>
          <w:color w:val="auto"/>
          <w:sz w:val="22"/>
          <w:szCs w:val="22"/>
        </w:rPr>
        <w:t xml:space="preserve"> </w:t>
      </w:r>
      <w:r w:rsidR="007720E2" w:rsidRPr="000655D2">
        <w:rPr>
          <w:rFonts w:ascii="Calibri" w:eastAsia="Calibri" w:hAnsi="Calibri" w:cs="Calibri"/>
          <w:color w:val="auto"/>
          <w:sz w:val="22"/>
          <w:szCs w:val="22"/>
        </w:rPr>
        <w:t xml:space="preserve">will also receive funding under the colleges of engineering </w:t>
      </w:r>
      <w:r w:rsidR="00672B26" w:rsidRPr="000655D2">
        <w:rPr>
          <w:rFonts w:ascii="Calibri" w:eastAsia="Calibri" w:hAnsi="Calibri" w:cs="Calibri"/>
          <w:color w:val="auto"/>
          <w:sz w:val="22"/>
          <w:szCs w:val="22"/>
        </w:rPr>
        <w:t xml:space="preserve">element of the project. </w:t>
      </w:r>
      <w:r w:rsidR="00972EF9" w:rsidRPr="000655D2">
        <w:rPr>
          <w:rFonts w:ascii="Calibri" w:eastAsia="Calibri" w:hAnsi="Calibri" w:cs="Calibri"/>
          <w:color w:val="auto"/>
          <w:sz w:val="22"/>
          <w:szCs w:val="22"/>
        </w:rPr>
        <w:t xml:space="preserve">The two ACEs </w:t>
      </w:r>
      <w:r w:rsidR="00E4507F" w:rsidRPr="000655D2">
        <w:rPr>
          <w:rFonts w:ascii="Calibri" w:eastAsia="Calibri" w:hAnsi="Calibri" w:cs="Calibri"/>
          <w:color w:val="auto"/>
          <w:sz w:val="22"/>
          <w:szCs w:val="22"/>
        </w:rPr>
        <w:t>(</w:t>
      </w:r>
      <w:r w:rsidR="00DE4A61">
        <w:rPr>
          <w:rFonts w:ascii="Calibri" w:eastAsia="Calibri" w:hAnsi="Calibri" w:cs="Calibri"/>
          <w:color w:val="auto"/>
          <w:sz w:val="22"/>
          <w:szCs w:val="22"/>
        </w:rPr>
        <w:t>CEA-SMIA</w:t>
      </w:r>
      <w:r w:rsidR="00E4507F" w:rsidRPr="000655D2">
        <w:rPr>
          <w:rFonts w:ascii="Calibri" w:eastAsia="Calibri" w:hAnsi="Calibri" w:cs="Calibri"/>
          <w:color w:val="auto"/>
          <w:sz w:val="22"/>
          <w:szCs w:val="22"/>
        </w:rPr>
        <w:t xml:space="preserve"> and C2EA) </w:t>
      </w:r>
      <w:r w:rsidR="002B3145" w:rsidRPr="000655D2">
        <w:rPr>
          <w:rFonts w:ascii="Calibri" w:eastAsia="Calibri" w:hAnsi="Calibri" w:cs="Calibri"/>
          <w:color w:val="auto"/>
          <w:sz w:val="22"/>
          <w:szCs w:val="22"/>
        </w:rPr>
        <w:t xml:space="preserve">and CoE </w:t>
      </w:r>
      <w:r w:rsidR="001E5083">
        <w:rPr>
          <w:rFonts w:ascii="Calibri" w:eastAsia="Calibri" w:hAnsi="Calibri" w:cs="Calibri"/>
          <w:color w:val="auto"/>
          <w:sz w:val="22"/>
          <w:szCs w:val="22"/>
        </w:rPr>
        <w:t xml:space="preserve">-EIE </w:t>
      </w:r>
      <w:r w:rsidR="002B3145" w:rsidRPr="000655D2">
        <w:rPr>
          <w:rFonts w:ascii="Calibri" w:eastAsia="Calibri" w:hAnsi="Calibri" w:cs="Calibri"/>
          <w:color w:val="auto"/>
          <w:sz w:val="22"/>
          <w:szCs w:val="22"/>
        </w:rPr>
        <w:t xml:space="preserve">will each have </w:t>
      </w:r>
      <w:r w:rsidR="00CD2461" w:rsidRPr="000655D2">
        <w:rPr>
          <w:rFonts w:ascii="Calibri" w:eastAsia="Calibri" w:hAnsi="Calibri" w:cs="Calibri"/>
          <w:color w:val="auto"/>
          <w:sz w:val="22"/>
          <w:szCs w:val="22"/>
        </w:rPr>
        <w:t xml:space="preserve">their </w:t>
      </w:r>
      <w:r w:rsidR="00E4507F" w:rsidRPr="000655D2">
        <w:rPr>
          <w:rFonts w:ascii="Calibri" w:eastAsia="Calibri" w:hAnsi="Calibri" w:cs="Calibri"/>
          <w:color w:val="auto"/>
          <w:sz w:val="22"/>
          <w:szCs w:val="22"/>
        </w:rPr>
        <w:t xml:space="preserve">own </w:t>
      </w:r>
      <w:r w:rsidR="00CD2461" w:rsidRPr="000655D2">
        <w:rPr>
          <w:rFonts w:ascii="Calibri" w:eastAsia="Calibri" w:hAnsi="Calibri" w:cs="Calibri"/>
          <w:color w:val="auto"/>
          <w:sz w:val="22"/>
          <w:szCs w:val="22"/>
        </w:rPr>
        <w:t>dedicated implementation teams</w:t>
      </w:r>
      <w:r w:rsidR="00504712" w:rsidRPr="000655D2">
        <w:rPr>
          <w:rFonts w:ascii="Calibri" w:eastAsia="Calibri" w:hAnsi="Calibri" w:cs="Calibri"/>
          <w:color w:val="auto"/>
          <w:sz w:val="22"/>
          <w:szCs w:val="22"/>
        </w:rPr>
        <w:t xml:space="preserve"> responsible for coordinating the day-to-day implementation of the Second </w:t>
      </w:r>
      <w:r w:rsidR="00BB4A89">
        <w:rPr>
          <w:rFonts w:ascii="Calibri" w:eastAsia="Calibri" w:hAnsi="Calibri" w:cs="Calibri"/>
          <w:color w:val="auto"/>
          <w:sz w:val="22"/>
          <w:szCs w:val="22"/>
        </w:rPr>
        <w:t>ACE Impact Project</w:t>
      </w:r>
      <w:r w:rsidR="00504712" w:rsidRPr="000655D2">
        <w:rPr>
          <w:rFonts w:ascii="Calibri" w:eastAsia="Calibri" w:hAnsi="Calibri" w:cs="Calibri"/>
          <w:color w:val="auto"/>
          <w:sz w:val="22"/>
          <w:szCs w:val="22"/>
        </w:rPr>
        <w:t xml:space="preserve"> in Benin, including </w:t>
      </w:r>
      <w:r w:rsidR="00017BE5">
        <w:rPr>
          <w:rFonts w:ascii="Calibri" w:eastAsia="Calibri" w:hAnsi="Calibri" w:cs="Calibri"/>
          <w:color w:val="auto"/>
          <w:sz w:val="22"/>
          <w:szCs w:val="22"/>
        </w:rPr>
        <w:t>FM</w:t>
      </w:r>
      <w:r w:rsidR="00504712" w:rsidRPr="000655D2">
        <w:rPr>
          <w:rFonts w:ascii="Calibri" w:eastAsia="Calibri" w:hAnsi="Calibri" w:cs="Calibri"/>
          <w:color w:val="auto"/>
          <w:sz w:val="22"/>
          <w:szCs w:val="22"/>
        </w:rPr>
        <w:t xml:space="preserve">, procurement, </w:t>
      </w:r>
      <w:r w:rsidR="00017BE5">
        <w:rPr>
          <w:rFonts w:ascii="Calibri" w:eastAsia="Calibri" w:hAnsi="Calibri" w:cs="Calibri"/>
          <w:color w:val="auto"/>
          <w:sz w:val="22"/>
          <w:szCs w:val="22"/>
        </w:rPr>
        <w:t xml:space="preserve">M&amp;E </w:t>
      </w:r>
      <w:r w:rsidR="00504712" w:rsidRPr="000655D2">
        <w:rPr>
          <w:rFonts w:ascii="Calibri" w:eastAsia="Calibri" w:hAnsi="Calibri" w:cs="Calibri"/>
          <w:color w:val="auto"/>
          <w:sz w:val="22"/>
          <w:szCs w:val="22"/>
        </w:rPr>
        <w:t>and other related project activities</w:t>
      </w:r>
      <w:r w:rsidR="00CD2461" w:rsidRPr="000655D2">
        <w:rPr>
          <w:rFonts w:ascii="Calibri" w:eastAsia="Calibri" w:hAnsi="Calibri" w:cs="Calibri"/>
          <w:color w:val="auto"/>
          <w:sz w:val="22"/>
          <w:szCs w:val="22"/>
        </w:rPr>
        <w:t>.</w:t>
      </w:r>
      <w:r w:rsidRPr="00B81291">
        <w:rPr>
          <w:rFonts w:ascii="Calibri" w:eastAsia="Calibri" w:hAnsi="Calibri" w:cs="Calibri"/>
          <w:color w:val="auto"/>
          <w:sz w:val="22"/>
          <w:szCs w:val="22"/>
        </w:rPr>
        <w:t xml:space="preserve"> Although the </w:t>
      </w:r>
      <w:r w:rsidR="00435D2F" w:rsidRPr="000655D2">
        <w:rPr>
          <w:rFonts w:ascii="Calibri" w:eastAsia="Calibri" w:hAnsi="Calibri" w:cs="Calibri"/>
          <w:color w:val="auto"/>
          <w:sz w:val="22"/>
          <w:szCs w:val="22"/>
        </w:rPr>
        <w:t>reimbursable</w:t>
      </w:r>
      <w:r w:rsidRPr="00B81291">
        <w:rPr>
          <w:rFonts w:ascii="Calibri" w:eastAsia="Calibri" w:hAnsi="Calibri" w:cs="Calibri"/>
          <w:color w:val="auto"/>
          <w:sz w:val="22"/>
          <w:szCs w:val="22"/>
        </w:rPr>
        <w:t xml:space="preserve"> account of the add-on CoE-</w:t>
      </w:r>
      <w:r w:rsidR="001E5083" w:rsidRPr="00B81291">
        <w:rPr>
          <w:rFonts w:ascii="Calibri" w:eastAsia="Calibri" w:hAnsi="Calibri" w:cs="Calibri"/>
          <w:color w:val="auto"/>
          <w:sz w:val="22"/>
          <w:szCs w:val="22"/>
        </w:rPr>
        <w:t>E</w:t>
      </w:r>
      <w:r w:rsidR="001E5083">
        <w:rPr>
          <w:rFonts w:ascii="Calibri" w:eastAsia="Calibri" w:hAnsi="Calibri" w:cs="Calibri"/>
          <w:color w:val="auto"/>
          <w:sz w:val="22"/>
          <w:szCs w:val="22"/>
        </w:rPr>
        <w:t>IE</w:t>
      </w:r>
      <w:r w:rsidR="001E5083" w:rsidRPr="00B81291">
        <w:rPr>
          <w:rFonts w:ascii="Calibri" w:eastAsia="Calibri" w:hAnsi="Calibri" w:cs="Calibri"/>
          <w:color w:val="auto"/>
          <w:sz w:val="22"/>
          <w:szCs w:val="22"/>
        </w:rPr>
        <w:t xml:space="preserve"> </w:t>
      </w:r>
      <w:r w:rsidRPr="00B81291">
        <w:rPr>
          <w:rFonts w:ascii="Calibri" w:eastAsia="Calibri" w:hAnsi="Calibri" w:cs="Calibri"/>
          <w:color w:val="auto"/>
          <w:sz w:val="22"/>
          <w:szCs w:val="22"/>
        </w:rPr>
        <w:t xml:space="preserve">will be linked to </w:t>
      </w:r>
      <w:r w:rsidR="00504712" w:rsidRPr="000655D2">
        <w:rPr>
          <w:rFonts w:ascii="Calibri" w:eastAsia="Calibri" w:hAnsi="Calibri" w:cs="Calibri"/>
          <w:color w:val="auto"/>
          <w:sz w:val="22"/>
          <w:szCs w:val="22"/>
        </w:rPr>
        <w:t xml:space="preserve">either </w:t>
      </w:r>
      <w:r w:rsidRPr="00B81291">
        <w:rPr>
          <w:rFonts w:ascii="Calibri" w:eastAsia="Calibri" w:hAnsi="Calibri" w:cs="Calibri"/>
          <w:color w:val="auto"/>
          <w:sz w:val="22"/>
          <w:szCs w:val="22"/>
        </w:rPr>
        <w:t xml:space="preserve">the </w:t>
      </w:r>
      <w:r w:rsidR="00DE4A61">
        <w:rPr>
          <w:rFonts w:ascii="Calibri" w:eastAsia="Calibri" w:hAnsi="Calibri" w:cs="Calibri"/>
          <w:color w:val="auto"/>
          <w:sz w:val="22"/>
          <w:szCs w:val="22"/>
        </w:rPr>
        <w:t>CEA-SMIA</w:t>
      </w:r>
      <w:r w:rsidR="00504712" w:rsidRPr="000655D2">
        <w:rPr>
          <w:rFonts w:ascii="Calibri" w:eastAsia="Calibri" w:hAnsi="Calibri" w:cs="Calibri"/>
          <w:color w:val="auto"/>
          <w:sz w:val="22"/>
          <w:szCs w:val="22"/>
        </w:rPr>
        <w:t xml:space="preserve"> or </w:t>
      </w:r>
      <w:r w:rsidRPr="00B81291">
        <w:rPr>
          <w:rFonts w:ascii="Calibri" w:eastAsia="Calibri" w:hAnsi="Calibri" w:cs="Calibri"/>
          <w:color w:val="auto"/>
          <w:sz w:val="22"/>
          <w:szCs w:val="22"/>
        </w:rPr>
        <w:t xml:space="preserve">C2EA </w:t>
      </w:r>
      <w:r w:rsidR="004A2D5E">
        <w:rPr>
          <w:rFonts w:ascii="Calibri" w:eastAsia="Calibri" w:hAnsi="Calibri" w:cs="Calibri"/>
          <w:color w:val="auto"/>
          <w:sz w:val="22"/>
          <w:szCs w:val="22"/>
        </w:rPr>
        <w:t>c</w:t>
      </w:r>
      <w:r w:rsidRPr="00B81291">
        <w:rPr>
          <w:rFonts w:ascii="Calibri" w:eastAsia="Calibri" w:hAnsi="Calibri" w:cs="Calibri"/>
          <w:color w:val="auto"/>
          <w:sz w:val="22"/>
          <w:szCs w:val="22"/>
        </w:rPr>
        <w:t>enter, CoE-</w:t>
      </w:r>
      <w:r w:rsidR="001E5083" w:rsidRPr="00B81291">
        <w:rPr>
          <w:rFonts w:ascii="Calibri" w:eastAsia="Calibri" w:hAnsi="Calibri" w:cs="Calibri"/>
          <w:color w:val="auto"/>
          <w:sz w:val="22"/>
          <w:szCs w:val="22"/>
        </w:rPr>
        <w:t>E</w:t>
      </w:r>
      <w:r w:rsidR="001E5083">
        <w:rPr>
          <w:rFonts w:ascii="Calibri" w:eastAsia="Calibri" w:hAnsi="Calibri" w:cs="Calibri"/>
          <w:color w:val="auto"/>
          <w:sz w:val="22"/>
          <w:szCs w:val="22"/>
        </w:rPr>
        <w:t>IE</w:t>
      </w:r>
      <w:r w:rsidR="001E5083" w:rsidRPr="00B81291">
        <w:rPr>
          <w:rFonts w:ascii="Calibri" w:eastAsia="Calibri" w:hAnsi="Calibri" w:cs="Calibri"/>
          <w:color w:val="auto"/>
          <w:sz w:val="22"/>
          <w:szCs w:val="22"/>
        </w:rPr>
        <w:t xml:space="preserve"> </w:t>
      </w:r>
      <w:r w:rsidRPr="00B81291">
        <w:rPr>
          <w:rFonts w:ascii="Calibri" w:eastAsia="Calibri" w:hAnsi="Calibri" w:cs="Calibri"/>
          <w:color w:val="auto"/>
          <w:sz w:val="22"/>
          <w:szCs w:val="22"/>
        </w:rPr>
        <w:t xml:space="preserve">will also have its own </w:t>
      </w:r>
      <w:r w:rsidR="00504712" w:rsidRPr="000655D2">
        <w:rPr>
          <w:rFonts w:ascii="Calibri" w:eastAsia="Calibri" w:hAnsi="Calibri" w:cs="Calibri"/>
          <w:color w:val="auto"/>
          <w:sz w:val="22"/>
          <w:szCs w:val="22"/>
        </w:rPr>
        <w:t>implementation team</w:t>
      </w:r>
      <w:r w:rsidRPr="00B81291">
        <w:rPr>
          <w:rFonts w:ascii="Calibri" w:eastAsia="Calibri" w:hAnsi="Calibri" w:cs="Calibri"/>
          <w:color w:val="auto"/>
          <w:sz w:val="22"/>
          <w:szCs w:val="22"/>
        </w:rPr>
        <w:t xml:space="preserve">. </w:t>
      </w:r>
    </w:p>
    <w:p w14:paraId="54B6AD6D" w14:textId="77777777" w:rsidR="000E5632" w:rsidRPr="00B81291"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Pr>
          <w:rFonts w:ascii="Calibri" w:eastAsia="Calibri" w:hAnsi="Calibri" w:cs="Calibri"/>
          <w:color w:val="auto"/>
          <w:sz w:val="22"/>
          <w:szCs w:val="22"/>
        </w:rPr>
        <w:t>CEA-SMIA</w:t>
      </w:r>
      <w:r w:rsidR="00F65677" w:rsidRPr="00B81291">
        <w:rPr>
          <w:rFonts w:ascii="Calibri" w:eastAsia="Calibri" w:hAnsi="Calibri" w:cs="Calibri"/>
          <w:color w:val="auto"/>
          <w:sz w:val="22"/>
          <w:szCs w:val="22"/>
        </w:rPr>
        <w:t xml:space="preserve"> is a Renewal ACE and therefore familiar with the </w:t>
      </w:r>
      <w:r w:rsidR="00C00B64">
        <w:rPr>
          <w:rFonts w:asciiTheme="minorHAnsi" w:eastAsiaTheme="minorHAnsi" w:hAnsiTheme="minorHAnsi" w:cstheme="minorHAnsi"/>
          <w:color w:val="auto"/>
          <w:sz w:val="22"/>
          <w:szCs w:val="22"/>
        </w:rPr>
        <w:t>World</w:t>
      </w:r>
      <w:r w:rsidR="00C00B64" w:rsidRPr="00B81291">
        <w:rPr>
          <w:rFonts w:ascii="Calibri" w:eastAsia="Calibri" w:hAnsi="Calibri" w:cs="Calibri"/>
          <w:color w:val="auto"/>
          <w:sz w:val="22"/>
          <w:szCs w:val="22"/>
        </w:rPr>
        <w:t xml:space="preserve"> </w:t>
      </w:r>
      <w:r w:rsidR="00F65677" w:rsidRPr="00B81291">
        <w:rPr>
          <w:rFonts w:ascii="Calibri" w:eastAsia="Calibri" w:hAnsi="Calibri" w:cs="Calibri"/>
          <w:color w:val="auto"/>
          <w:sz w:val="22"/>
          <w:szCs w:val="22"/>
        </w:rPr>
        <w:t xml:space="preserve">Bank’s FM requirements. </w:t>
      </w:r>
      <w:r>
        <w:rPr>
          <w:rFonts w:ascii="Calibri" w:eastAsia="Calibri" w:hAnsi="Calibri" w:cs="Calibri"/>
          <w:color w:val="auto"/>
          <w:sz w:val="22"/>
          <w:szCs w:val="22"/>
        </w:rPr>
        <w:t>CEA-SMIA</w:t>
      </w:r>
      <w:r w:rsidR="00F65677" w:rsidRPr="00B81291">
        <w:rPr>
          <w:rFonts w:ascii="Calibri" w:eastAsia="Calibri" w:hAnsi="Calibri" w:cs="Calibri"/>
          <w:color w:val="auto"/>
          <w:sz w:val="22"/>
          <w:szCs w:val="22"/>
        </w:rPr>
        <w:t xml:space="preserve">’s FM performance was rated </w:t>
      </w:r>
      <w:r w:rsidR="000655D2">
        <w:rPr>
          <w:rFonts w:ascii="Calibri" w:eastAsia="Calibri" w:hAnsi="Calibri" w:cs="Calibri"/>
          <w:color w:val="auto"/>
          <w:sz w:val="22"/>
          <w:szCs w:val="22"/>
        </w:rPr>
        <w:t>s</w:t>
      </w:r>
      <w:r w:rsidR="00F65677" w:rsidRPr="00B81291">
        <w:rPr>
          <w:rFonts w:ascii="Calibri" w:eastAsia="Calibri" w:hAnsi="Calibri" w:cs="Calibri"/>
          <w:color w:val="auto"/>
          <w:sz w:val="22"/>
          <w:szCs w:val="22"/>
        </w:rPr>
        <w:t>atisfactory and the FM risk was rated moderate</w:t>
      </w:r>
      <w:r w:rsidR="000655D2">
        <w:rPr>
          <w:rFonts w:ascii="Calibri" w:eastAsia="Calibri" w:hAnsi="Calibri" w:cs="Calibri"/>
          <w:color w:val="auto"/>
          <w:sz w:val="22"/>
          <w:szCs w:val="22"/>
        </w:rPr>
        <w:t>,</w:t>
      </w:r>
      <w:r w:rsidR="00F65677" w:rsidRPr="00B81291">
        <w:rPr>
          <w:rFonts w:ascii="Calibri" w:eastAsia="Calibri" w:hAnsi="Calibri" w:cs="Calibri"/>
          <w:color w:val="auto"/>
          <w:sz w:val="22"/>
          <w:szCs w:val="22"/>
        </w:rPr>
        <w:t xml:space="preserve"> following the most recent </w:t>
      </w:r>
      <w:r w:rsidR="000655D2">
        <w:rPr>
          <w:rFonts w:ascii="Calibri" w:eastAsia="Calibri" w:hAnsi="Calibri" w:cs="Calibri"/>
          <w:color w:val="auto"/>
          <w:sz w:val="22"/>
          <w:szCs w:val="22"/>
        </w:rPr>
        <w:t xml:space="preserve">ACE I </w:t>
      </w:r>
      <w:r w:rsidR="00F65677" w:rsidRPr="00B81291">
        <w:rPr>
          <w:rFonts w:ascii="Calibri" w:eastAsia="Calibri" w:hAnsi="Calibri" w:cs="Calibri"/>
          <w:color w:val="auto"/>
          <w:sz w:val="22"/>
          <w:szCs w:val="22"/>
        </w:rPr>
        <w:t>mission. The current FM staffing is adequate and consists of two civil servants</w:t>
      </w:r>
      <w:r w:rsidR="00A256E2">
        <w:rPr>
          <w:rFonts w:ascii="Calibri" w:eastAsia="Calibri" w:hAnsi="Calibri" w:cs="Calibri"/>
          <w:color w:val="auto"/>
          <w:sz w:val="22"/>
          <w:szCs w:val="22"/>
        </w:rPr>
        <w:t xml:space="preserve">, one </w:t>
      </w:r>
      <w:r w:rsidR="00F65677" w:rsidRPr="00B81291">
        <w:rPr>
          <w:rFonts w:ascii="Calibri" w:eastAsia="Calibri" w:hAnsi="Calibri" w:cs="Calibri"/>
          <w:color w:val="auto"/>
          <w:sz w:val="22"/>
          <w:szCs w:val="22"/>
        </w:rPr>
        <w:t>assigned</w:t>
      </w:r>
      <w:r w:rsidR="00A256E2">
        <w:rPr>
          <w:rFonts w:ascii="Calibri" w:eastAsia="Calibri" w:hAnsi="Calibri" w:cs="Calibri"/>
          <w:color w:val="auto"/>
          <w:sz w:val="22"/>
          <w:szCs w:val="22"/>
        </w:rPr>
        <w:t xml:space="preserve"> as</w:t>
      </w:r>
      <w:r w:rsidR="00F65677" w:rsidRPr="00B81291">
        <w:rPr>
          <w:rFonts w:ascii="Calibri" w:eastAsia="Calibri" w:hAnsi="Calibri" w:cs="Calibri"/>
          <w:color w:val="auto"/>
          <w:sz w:val="22"/>
          <w:szCs w:val="22"/>
        </w:rPr>
        <w:t xml:space="preserve"> the Center’s </w:t>
      </w:r>
      <w:r w:rsidR="00741F70">
        <w:rPr>
          <w:rFonts w:ascii="Calibri" w:eastAsia="Calibri" w:hAnsi="Calibri" w:cs="Calibri"/>
          <w:color w:val="auto"/>
          <w:sz w:val="22"/>
          <w:szCs w:val="22"/>
        </w:rPr>
        <w:t>Financial Management Specialist (FMS)</w:t>
      </w:r>
      <w:r w:rsidR="00F65677" w:rsidRPr="00B81291">
        <w:rPr>
          <w:rFonts w:ascii="Calibri" w:eastAsia="Calibri" w:hAnsi="Calibri" w:cs="Calibri"/>
          <w:color w:val="auto"/>
          <w:sz w:val="22"/>
          <w:szCs w:val="22"/>
        </w:rPr>
        <w:t xml:space="preserve"> and </w:t>
      </w:r>
      <w:r w:rsidR="00E81426">
        <w:rPr>
          <w:rFonts w:ascii="Calibri" w:eastAsia="Calibri" w:hAnsi="Calibri" w:cs="Calibri"/>
          <w:color w:val="auto"/>
          <w:sz w:val="22"/>
          <w:szCs w:val="22"/>
        </w:rPr>
        <w:t xml:space="preserve">the other as the </w:t>
      </w:r>
      <w:r w:rsidR="00F65677" w:rsidRPr="00B81291">
        <w:rPr>
          <w:rFonts w:ascii="Calibri" w:eastAsia="Calibri" w:hAnsi="Calibri" w:cs="Calibri"/>
          <w:color w:val="auto"/>
          <w:sz w:val="22"/>
          <w:szCs w:val="22"/>
        </w:rPr>
        <w:t>Accountant.  C2EA and CoE-</w:t>
      </w:r>
      <w:r w:rsidR="00855F55">
        <w:rPr>
          <w:rFonts w:ascii="Calibri" w:eastAsia="Calibri" w:hAnsi="Calibri" w:cs="Calibri"/>
          <w:color w:val="auto"/>
          <w:sz w:val="22"/>
          <w:szCs w:val="22"/>
        </w:rPr>
        <w:t>EIE</w:t>
      </w:r>
      <w:r w:rsidR="00855F55" w:rsidRPr="00B81291">
        <w:rPr>
          <w:rFonts w:ascii="Calibri" w:eastAsia="Calibri" w:hAnsi="Calibri" w:cs="Calibri"/>
          <w:color w:val="auto"/>
          <w:sz w:val="22"/>
          <w:szCs w:val="22"/>
        </w:rPr>
        <w:t xml:space="preserve"> </w:t>
      </w:r>
      <w:r w:rsidR="00F65677" w:rsidRPr="00B81291">
        <w:rPr>
          <w:rFonts w:ascii="Calibri" w:eastAsia="Calibri" w:hAnsi="Calibri" w:cs="Calibri"/>
          <w:color w:val="auto"/>
          <w:sz w:val="22"/>
          <w:szCs w:val="22"/>
        </w:rPr>
        <w:t xml:space="preserve">are two operational units of </w:t>
      </w:r>
      <w:r w:rsidR="00017BE5">
        <w:rPr>
          <w:rFonts w:ascii="Calibri" w:eastAsia="Calibri" w:hAnsi="Calibri" w:cs="Calibri"/>
          <w:color w:val="auto"/>
          <w:sz w:val="22"/>
          <w:szCs w:val="22"/>
        </w:rPr>
        <w:t xml:space="preserve">the </w:t>
      </w:r>
      <w:r w:rsidR="00F65677" w:rsidRPr="00B81291">
        <w:rPr>
          <w:rFonts w:ascii="Calibri" w:eastAsia="Calibri" w:hAnsi="Calibri" w:cs="Calibri"/>
          <w:color w:val="auto"/>
          <w:sz w:val="22"/>
          <w:szCs w:val="22"/>
        </w:rPr>
        <w:t>University of Abomey-Calavi which are staffed with well qualified FM personnel familiar with budgetary accounting</w:t>
      </w:r>
      <w:r w:rsidR="00E81426">
        <w:rPr>
          <w:rFonts w:ascii="Calibri" w:eastAsia="Calibri" w:hAnsi="Calibri" w:cs="Calibri"/>
          <w:color w:val="auto"/>
          <w:sz w:val="22"/>
          <w:szCs w:val="22"/>
        </w:rPr>
        <w:t>,</w:t>
      </w:r>
      <w:r w:rsidR="00F65677" w:rsidRPr="00B81291">
        <w:rPr>
          <w:rFonts w:ascii="Calibri" w:eastAsia="Calibri" w:hAnsi="Calibri" w:cs="Calibri"/>
          <w:color w:val="auto"/>
          <w:sz w:val="22"/>
          <w:szCs w:val="22"/>
        </w:rPr>
        <w:t xml:space="preserve"> but who have no previous experience with IDA</w:t>
      </w:r>
      <w:r w:rsidR="00017BE5">
        <w:rPr>
          <w:rFonts w:ascii="Calibri" w:eastAsia="Calibri" w:hAnsi="Calibri" w:cs="Calibri"/>
          <w:color w:val="auto"/>
          <w:sz w:val="22"/>
          <w:szCs w:val="22"/>
        </w:rPr>
        <w:t>-</w:t>
      </w:r>
      <w:r w:rsidR="00F65677" w:rsidRPr="00B81291">
        <w:rPr>
          <w:rFonts w:ascii="Calibri" w:eastAsia="Calibri" w:hAnsi="Calibri" w:cs="Calibri"/>
          <w:color w:val="auto"/>
          <w:sz w:val="22"/>
          <w:szCs w:val="22"/>
        </w:rPr>
        <w:t xml:space="preserve">funded projects. The University has also a financial manual of procedures which is currently </w:t>
      </w:r>
      <w:r w:rsidR="001662FC">
        <w:rPr>
          <w:rFonts w:ascii="Calibri" w:eastAsia="Calibri" w:hAnsi="Calibri" w:cs="Calibri"/>
          <w:color w:val="auto"/>
          <w:sz w:val="22"/>
          <w:szCs w:val="22"/>
        </w:rPr>
        <w:t>being</w:t>
      </w:r>
      <w:r w:rsidR="00F65677" w:rsidRPr="00B81291">
        <w:rPr>
          <w:rFonts w:ascii="Calibri" w:eastAsia="Calibri" w:hAnsi="Calibri" w:cs="Calibri"/>
          <w:color w:val="auto"/>
          <w:sz w:val="22"/>
          <w:szCs w:val="22"/>
        </w:rPr>
        <w:t xml:space="preserve"> updated </w:t>
      </w:r>
      <w:r w:rsidR="001662FC">
        <w:rPr>
          <w:rFonts w:ascii="Calibri" w:eastAsia="Calibri" w:hAnsi="Calibri" w:cs="Calibri"/>
          <w:color w:val="auto"/>
          <w:sz w:val="22"/>
          <w:szCs w:val="22"/>
        </w:rPr>
        <w:t>to include</w:t>
      </w:r>
      <w:r w:rsidR="00F65677" w:rsidRPr="00B81291">
        <w:rPr>
          <w:rFonts w:ascii="Calibri" w:eastAsia="Calibri" w:hAnsi="Calibri" w:cs="Calibri"/>
          <w:color w:val="auto"/>
          <w:sz w:val="22"/>
          <w:szCs w:val="22"/>
        </w:rPr>
        <w:t xml:space="preserve"> relevant accounting procedures and specificities on disbursement mechanism under </w:t>
      </w:r>
      <w:r w:rsidR="00C00B64">
        <w:rPr>
          <w:rFonts w:asciiTheme="minorHAnsi" w:eastAsiaTheme="minorHAnsi" w:hAnsiTheme="minorHAnsi" w:cstheme="minorHAnsi"/>
          <w:color w:val="auto"/>
          <w:sz w:val="22"/>
          <w:szCs w:val="22"/>
        </w:rPr>
        <w:t>World</w:t>
      </w:r>
      <w:r w:rsidR="00C00B64" w:rsidRPr="00B81291">
        <w:rPr>
          <w:rFonts w:ascii="Calibri" w:eastAsia="Calibri" w:hAnsi="Calibri" w:cs="Calibri"/>
          <w:color w:val="auto"/>
          <w:sz w:val="22"/>
          <w:szCs w:val="22"/>
        </w:rPr>
        <w:t xml:space="preserve"> </w:t>
      </w:r>
      <w:r w:rsidR="00F65677" w:rsidRPr="00B81291">
        <w:rPr>
          <w:rFonts w:ascii="Calibri" w:eastAsia="Calibri" w:hAnsi="Calibri" w:cs="Calibri"/>
          <w:color w:val="auto"/>
          <w:sz w:val="22"/>
          <w:szCs w:val="22"/>
        </w:rPr>
        <w:t xml:space="preserve">Bank financing. </w:t>
      </w:r>
    </w:p>
    <w:p w14:paraId="7F281F5C" w14:textId="77777777" w:rsidR="00B65BB1" w:rsidRPr="0037022F"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37022F">
        <w:rPr>
          <w:rFonts w:asciiTheme="minorHAnsi" w:hAnsiTheme="minorHAnsi" w:cstheme="minorHAnsi"/>
          <w:b/>
          <w:i/>
          <w:color w:val="auto"/>
          <w:sz w:val="22"/>
          <w:szCs w:val="22"/>
        </w:rPr>
        <w:t xml:space="preserve">In </w:t>
      </w:r>
      <w:r w:rsidRPr="00B81291">
        <w:rPr>
          <w:rFonts w:asciiTheme="minorHAnsi" w:hAnsiTheme="minorHAnsi" w:cstheme="minorHAnsi"/>
          <w:b/>
          <w:i/>
          <w:color w:val="auto"/>
          <w:sz w:val="22"/>
          <w:szCs w:val="22"/>
        </w:rPr>
        <w:t>Niger:</w:t>
      </w:r>
      <w:r w:rsidRPr="0037022F">
        <w:rPr>
          <w:rFonts w:asciiTheme="minorHAnsi" w:hAnsiTheme="minorHAnsi" w:cstheme="minorHAnsi"/>
          <w:b/>
          <w:color w:val="0066FF"/>
          <w:sz w:val="22"/>
          <w:szCs w:val="22"/>
        </w:rPr>
        <w:t xml:space="preserve"> </w:t>
      </w:r>
      <w:r w:rsidR="00E12AED" w:rsidRPr="00B81291">
        <w:rPr>
          <w:rFonts w:asciiTheme="minorHAnsi" w:hAnsiTheme="minorHAnsi" w:cstheme="minorHAnsi"/>
          <w:color w:val="auto"/>
          <w:sz w:val="22"/>
          <w:szCs w:val="22"/>
        </w:rPr>
        <w:t xml:space="preserve">The FM risk rating for Niger is substantial. </w:t>
      </w:r>
      <w:r w:rsidRPr="00B81291">
        <w:rPr>
          <w:rFonts w:asciiTheme="minorHAnsi" w:hAnsiTheme="minorHAnsi" w:cstheme="minorHAnsi"/>
          <w:color w:val="auto"/>
          <w:sz w:val="22"/>
          <w:szCs w:val="22"/>
        </w:rPr>
        <w:t xml:space="preserve">At </w:t>
      </w:r>
      <w:r w:rsidRPr="0037022F">
        <w:rPr>
          <w:rFonts w:asciiTheme="minorHAnsi" w:hAnsiTheme="minorHAnsi" w:cstheme="minorHAnsi"/>
          <w:sz w:val="22"/>
          <w:szCs w:val="22"/>
        </w:rPr>
        <w:t>the national level, the project will be implemented</w:t>
      </w:r>
      <w:r w:rsidR="0037022F" w:rsidRPr="0037022F">
        <w:rPr>
          <w:rFonts w:asciiTheme="minorHAnsi" w:hAnsiTheme="minorHAnsi" w:cstheme="minorHAnsi"/>
          <w:sz w:val="22"/>
          <w:szCs w:val="22"/>
        </w:rPr>
        <w:t xml:space="preserve"> </w:t>
      </w:r>
      <w:r w:rsidRPr="0037022F">
        <w:rPr>
          <w:rFonts w:asciiTheme="minorHAnsi" w:hAnsiTheme="minorHAnsi" w:cstheme="minorHAnsi"/>
          <w:sz w:val="22"/>
          <w:szCs w:val="22"/>
        </w:rPr>
        <w:t xml:space="preserve">by the three participating </w:t>
      </w:r>
      <w:r w:rsidR="00225695" w:rsidRPr="0037022F">
        <w:rPr>
          <w:rFonts w:asciiTheme="minorHAnsi" w:hAnsiTheme="minorHAnsi" w:cstheme="minorHAnsi"/>
          <w:sz w:val="22"/>
          <w:szCs w:val="22"/>
        </w:rPr>
        <w:t>c</w:t>
      </w:r>
      <w:r w:rsidRPr="0037022F">
        <w:rPr>
          <w:rFonts w:asciiTheme="minorHAnsi" w:hAnsiTheme="minorHAnsi" w:cstheme="minorHAnsi"/>
          <w:sz w:val="22"/>
          <w:szCs w:val="22"/>
        </w:rPr>
        <w:t>enters</w:t>
      </w:r>
      <w:r w:rsidR="00225695" w:rsidRPr="0037022F">
        <w:rPr>
          <w:rFonts w:asciiTheme="minorHAnsi" w:hAnsiTheme="minorHAnsi" w:cstheme="minorHAnsi"/>
          <w:sz w:val="22"/>
          <w:szCs w:val="22"/>
        </w:rPr>
        <w:t>:</w:t>
      </w:r>
      <w:r w:rsidRPr="0037022F">
        <w:rPr>
          <w:rFonts w:asciiTheme="minorHAnsi" w:hAnsiTheme="minorHAnsi" w:cstheme="minorHAnsi"/>
          <w:sz w:val="22"/>
          <w:szCs w:val="22"/>
        </w:rPr>
        <w:t xml:space="preserve"> (i)</w:t>
      </w:r>
      <w:r w:rsidR="001815CF">
        <w:rPr>
          <w:rFonts w:asciiTheme="minorHAnsi" w:hAnsiTheme="minorHAnsi" w:cstheme="minorHAnsi"/>
          <w:sz w:val="22"/>
          <w:szCs w:val="22"/>
        </w:rPr>
        <w:t xml:space="preserve"> </w:t>
      </w:r>
      <w:r w:rsidRPr="0037022F">
        <w:rPr>
          <w:rFonts w:asciiTheme="minorHAnsi" w:hAnsiTheme="minorHAnsi" w:cstheme="minorHAnsi"/>
          <w:sz w:val="22"/>
          <w:szCs w:val="22"/>
        </w:rPr>
        <w:t>Pastoral Productions: Meat, Milk, Leather and Skins (</w:t>
      </w:r>
      <w:r w:rsidRPr="00B81291">
        <w:rPr>
          <w:rFonts w:asciiTheme="minorHAnsi" w:hAnsiTheme="minorHAnsi" w:cstheme="minorHAnsi"/>
          <w:sz w:val="22"/>
          <w:szCs w:val="22"/>
        </w:rPr>
        <w:t>CEA</w:t>
      </w:r>
      <w:r w:rsidR="005711EB">
        <w:rPr>
          <w:rFonts w:asciiTheme="minorHAnsi" w:hAnsiTheme="minorHAnsi" w:cstheme="minorHAnsi"/>
          <w:sz w:val="22"/>
          <w:szCs w:val="22"/>
        </w:rPr>
        <w:t>-</w:t>
      </w:r>
      <w:r w:rsidRPr="00B81291">
        <w:rPr>
          <w:rFonts w:asciiTheme="minorHAnsi" w:hAnsiTheme="minorHAnsi" w:cstheme="minorHAnsi"/>
          <w:sz w:val="22"/>
          <w:szCs w:val="22"/>
        </w:rPr>
        <w:t>CERPP</w:t>
      </w:r>
      <w:r w:rsidRPr="0037022F">
        <w:rPr>
          <w:rFonts w:asciiTheme="minorHAnsi" w:hAnsiTheme="minorHAnsi" w:cstheme="minorHAnsi"/>
          <w:sz w:val="22"/>
          <w:szCs w:val="22"/>
        </w:rPr>
        <w:t>)</w:t>
      </w:r>
      <w:r w:rsidR="00412151" w:rsidRPr="0037022F">
        <w:rPr>
          <w:rFonts w:asciiTheme="minorHAnsi" w:hAnsiTheme="minorHAnsi" w:cstheme="minorHAnsi"/>
          <w:sz w:val="22"/>
          <w:szCs w:val="22"/>
        </w:rPr>
        <w:t>;</w:t>
      </w:r>
      <w:r w:rsidRPr="0037022F">
        <w:rPr>
          <w:rFonts w:asciiTheme="minorHAnsi" w:hAnsiTheme="minorHAnsi" w:cstheme="minorHAnsi"/>
          <w:sz w:val="22"/>
          <w:szCs w:val="22"/>
        </w:rPr>
        <w:t xml:space="preserve"> (ii)  Innovative Teaching/Learning of Mathematics and the Sciences for </w:t>
      </w:r>
      <w:r w:rsidR="00741F70">
        <w:rPr>
          <w:rFonts w:asciiTheme="minorHAnsi" w:hAnsiTheme="minorHAnsi" w:cstheme="minorHAnsi"/>
          <w:sz w:val="22"/>
          <w:szCs w:val="22"/>
        </w:rPr>
        <w:t>SSA</w:t>
      </w:r>
      <w:r w:rsidRPr="0037022F">
        <w:rPr>
          <w:rFonts w:asciiTheme="minorHAnsi" w:hAnsiTheme="minorHAnsi" w:cstheme="minorHAnsi"/>
          <w:sz w:val="22"/>
          <w:szCs w:val="22"/>
        </w:rPr>
        <w:t xml:space="preserve"> (</w:t>
      </w:r>
      <w:r w:rsidRPr="00B81291">
        <w:rPr>
          <w:rFonts w:asciiTheme="minorHAnsi" w:hAnsiTheme="minorHAnsi" w:cstheme="minorHAnsi"/>
          <w:sz w:val="22"/>
          <w:szCs w:val="22"/>
        </w:rPr>
        <w:t>CEA</w:t>
      </w:r>
      <w:r w:rsidR="005711EB">
        <w:rPr>
          <w:rFonts w:asciiTheme="minorHAnsi" w:hAnsiTheme="minorHAnsi" w:cstheme="minorHAnsi"/>
          <w:sz w:val="22"/>
          <w:szCs w:val="22"/>
        </w:rPr>
        <w:t>-</w:t>
      </w:r>
      <w:r w:rsidRPr="00B81291">
        <w:rPr>
          <w:rFonts w:asciiTheme="minorHAnsi" w:hAnsiTheme="minorHAnsi" w:cstheme="minorHAnsi"/>
          <w:sz w:val="22"/>
          <w:szCs w:val="22"/>
        </w:rPr>
        <w:t>IEA-MS4SSA</w:t>
      </w:r>
      <w:r w:rsidRPr="0037022F">
        <w:rPr>
          <w:rFonts w:asciiTheme="minorHAnsi" w:hAnsiTheme="minorHAnsi" w:cstheme="minorHAnsi"/>
          <w:sz w:val="22"/>
          <w:szCs w:val="22"/>
        </w:rPr>
        <w:t>) both within</w:t>
      </w:r>
      <w:r w:rsidR="00412151" w:rsidRPr="0037022F">
        <w:rPr>
          <w:rFonts w:asciiTheme="minorHAnsi" w:hAnsiTheme="minorHAnsi" w:cstheme="minorHAnsi"/>
          <w:sz w:val="22"/>
          <w:szCs w:val="22"/>
        </w:rPr>
        <w:t xml:space="preserve"> the</w:t>
      </w:r>
      <w:r w:rsidRPr="0037022F">
        <w:rPr>
          <w:rFonts w:asciiTheme="minorHAnsi" w:hAnsiTheme="minorHAnsi" w:cstheme="minorHAnsi"/>
          <w:sz w:val="22"/>
          <w:szCs w:val="22"/>
        </w:rPr>
        <w:t xml:space="preserve"> </w:t>
      </w:r>
      <w:r w:rsidRPr="00B81291">
        <w:rPr>
          <w:rFonts w:asciiTheme="minorHAnsi" w:hAnsiTheme="minorHAnsi" w:cstheme="minorHAnsi"/>
          <w:sz w:val="22"/>
          <w:szCs w:val="22"/>
        </w:rPr>
        <w:t>UAM</w:t>
      </w:r>
      <w:r w:rsidR="00412151" w:rsidRPr="0037022F">
        <w:rPr>
          <w:rFonts w:asciiTheme="minorHAnsi" w:hAnsiTheme="minorHAnsi" w:cstheme="minorHAnsi"/>
          <w:sz w:val="22"/>
          <w:szCs w:val="22"/>
        </w:rPr>
        <w:t>;</w:t>
      </w:r>
      <w:r w:rsidRPr="0037022F">
        <w:rPr>
          <w:rFonts w:asciiTheme="minorHAnsi" w:hAnsiTheme="minorHAnsi" w:cstheme="minorHAnsi"/>
          <w:sz w:val="22"/>
          <w:szCs w:val="22"/>
        </w:rPr>
        <w:t xml:space="preserve"> and</w:t>
      </w:r>
      <w:r w:rsidR="00A41F84" w:rsidRPr="0037022F">
        <w:rPr>
          <w:rFonts w:asciiTheme="minorHAnsi" w:hAnsiTheme="minorHAnsi" w:cstheme="minorHAnsi"/>
          <w:sz w:val="22"/>
          <w:szCs w:val="22"/>
        </w:rPr>
        <w:t xml:space="preserve"> the</w:t>
      </w:r>
      <w:r w:rsidRPr="0037022F">
        <w:rPr>
          <w:rFonts w:asciiTheme="minorHAnsi" w:hAnsiTheme="minorHAnsi" w:cstheme="minorHAnsi"/>
          <w:sz w:val="22"/>
          <w:szCs w:val="22"/>
        </w:rPr>
        <w:t xml:space="preserve"> (iii) Emerging Center: Mining Environment (CE</w:t>
      </w:r>
      <w:r w:rsidR="005711EB">
        <w:rPr>
          <w:rFonts w:asciiTheme="minorHAnsi" w:hAnsiTheme="minorHAnsi" w:cstheme="minorHAnsi"/>
          <w:sz w:val="22"/>
          <w:szCs w:val="22"/>
        </w:rPr>
        <w:t>-</w:t>
      </w:r>
      <w:r w:rsidRPr="0037022F">
        <w:rPr>
          <w:rFonts w:asciiTheme="minorHAnsi" w:hAnsiTheme="minorHAnsi" w:cstheme="minorHAnsi"/>
          <w:sz w:val="22"/>
          <w:szCs w:val="22"/>
        </w:rPr>
        <w:t xml:space="preserve">Environnement Minier) within </w:t>
      </w:r>
      <w:r w:rsidRPr="00B81291">
        <w:rPr>
          <w:rFonts w:asciiTheme="minorHAnsi" w:hAnsiTheme="minorHAnsi" w:cstheme="minorHAnsi"/>
          <w:sz w:val="22"/>
          <w:szCs w:val="22"/>
        </w:rPr>
        <w:t>EMIG</w:t>
      </w:r>
      <w:r w:rsidRPr="0037022F">
        <w:rPr>
          <w:rFonts w:asciiTheme="minorHAnsi" w:hAnsiTheme="minorHAnsi" w:cstheme="minorHAnsi"/>
          <w:sz w:val="22"/>
          <w:szCs w:val="22"/>
        </w:rPr>
        <w:t>. Each participating center is responsible for its strategic planning, proposal preparation and implementation, fiduciary activities, M&amp;E, and reporting, with support from its respective host university.</w:t>
      </w:r>
      <w:r w:rsidR="0037022F">
        <w:rPr>
          <w:rFonts w:asciiTheme="minorHAnsi" w:hAnsiTheme="minorHAnsi" w:cstheme="minorHAnsi"/>
          <w:sz w:val="22"/>
          <w:szCs w:val="22"/>
        </w:rPr>
        <w:t xml:space="preserve"> </w:t>
      </w:r>
      <w:r w:rsidRPr="0037022F">
        <w:rPr>
          <w:rFonts w:asciiTheme="minorHAnsi" w:hAnsiTheme="minorHAnsi" w:cstheme="minorHAnsi"/>
          <w:sz w:val="22"/>
          <w:szCs w:val="22"/>
        </w:rPr>
        <w:t xml:space="preserve">In addition, the implementation support at the national level will be provided by the ACE NSC. In Niger, </w:t>
      </w:r>
      <w:r w:rsidR="0037022F">
        <w:rPr>
          <w:rFonts w:asciiTheme="minorHAnsi" w:hAnsiTheme="minorHAnsi" w:cstheme="minorHAnsi"/>
          <w:sz w:val="22"/>
          <w:szCs w:val="22"/>
        </w:rPr>
        <w:t xml:space="preserve">the </w:t>
      </w:r>
      <w:r w:rsidRPr="0037022F">
        <w:rPr>
          <w:rFonts w:asciiTheme="minorHAnsi" w:hAnsiTheme="minorHAnsi" w:cstheme="minorHAnsi"/>
          <w:sz w:val="22"/>
          <w:szCs w:val="22"/>
        </w:rPr>
        <w:t>NSC was established by order 0050/MESR/I/SG/DL of 19 March 2019 of the Ministry of Higher Education, Research and Innovation.</w:t>
      </w:r>
    </w:p>
    <w:p w14:paraId="41481AC9" w14:textId="77777777" w:rsidR="00B65BB1" w:rsidRPr="00B65BB1"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B65BB1">
        <w:rPr>
          <w:rFonts w:asciiTheme="minorHAnsi" w:hAnsiTheme="minorHAnsi" w:cstheme="minorHAnsi"/>
          <w:sz w:val="22"/>
          <w:szCs w:val="22"/>
        </w:rPr>
        <w:t>Each of the three participating centers will have the overall FM responsibility for the project</w:t>
      </w:r>
      <w:r w:rsidR="00397E4C">
        <w:rPr>
          <w:rFonts w:asciiTheme="minorHAnsi" w:hAnsiTheme="minorHAnsi" w:cstheme="minorHAnsi"/>
          <w:sz w:val="22"/>
          <w:szCs w:val="22"/>
        </w:rPr>
        <w:t>-related</w:t>
      </w:r>
      <w:r w:rsidRPr="00B65BB1">
        <w:rPr>
          <w:rFonts w:asciiTheme="minorHAnsi" w:hAnsiTheme="minorHAnsi" w:cstheme="minorHAnsi"/>
          <w:sz w:val="22"/>
          <w:szCs w:val="22"/>
        </w:rPr>
        <w:t xml:space="preserve"> activities it will be implementing. </w:t>
      </w:r>
      <w:r w:rsidR="00397E4C">
        <w:rPr>
          <w:rFonts w:asciiTheme="minorHAnsi" w:hAnsiTheme="minorHAnsi" w:cstheme="minorHAnsi"/>
          <w:sz w:val="22"/>
          <w:szCs w:val="22"/>
        </w:rPr>
        <w:t>The o</w:t>
      </w:r>
      <w:r w:rsidRPr="00B65BB1">
        <w:rPr>
          <w:rFonts w:asciiTheme="minorHAnsi" w:hAnsiTheme="minorHAnsi" w:cstheme="minorHAnsi"/>
          <w:sz w:val="22"/>
          <w:szCs w:val="22"/>
        </w:rPr>
        <w:t xml:space="preserve">verall FM risk for </w:t>
      </w:r>
      <w:r w:rsidR="00397E4C">
        <w:rPr>
          <w:rFonts w:asciiTheme="minorHAnsi" w:hAnsiTheme="minorHAnsi" w:cstheme="minorHAnsi"/>
          <w:sz w:val="22"/>
          <w:szCs w:val="22"/>
        </w:rPr>
        <w:t>Niger is</w:t>
      </w:r>
      <w:r w:rsidRPr="00B65BB1">
        <w:rPr>
          <w:rFonts w:asciiTheme="minorHAnsi" w:hAnsiTheme="minorHAnsi" w:cstheme="minorHAnsi"/>
          <w:sz w:val="22"/>
          <w:szCs w:val="22"/>
        </w:rPr>
        <w:t xml:space="preserve"> </w:t>
      </w:r>
      <w:r w:rsidRPr="00397E4C">
        <w:rPr>
          <w:rFonts w:asciiTheme="minorHAnsi" w:hAnsiTheme="minorHAnsi" w:cstheme="minorHAnsi"/>
          <w:sz w:val="22"/>
          <w:szCs w:val="22"/>
        </w:rPr>
        <w:t xml:space="preserve">rated </w:t>
      </w:r>
      <w:r w:rsidR="00397E4C">
        <w:rPr>
          <w:rFonts w:asciiTheme="minorHAnsi" w:hAnsiTheme="minorHAnsi" w:cstheme="minorHAnsi"/>
          <w:sz w:val="22"/>
          <w:szCs w:val="22"/>
        </w:rPr>
        <w:t>s</w:t>
      </w:r>
      <w:r w:rsidRPr="00B81291">
        <w:rPr>
          <w:rFonts w:asciiTheme="minorHAnsi" w:hAnsiTheme="minorHAnsi" w:cstheme="minorHAnsi"/>
          <w:sz w:val="22"/>
          <w:szCs w:val="22"/>
        </w:rPr>
        <w:t>ubstantial</w:t>
      </w:r>
      <w:r w:rsidR="00397E4C">
        <w:rPr>
          <w:rFonts w:asciiTheme="minorHAnsi" w:hAnsiTheme="minorHAnsi" w:cstheme="minorHAnsi"/>
          <w:sz w:val="22"/>
          <w:szCs w:val="22"/>
        </w:rPr>
        <w:t xml:space="preserve"> </w:t>
      </w:r>
      <w:r w:rsidRPr="00B65BB1">
        <w:rPr>
          <w:rFonts w:asciiTheme="minorHAnsi" w:hAnsiTheme="minorHAnsi" w:cstheme="minorHAnsi"/>
          <w:sz w:val="22"/>
          <w:szCs w:val="22"/>
        </w:rPr>
        <w:t>because CEA</w:t>
      </w:r>
      <w:r w:rsidR="00397E4C">
        <w:rPr>
          <w:rFonts w:asciiTheme="minorHAnsi" w:hAnsiTheme="minorHAnsi" w:cstheme="minorHAnsi"/>
          <w:sz w:val="22"/>
          <w:szCs w:val="22"/>
        </w:rPr>
        <w:t>-</w:t>
      </w:r>
      <w:r w:rsidRPr="00B65BB1">
        <w:rPr>
          <w:rFonts w:asciiTheme="minorHAnsi" w:hAnsiTheme="minorHAnsi" w:cstheme="minorHAnsi"/>
          <w:sz w:val="22"/>
          <w:szCs w:val="22"/>
        </w:rPr>
        <w:t>CERPP, CEA</w:t>
      </w:r>
      <w:r w:rsidR="00397E4C">
        <w:rPr>
          <w:rFonts w:asciiTheme="minorHAnsi" w:hAnsiTheme="minorHAnsi" w:cstheme="minorHAnsi"/>
          <w:sz w:val="22"/>
          <w:szCs w:val="22"/>
        </w:rPr>
        <w:t>-</w:t>
      </w:r>
      <w:r w:rsidRPr="00B65BB1">
        <w:rPr>
          <w:rFonts w:asciiTheme="minorHAnsi" w:hAnsiTheme="minorHAnsi" w:cstheme="minorHAnsi"/>
          <w:sz w:val="22"/>
          <w:szCs w:val="22"/>
        </w:rPr>
        <w:t>IEA-MS4SSA and CE</w:t>
      </w:r>
      <w:r w:rsidR="00397E4C">
        <w:rPr>
          <w:rFonts w:asciiTheme="minorHAnsi" w:hAnsiTheme="minorHAnsi" w:cstheme="minorHAnsi"/>
          <w:sz w:val="22"/>
          <w:szCs w:val="22"/>
        </w:rPr>
        <w:t>-</w:t>
      </w:r>
      <w:r w:rsidRPr="00B65BB1">
        <w:rPr>
          <w:rFonts w:asciiTheme="minorHAnsi" w:hAnsiTheme="minorHAnsi" w:cstheme="minorHAnsi"/>
          <w:sz w:val="22"/>
          <w:szCs w:val="22"/>
        </w:rPr>
        <w:t xml:space="preserve">Environnement Minier have </w:t>
      </w:r>
      <w:r w:rsidR="00BE0574">
        <w:rPr>
          <w:rFonts w:asciiTheme="minorHAnsi" w:hAnsiTheme="minorHAnsi" w:cstheme="minorHAnsi"/>
          <w:sz w:val="22"/>
          <w:szCs w:val="22"/>
        </w:rPr>
        <w:t>not</w:t>
      </w:r>
      <w:r w:rsidR="00BE0574" w:rsidRPr="00B65BB1">
        <w:rPr>
          <w:rFonts w:asciiTheme="minorHAnsi" w:hAnsiTheme="minorHAnsi" w:cstheme="minorHAnsi"/>
          <w:sz w:val="22"/>
          <w:szCs w:val="22"/>
        </w:rPr>
        <w:t xml:space="preserve"> </w:t>
      </w:r>
      <w:r w:rsidRPr="00B65BB1">
        <w:rPr>
          <w:rFonts w:asciiTheme="minorHAnsi" w:hAnsiTheme="minorHAnsi" w:cstheme="minorHAnsi"/>
          <w:sz w:val="22"/>
          <w:szCs w:val="22"/>
        </w:rPr>
        <w:t>participated in a World Bank-funded project and do not have</w:t>
      </w:r>
      <w:r w:rsidR="00943CEC">
        <w:rPr>
          <w:rFonts w:asciiTheme="minorHAnsi" w:hAnsiTheme="minorHAnsi" w:cstheme="minorHAnsi"/>
          <w:sz w:val="22"/>
          <w:szCs w:val="22"/>
        </w:rPr>
        <w:t xml:space="preserve"> a</w:t>
      </w:r>
      <w:r w:rsidRPr="00B65BB1">
        <w:rPr>
          <w:rFonts w:asciiTheme="minorHAnsi" w:hAnsiTheme="minorHAnsi" w:cstheme="minorHAnsi"/>
          <w:sz w:val="22"/>
          <w:szCs w:val="22"/>
        </w:rPr>
        <w:t xml:space="preserve"> computerized accounting system amongst other </w:t>
      </w:r>
      <w:r w:rsidR="005024B4">
        <w:rPr>
          <w:rFonts w:asciiTheme="minorHAnsi" w:hAnsiTheme="minorHAnsi" w:cstheme="minorHAnsi"/>
          <w:sz w:val="22"/>
          <w:szCs w:val="22"/>
        </w:rPr>
        <w:t>FM related issues</w:t>
      </w:r>
      <w:r w:rsidRPr="00B65BB1">
        <w:rPr>
          <w:rFonts w:asciiTheme="minorHAnsi" w:hAnsiTheme="minorHAnsi" w:cstheme="minorHAnsi"/>
          <w:sz w:val="22"/>
          <w:szCs w:val="22"/>
        </w:rPr>
        <w:t xml:space="preserve">. </w:t>
      </w:r>
    </w:p>
    <w:p w14:paraId="06386F5C" w14:textId="77777777" w:rsidR="00A06717" w:rsidRPr="00B81291"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B81291">
        <w:rPr>
          <w:rFonts w:ascii="Calibri" w:eastAsia="Calibri" w:hAnsi="Calibri" w:cs="Calibri"/>
          <w:b/>
          <w:i/>
          <w:color w:val="auto"/>
          <w:sz w:val="22"/>
          <w:szCs w:val="22"/>
        </w:rPr>
        <w:lastRenderedPageBreak/>
        <w:t>In Nigeria</w:t>
      </w:r>
      <w:r w:rsidR="00FF74FE" w:rsidRPr="00B81291">
        <w:rPr>
          <w:rFonts w:ascii="Calibri" w:eastAsia="Calibri" w:hAnsi="Calibri" w:cs="Calibri"/>
          <w:color w:val="auto"/>
          <w:sz w:val="22"/>
          <w:szCs w:val="22"/>
        </w:rPr>
        <w:t xml:space="preserve">: </w:t>
      </w:r>
      <w:r w:rsidR="00A74EE6" w:rsidRPr="00A74EE6">
        <w:rPr>
          <w:rFonts w:ascii="Calibri" w:eastAsia="Calibri" w:hAnsi="Calibri" w:cs="Calibri"/>
          <w:color w:val="auto"/>
          <w:sz w:val="22"/>
          <w:szCs w:val="22"/>
        </w:rPr>
        <w:t>The overall FM risk for the universities /ACEs in Nigeria has been assessed as substantial.</w:t>
      </w:r>
      <w:r w:rsidR="00A74EE6">
        <w:rPr>
          <w:rFonts w:ascii="Calibri" w:eastAsia="Calibri" w:hAnsi="Calibri" w:cs="Calibri"/>
          <w:color w:val="auto"/>
          <w:sz w:val="22"/>
          <w:szCs w:val="22"/>
        </w:rPr>
        <w:t xml:space="preserve"> </w:t>
      </w:r>
      <w:r w:rsidRPr="00B81291">
        <w:rPr>
          <w:rFonts w:ascii="Calibri" w:eastAsia="Calibri" w:hAnsi="Calibri" w:cs="Calibri"/>
          <w:color w:val="auto"/>
          <w:sz w:val="22"/>
          <w:szCs w:val="22"/>
        </w:rPr>
        <w:t xml:space="preserve">The fiduciary responsibilities of the centers lie with the professionally qualified accounting staff posted from the bursary and internal audit units of the respective universities. The </w:t>
      </w:r>
      <w:r w:rsidR="0058173D">
        <w:rPr>
          <w:rFonts w:ascii="Calibri" w:eastAsia="Calibri" w:hAnsi="Calibri" w:cs="Calibri"/>
          <w:color w:val="auto"/>
          <w:sz w:val="22"/>
          <w:szCs w:val="22"/>
        </w:rPr>
        <w:t>R</w:t>
      </w:r>
      <w:r w:rsidRPr="00B81291">
        <w:rPr>
          <w:rFonts w:ascii="Calibri" w:eastAsia="Calibri" w:hAnsi="Calibri" w:cs="Calibri"/>
          <w:color w:val="auto"/>
          <w:sz w:val="22"/>
          <w:szCs w:val="22"/>
        </w:rPr>
        <w:t>enewal centers</w:t>
      </w:r>
      <w:r w:rsidR="00E834FA">
        <w:rPr>
          <w:rFonts w:ascii="Calibri" w:eastAsia="Calibri" w:hAnsi="Calibri" w:cs="Calibri"/>
          <w:color w:val="auto"/>
          <w:sz w:val="22"/>
          <w:szCs w:val="22"/>
        </w:rPr>
        <w:t xml:space="preserve"> (centers from </w:t>
      </w:r>
      <w:r w:rsidRPr="00B81291">
        <w:rPr>
          <w:rFonts w:ascii="Calibri" w:eastAsia="Calibri" w:hAnsi="Calibri" w:cs="Calibri"/>
          <w:color w:val="auto"/>
          <w:sz w:val="22"/>
          <w:szCs w:val="22"/>
        </w:rPr>
        <w:t>ACE I</w:t>
      </w:r>
      <w:r w:rsidR="00E834FA">
        <w:rPr>
          <w:rFonts w:ascii="Calibri" w:eastAsia="Calibri" w:hAnsi="Calibri" w:cs="Calibri"/>
          <w:color w:val="auto"/>
          <w:sz w:val="22"/>
          <w:szCs w:val="22"/>
        </w:rPr>
        <w:t>)</w:t>
      </w:r>
      <w:r w:rsidRPr="00B81291">
        <w:rPr>
          <w:rFonts w:ascii="Calibri" w:eastAsia="Calibri" w:hAnsi="Calibri" w:cs="Calibri"/>
          <w:color w:val="auto"/>
          <w:sz w:val="22"/>
          <w:szCs w:val="22"/>
        </w:rPr>
        <w:t xml:space="preserve"> include: OAU, Ile-Ife; </w:t>
      </w:r>
      <w:r w:rsidR="007B0E25">
        <w:rPr>
          <w:rFonts w:ascii="Calibri" w:eastAsia="Calibri" w:hAnsi="Calibri" w:cs="Calibri"/>
          <w:color w:val="auto"/>
          <w:sz w:val="22"/>
          <w:szCs w:val="22"/>
        </w:rPr>
        <w:t>UniPort</w:t>
      </w:r>
      <w:r w:rsidRPr="00B81291">
        <w:rPr>
          <w:rFonts w:ascii="Calibri" w:eastAsia="Calibri" w:hAnsi="Calibri" w:cs="Calibri"/>
          <w:color w:val="auto"/>
          <w:sz w:val="22"/>
          <w:szCs w:val="22"/>
        </w:rPr>
        <w:t xml:space="preserve">; </w:t>
      </w:r>
      <w:r w:rsidR="007B0E25">
        <w:rPr>
          <w:rFonts w:ascii="Calibri" w:eastAsia="Calibri" w:hAnsi="Calibri" w:cs="Calibri"/>
          <w:color w:val="auto"/>
          <w:sz w:val="22"/>
          <w:szCs w:val="22"/>
        </w:rPr>
        <w:t>UniBen</w:t>
      </w:r>
      <w:r w:rsidRPr="00B81291">
        <w:rPr>
          <w:rFonts w:ascii="Calibri" w:eastAsia="Calibri" w:hAnsi="Calibri" w:cs="Calibri"/>
          <w:color w:val="auto"/>
          <w:sz w:val="22"/>
          <w:szCs w:val="22"/>
        </w:rPr>
        <w:t>; Ahmadu Bello University, Zaria; Redeem</w:t>
      </w:r>
      <w:r w:rsidR="00373EAC">
        <w:rPr>
          <w:rFonts w:ascii="Calibri" w:eastAsia="Calibri" w:hAnsi="Calibri" w:cs="Calibri"/>
          <w:color w:val="auto"/>
          <w:sz w:val="22"/>
          <w:szCs w:val="22"/>
        </w:rPr>
        <w:t>er</w:t>
      </w:r>
      <w:r w:rsidR="004B291E">
        <w:rPr>
          <w:rFonts w:ascii="Calibri" w:eastAsia="Calibri" w:hAnsi="Calibri" w:cs="Calibri"/>
          <w:color w:val="auto"/>
          <w:sz w:val="22"/>
          <w:szCs w:val="22"/>
        </w:rPr>
        <w:t>s</w:t>
      </w:r>
      <w:r w:rsidRPr="00B81291">
        <w:rPr>
          <w:rFonts w:ascii="Calibri" w:eastAsia="Calibri" w:hAnsi="Calibri" w:cs="Calibri"/>
          <w:color w:val="auto"/>
          <w:sz w:val="22"/>
          <w:szCs w:val="22"/>
        </w:rPr>
        <w:t xml:space="preserve"> University; CDA Kano, and CEFTER-Markudi, </w:t>
      </w:r>
      <w:r w:rsidR="00E854BC">
        <w:rPr>
          <w:rFonts w:ascii="Calibri" w:eastAsia="Calibri" w:hAnsi="Calibri" w:cs="Calibri"/>
          <w:color w:val="auto"/>
          <w:sz w:val="22"/>
          <w:szCs w:val="22"/>
        </w:rPr>
        <w:t>NUC</w:t>
      </w:r>
      <w:r w:rsidRPr="00B81291">
        <w:rPr>
          <w:rFonts w:ascii="Calibri" w:eastAsia="Calibri" w:hAnsi="Calibri" w:cs="Calibri"/>
          <w:color w:val="auto"/>
          <w:sz w:val="22"/>
          <w:szCs w:val="22"/>
        </w:rPr>
        <w:t xml:space="preserve">).  The </w:t>
      </w:r>
      <w:r w:rsidR="00547368">
        <w:rPr>
          <w:rFonts w:ascii="Calibri" w:eastAsia="Calibri" w:hAnsi="Calibri" w:cs="Calibri"/>
          <w:color w:val="auto"/>
          <w:sz w:val="22"/>
          <w:szCs w:val="22"/>
        </w:rPr>
        <w:t>N</w:t>
      </w:r>
      <w:r w:rsidRPr="00B81291">
        <w:rPr>
          <w:rFonts w:ascii="Calibri" w:eastAsia="Calibri" w:hAnsi="Calibri" w:cs="Calibri"/>
          <w:color w:val="auto"/>
          <w:sz w:val="22"/>
          <w:szCs w:val="22"/>
        </w:rPr>
        <w:t xml:space="preserve">ew centers now participating include: </w:t>
      </w:r>
      <w:r w:rsidR="007B0E25">
        <w:rPr>
          <w:rFonts w:ascii="Calibri" w:eastAsia="Calibri" w:hAnsi="Calibri" w:cs="Calibri"/>
          <w:color w:val="auto"/>
          <w:sz w:val="22"/>
          <w:szCs w:val="22"/>
        </w:rPr>
        <w:t>UniLag</w:t>
      </w:r>
      <w:r w:rsidRPr="00B81291">
        <w:rPr>
          <w:rFonts w:ascii="Calibri" w:eastAsia="Calibri" w:hAnsi="Calibri" w:cs="Calibri"/>
          <w:color w:val="auto"/>
          <w:sz w:val="22"/>
          <w:szCs w:val="22"/>
        </w:rPr>
        <w:t xml:space="preserve">, University of Nigeria, Nsukka, LSU, </w:t>
      </w:r>
      <w:r w:rsidR="008B46CE">
        <w:rPr>
          <w:rFonts w:ascii="Calibri" w:eastAsia="Calibri" w:hAnsi="Calibri" w:cs="Calibri"/>
          <w:color w:val="auto"/>
          <w:sz w:val="22"/>
          <w:szCs w:val="22"/>
        </w:rPr>
        <w:t>CU</w:t>
      </w:r>
      <w:r w:rsidRPr="00B81291">
        <w:rPr>
          <w:rFonts w:ascii="Calibri" w:eastAsia="Calibri" w:hAnsi="Calibri" w:cs="Calibri"/>
          <w:color w:val="auto"/>
          <w:sz w:val="22"/>
          <w:szCs w:val="22"/>
        </w:rPr>
        <w:t xml:space="preserve">, National Open University, </w:t>
      </w:r>
      <w:r w:rsidR="00864D46">
        <w:rPr>
          <w:rFonts w:ascii="Calibri" w:eastAsia="Calibri" w:hAnsi="Calibri" w:cs="Calibri"/>
          <w:color w:val="auto"/>
          <w:sz w:val="22"/>
          <w:szCs w:val="22"/>
        </w:rPr>
        <w:t>FUTO</w:t>
      </w:r>
      <w:r w:rsidRPr="00B81291">
        <w:rPr>
          <w:rFonts w:ascii="Calibri" w:eastAsia="Calibri" w:hAnsi="Calibri" w:cs="Calibri"/>
          <w:color w:val="auto"/>
          <w:sz w:val="22"/>
          <w:szCs w:val="22"/>
        </w:rPr>
        <w:t xml:space="preserve">, </w:t>
      </w:r>
      <w:r w:rsidR="00864D46">
        <w:rPr>
          <w:rFonts w:ascii="Calibri" w:eastAsia="Calibri" w:hAnsi="Calibri" w:cs="Calibri"/>
          <w:color w:val="auto"/>
          <w:sz w:val="22"/>
          <w:szCs w:val="22"/>
        </w:rPr>
        <w:t>FUTMIN</w:t>
      </w:r>
      <w:r w:rsidR="00B940DC" w:rsidRPr="00B81291">
        <w:rPr>
          <w:rFonts w:ascii="Calibri" w:eastAsia="Calibri" w:hAnsi="Calibri" w:cs="Calibri"/>
          <w:color w:val="auto"/>
          <w:sz w:val="22"/>
          <w:szCs w:val="22"/>
        </w:rPr>
        <w:t>.</w:t>
      </w:r>
    </w:p>
    <w:p w14:paraId="3E14C3D6" w14:textId="77777777" w:rsidR="00BB7B11"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D37488">
        <w:rPr>
          <w:rFonts w:ascii="Calibri" w:eastAsia="Calibri" w:hAnsi="Calibri" w:cs="Calibri"/>
          <w:color w:val="auto"/>
          <w:sz w:val="22"/>
          <w:szCs w:val="22"/>
        </w:rPr>
        <w:t>For</w:t>
      </w:r>
      <w:r w:rsidR="00A06717" w:rsidRPr="00B81291">
        <w:rPr>
          <w:rFonts w:ascii="Calibri" w:eastAsia="Calibri" w:hAnsi="Calibri" w:cs="Calibri"/>
          <w:color w:val="auto"/>
          <w:sz w:val="22"/>
          <w:szCs w:val="22"/>
        </w:rPr>
        <w:t xml:space="preserve"> the Renewal </w:t>
      </w:r>
      <w:r w:rsidRPr="00D37488">
        <w:rPr>
          <w:rFonts w:ascii="Calibri" w:eastAsia="Calibri" w:hAnsi="Calibri" w:cs="Calibri"/>
          <w:color w:val="auto"/>
          <w:sz w:val="22"/>
          <w:szCs w:val="22"/>
        </w:rPr>
        <w:t>centers in Nigeria</w:t>
      </w:r>
      <w:r w:rsidR="00A06717" w:rsidRPr="00B81291">
        <w:rPr>
          <w:rFonts w:ascii="Calibri" w:eastAsia="Calibri" w:hAnsi="Calibri" w:cs="Calibri"/>
          <w:color w:val="auto"/>
          <w:sz w:val="22"/>
          <w:szCs w:val="22"/>
        </w:rPr>
        <w:t xml:space="preserve">, the </w:t>
      </w:r>
      <w:r w:rsidR="00017BE5">
        <w:rPr>
          <w:rFonts w:ascii="Calibri" w:eastAsia="Calibri" w:hAnsi="Calibri" w:cs="Calibri"/>
          <w:color w:val="auto"/>
          <w:sz w:val="22"/>
          <w:szCs w:val="22"/>
        </w:rPr>
        <w:t xml:space="preserve">FM </w:t>
      </w:r>
      <w:r w:rsidR="00A06717" w:rsidRPr="00B81291">
        <w:rPr>
          <w:rFonts w:ascii="Calibri" w:eastAsia="Calibri" w:hAnsi="Calibri" w:cs="Calibri"/>
          <w:color w:val="auto"/>
          <w:sz w:val="22"/>
          <w:szCs w:val="22"/>
        </w:rPr>
        <w:t>arrangement</w:t>
      </w:r>
      <w:r w:rsidR="00017BE5">
        <w:rPr>
          <w:rFonts w:ascii="Calibri" w:eastAsia="Calibri" w:hAnsi="Calibri" w:cs="Calibri"/>
          <w:color w:val="auto"/>
          <w:sz w:val="22"/>
          <w:szCs w:val="22"/>
        </w:rPr>
        <w:t>s</w:t>
      </w:r>
      <w:r w:rsidR="00A06717" w:rsidRPr="00B81291">
        <w:rPr>
          <w:rFonts w:ascii="Calibri" w:eastAsia="Calibri" w:hAnsi="Calibri" w:cs="Calibri"/>
          <w:color w:val="auto"/>
          <w:sz w:val="22"/>
          <w:szCs w:val="22"/>
        </w:rPr>
        <w:t xml:space="preserve"> remain unchanged. The Cent</w:t>
      </w:r>
      <w:r w:rsidR="003D2BDD">
        <w:rPr>
          <w:rFonts w:ascii="Calibri" w:eastAsia="Calibri" w:hAnsi="Calibri" w:cs="Calibri"/>
          <w:color w:val="auto"/>
          <w:sz w:val="22"/>
          <w:szCs w:val="22"/>
        </w:rPr>
        <w:t>er</w:t>
      </w:r>
      <w:r w:rsidR="00A06717" w:rsidRPr="00B81291">
        <w:rPr>
          <w:rFonts w:ascii="Calibri" w:eastAsia="Calibri" w:hAnsi="Calibri" w:cs="Calibri"/>
          <w:color w:val="auto"/>
          <w:sz w:val="22"/>
          <w:szCs w:val="22"/>
        </w:rPr>
        <w:t xml:space="preserve"> leaders are senior officers from the universities while the fiduciary responsibilities are managed by the project accountants from the respective university bursary departments and the internal audit departments.</w:t>
      </w:r>
      <w:r w:rsidRPr="00D37488">
        <w:rPr>
          <w:rFonts w:ascii="Calibri" w:eastAsia="Calibri" w:hAnsi="Calibri" w:cs="Calibri"/>
          <w:color w:val="auto"/>
          <w:sz w:val="22"/>
          <w:szCs w:val="22"/>
        </w:rPr>
        <w:t xml:space="preserve"> </w:t>
      </w:r>
      <w:r w:rsidR="00A06717" w:rsidRPr="00B81291">
        <w:rPr>
          <w:rFonts w:ascii="Calibri" w:eastAsia="Calibri" w:hAnsi="Calibri" w:cs="Calibri"/>
          <w:color w:val="auto"/>
          <w:sz w:val="22"/>
          <w:szCs w:val="22"/>
        </w:rPr>
        <w:t xml:space="preserve">Similar institutional arrangements </w:t>
      </w:r>
      <w:r w:rsidR="000A2E9C">
        <w:rPr>
          <w:rFonts w:ascii="Calibri" w:eastAsia="Calibri" w:hAnsi="Calibri" w:cs="Calibri"/>
          <w:color w:val="auto"/>
          <w:sz w:val="22"/>
          <w:szCs w:val="22"/>
        </w:rPr>
        <w:t>will</w:t>
      </w:r>
      <w:r w:rsidR="00CD7510">
        <w:rPr>
          <w:rFonts w:ascii="Calibri" w:eastAsia="Calibri" w:hAnsi="Calibri" w:cs="Calibri"/>
          <w:color w:val="auto"/>
          <w:sz w:val="22"/>
          <w:szCs w:val="22"/>
        </w:rPr>
        <w:t xml:space="preserve"> be</w:t>
      </w:r>
      <w:r w:rsidR="00A06717" w:rsidRPr="00B81291">
        <w:rPr>
          <w:rFonts w:ascii="Calibri" w:eastAsia="Calibri" w:hAnsi="Calibri" w:cs="Calibri"/>
          <w:color w:val="auto"/>
          <w:sz w:val="22"/>
          <w:szCs w:val="22"/>
        </w:rPr>
        <w:t xml:space="preserve"> replicated for the </w:t>
      </w:r>
      <w:r w:rsidR="00D86B5D">
        <w:rPr>
          <w:rFonts w:ascii="Calibri" w:eastAsia="Calibri" w:hAnsi="Calibri" w:cs="Calibri"/>
          <w:color w:val="auto"/>
          <w:sz w:val="22"/>
          <w:szCs w:val="22"/>
        </w:rPr>
        <w:t>N</w:t>
      </w:r>
      <w:r w:rsidR="00A06717" w:rsidRPr="00B81291">
        <w:rPr>
          <w:rFonts w:ascii="Calibri" w:eastAsia="Calibri" w:hAnsi="Calibri" w:cs="Calibri"/>
          <w:color w:val="auto"/>
          <w:sz w:val="22"/>
          <w:szCs w:val="22"/>
        </w:rPr>
        <w:t xml:space="preserve">ew </w:t>
      </w:r>
      <w:r w:rsidR="00047E6F" w:rsidRPr="00D37488">
        <w:rPr>
          <w:rFonts w:ascii="Calibri" w:eastAsia="Calibri" w:hAnsi="Calibri" w:cs="Calibri"/>
          <w:color w:val="auto"/>
          <w:sz w:val="22"/>
          <w:szCs w:val="22"/>
        </w:rPr>
        <w:t>centers</w:t>
      </w:r>
      <w:r w:rsidR="00A06717" w:rsidRPr="00B81291">
        <w:rPr>
          <w:rFonts w:ascii="Calibri" w:eastAsia="Calibri" w:hAnsi="Calibri" w:cs="Calibri"/>
          <w:color w:val="auto"/>
          <w:sz w:val="22"/>
          <w:szCs w:val="22"/>
        </w:rPr>
        <w:t xml:space="preserve">. The new universities have been assigned professionally qualified accountants from the university bursary and internal audit departments to the ACE </w:t>
      </w:r>
      <w:r w:rsidR="006D487D">
        <w:rPr>
          <w:rFonts w:ascii="Calibri" w:eastAsia="Calibri" w:hAnsi="Calibri" w:cs="Calibri"/>
          <w:color w:val="auto"/>
          <w:sz w:val="22"/>
          <w:szCs w:val="22"/>
        </w:rPr>
        <w:t>center</w:t>
      </w:r>
      <w:r w:rsidR="00A06717" w:rsidRPr="00B81291">
        <w:rPr>
          <w:rFonts w:ascii="Calibri" w:eastAsia="Calibri" w:hAnsi="Calibri" w:cs="Calibri"/>
          <w:color w:val="auto"/>
          <w:sz w:val="22"/>
          <w:szCs w:val="22"/>
        </w:rPr>
        <w:t xml:space="preserve">s. Where necessary, these officers may be relieved of other university assignments for the period of the project, to enable them concentrate on the ACE </w:t>
      </w:r>
      <w:r w:rsidR="005F2C94">
        <w:rPr>
          <w:rFonts w:ascii="Calibri" w:eastAsia="Calibri" w:hAnsi="Calibri" w:cs="Calibri"/>
          <w:color w:val="auto"/>
          <w:sz w:val="22"/>
          <w:szCs w:val="22"/>
        </w:rPr>
        <w:t>Impact related activities</w:t>
      </w:r>
      <w:r w:rsidR="00A06717" w:rsidRPr="00B81291">
        <w:rPr>
          <w:rFonts w:ascii="Calibri" w:eastAsia="Calibri" w:hAnsi="Calibri" w:cs="Calibri"/>
          <w:color w:val="auto"/>
          <w:sz w:val="22"/>
          <w:szCs w:val="22"/>
        </w:rPr>
        <w:t xml:space="preserve">. The </w:t>
      </w:r>
      <w:r w:rsidR="006D487D">
        <w:rPr>
          <w:rFonts w:ascii="Calibri" w:eastAsia="Calibri" w:hAnsi="Calibri" w:cs="Calibri"/>
          <w:color w:val="auto"/>
          <w:sz w:val="22"/>
          <w:szCs w:val="22"/>
        </w:rPr>
        <w:t>center</w:t>
      </w:r>
      <w:r w:rsidR="00A06717" w:rsidRPr="00B81291">
        <w:rPr>
          <w:rFonts w:ascii="Calibri" w:eastAsia="Calibri" w:hAnsi="Calibri" w:cs="Calibri"/>
          <w:color w:val="auto"/>
          <w:sz w:val="22"/>
          <w:szCs w:val="22"/>
        </w:rPr>
        <w:t xml:space="preserve"> leaders are senior officers from the university. The relevant team members of the </w:t>
      </w:r>
      <w:r w:rsidR="00D86B5D">
        <w:rPr>
          <w:rFonts w:ascii="Calibri" w:eastAsia="Calibri" w:hAnsi="Calibri" w:cs="Calibri"/>
          <w:color w:val="auto"/>
          <w:sz w:val="22"/>
          <w:szCs w:val="22"/>
        </w:rPr>
        <w:t>N</w:t>
      </w:r>
      <w:r w:rsidR="00A06717" w:rsidRPr="00B81291">
        <w:rPr>
          <w:rFonts w:ascii="Calibri" w:eastAsia="Calibri" w:hAnsi="Calibri" w:cs="Calibri"/>
          <w:color w:val="auto"/>
          <w:sz w:val="22"/>
          <w:szCs w:val="22"/>
        </w:rPr>
        <w:t xml:space="preserve">ew </w:t>
      </w:r>
      <w:r w:rsidR="00C80606">
        <w:rPr>
          <w:rFonts w:ascii="Calibri" w:eastAsia="Calibri" w:hAnsi="Calibri" w:cs="Calibri"/>
          <w:color w:val="auto"/>
          <w:sz w:val="22"/>
          <w:szCs w:val="22"/>
        </w:rPr>
        <w:t xml:space="preserve">centers </w:t>
      </w:r>
      <w:r w:rsidR="00A06717" w:rsidRPr="00B81291">
        <w:rPr>
          <w:rFonts w:ascii="Calibri" w:eastAsia="Calibri" w:hAnsi="Calibri" w:cs="Calibri"/>
          <w:color w:val="auto"/>
          <w:sz w:val="22"/>
          <w:szCs w:val="22"/>
        </w:rPr>
        <w:t xml:space="preserve">would require similar FM </w:t>
      </w:r>
      <w:r w:rsidR="00C80606">
        <w:rPr>
          <w:rFonts w:ascii="Calibri" w:eastAsia="Calibri" w:hAnsi="Calibri" w:cs="Calibri"/>
          <w:color w:val="auto"/>
          <w:sz w:val="22"/>
          <w:szCs w:val="22"/>
        </w:rPr>
        <w:t>-</w:t>
      </w:r>
      <w:r w:rsidR="00A06717" w:rsidRPr="00B81291">
        <w:rPr>
          <w:rFonts w:ascii="Calibri" w:eastAsia="Calibri" w:hAnsi="Calibri" w:cs="Calibri"/>
          <w:color w:val="auto"/>
          <w:sz w:val="22"/>
          <w:szCs w:val="22"/>
        </w:rPr>
        <w:t>elated training</w:t>
      </w:r>
      <w:r w:rsidR="00CD7510">
        <w:rPr>
          <w:rFonts w:ascii="Calibri" w:eastAsia="Calibri" w:hAnsi="Calibri" w:cs="Calibri"/>
          <w:color w:val="auto"/>
          <w:sz w:val="22"/>
          <w:szCs w:val="22"/>
        </w:rPr>
        <w:t>s</w:t>
      </w:r>
      <w:r w:rsidR="00A06717" w:rsidRPr="00B81291">
        <w:rPr>
          <w:rFonts w:ascii="Calibri" w:eastAsia="Calibri" w:hAnsi="Calibri" w:cs="Calibri"/>
          <w:color w:val="auto"/>
          <w:sz w:val="22"/>
          <w:szCs w:val="22"/>
        </w:rPr>
        <w:t xml:space="preserve"> and exposure provided to the </w:t>
      </w:r>
      <w:r w:rsidR="00CD7510">
        <w:rPr>
          <w:rFonts w:ascii="Calibri" w:eastAsia="Calibri" w:hAnsi="Calibri" w:cs="Calibri"/>
          <w:color w:val="auto"/>
          <w:sz w:val="22"/>
          <w:szCs w:val="22"/>
        </w:rPr>
        <w:t>Renewal</w:t>
      </w:r>
      <w:r w:rsidR="00A06717" w:rsidRPr="00B81291">
        <w:rPr>
          <w:rFonts w:ascii="Calibri" w:eastAsia="Calibri" w:hAnsi="Calibri" w:cs="Calibri"/>
          <w:color w:val="auto"/>
          <w:sz w:val="22"/>
          <w:szCs w:val="22"/>
        </w:rPr>
        <w:t xml:space="preserve"> </w:t>
      </w:r>
      <w:r w:rsidR="00CD7510">
        <w:rPr>
          <w:rFonts w:ascii="Calibri" w:eastAsia="Calibri" w:hAnsi="Calibri" w:cs="Calibri"/>
          <w:color w:val="auto"/>
          <w:sz w:val="22"/>
          <w:szCs w:val="22"/>
        </w:rPr>
        <w:t>centers</w:t>
      </w:r>
      <w:r w:rsidR="00A06717" w:rsidRPr="00B81291">
        <w:rPr>
          <w:rFonts w:ascii="Calibri" w:eastAsia="Calibri" w:hAnsi="Calibri" w:cs="Calibri"/>
          <w:color w:val="auto"/>
          <w:sz w:val="22"/>
          <w:szCs w:val="22"/>
        </w:rPr>
        <w:t xml:space="preserve">. </w:t>
      </w:r>
    </w:p>
    <w:p w14:paraId="3DA9B10C" w14:textId="77777777" w:rsidR="00641DB0" w:rsidRPr="005114AC" w:rsidRDefault="00B00100" w:rsidP="006C70A5">
      <w:pPr>
        <w:widowControl/>
        <w:numPr>
          <w:ilvl w:val="0"/>
          <w:numId w:val="30"/>
        </w:numPr>
        <w:autoSpaceDE/>
        <w:autoSpaceDN/>
        <w:adjustRightInd/>
        <w:spacing w:after="240"/>
        <w:ind w:right="720" w:firstLine="0"/>
        <w:jc w:val="both"/>
        <w:rPr>
          <w:rFonts w:asciiTheme="minorHAnsi" w:hAnsiTheme="minorHAnsi" w:cstheme="minorHAnsi"/>
          <w:i/>
          <w:sz w:val="22"/>
          <w:szCs w:val="22"/>
        </w:rPr>
      </w:pPr>
      <w:r w:rsidRPr="00B81291">
        <w:rPr>
          <w:rFonts w:asciiTheme="minorHAnsi" w:hAnsiTheme="minorHAnsi" w:cstheme="minorHAnsi"/>
          <w:b/>
          <w:i/>
          <w:iCs/>
          <w:sz w:val="22"/>
          <w:szCs w:val="22"/>
        </w:rPr>
        <w:t>In Togo</w:t>
      </w:r>
      <w:r w:rsidRPr="00B81291">
        <w:rPr>
          <w:rFonts w:asciiTheme="minorHAnsi" w:hAnsiTheme="minorHAnsi" w:cstheme="minorHAnsi"/>
          <w:i/>
          <w:iCs/>
          <w:sz w:val="22"/>
          <w:szCs w:val="22"/>
        </w:rPr>
        <w:t>:</w:t>
      </w:r>
      <w:r>
        <w:rPr>
          <w:rFonts w:asciiTheme="minorHAnsi" w:hAnsiTheme="minorHAnsi" w:cstheme="minorHAnsi"/>
          <w:iCs/>
          <w:sz w:val="22"/>
          <w:szCs w:val="22"/>
        </w:rPr>
        <w:t xml:space="preserve"> </w:t>
      </w:r>
      <w:r w:rsidR="00E37EB5" w:rsidRPr="00BC485F">
        <w:rPr>
          <w:rFonts w:asciiTheme="minorHAnsi" w:hAnsiTheme="minorHAnsi" w:cstheme="minorHAnsi"/>
          <w:sz w:val="22"/>
          <w:szCs w:val="22"/>
        </w:rPr>
        <w:t>The overall FM risk of</w:t>
      </w:r>
      <w:r w:rsidR="002062E7">
        <w:rPr>
          <w:rFonts w:asciiTheme="minorHAnsi" w:hAnsiTheme="minorHAnsi" w:cstheme="minorHAnsi"/>
          <w:sz w:val="22"/>
          <w:szCs w:val="22"/>
        </w:rPr>
        <w:t xml:space="preserve"> </w:t>
      </w:r>
      <w:r w:rsidR="00E37EB5">
        <w:rPr>
          <w:rFonts w:asciiTheme="minorHAnsi" w:hAnsiTheme="minorHAnsi" w:cstheme="minorHAnsi"/>
          <w:sz w:val="22"/>
          <w:szCs w:val="22"/>
        </w:rPr>
        <w:t>the centers in Togo</w:t>
      </w:r>
      <w:r w:rsidR="00E37EB5" w:rsidRPr="00BC485F">
        <w:rPr>
          <w:rFonts w:asciiTheme="minorHAnsi" w:hAnsiTheme="minorHAnsi" w:cstheme="minorHAnsi"/>
          <w:sz w:val="22"/>
          <w:szCs w:val="22"/>
        </w:rPr>
        <w:t xml:space="preserve"> is rated </w:t>
      </w:r>
      <w:r w:rsidR="00E37EB5">
        <w:rPr>
          <w:rFonts w:asciiTheme="minorHAnsi" w:hAnsiTheme="minorHAnsi" w:cstheme="minorHAnsi"/>
          <w:sz w:val="22"/>
          <w:szCs w:val="22"/>
        </w:rPr>
        <w:t>s</w:t>
      </w:r>
      <w:r w:rsidR="00E37EB5" w:rsidRPr="00B81291">
        <w:rPr>
          <w:rFonts w:asciiTheme="minorHAnsi" w:hAnsiTheme="minorHAnsi" w:cstheme="minorHAnsi"/>
          <w:sz w:val="22"/>
          <w:szCs w:val="22"/>
        </w:rPr>
        <w:t>ubstantial</w:t>
      </w:r>
      <w:r w:rsidR="00E37EB5">
        <w:rPr>
          <w:rFonts w:asciiTheme="minorHAnsi" w:hAnsiTheme="minorHAnsi" w:cstheme="minorHAnsi"/>
          <w:iCs/>
          <w:sz w:val="22"/>
          <w:szCs w:val="22"/>
        </w:rPr>
        <w:t>.</w:t>
      </w:r>
      <w:r w:rsidR="00E37EB5" w:rsidRPr="00E37EB5">
        <w:rPr>
          <w:rFonts w:asciiTheme="minorHAnsi" w:hAnsiTheme="minorHAnsi" w:cstheme="minorHAnsi"/>
          <w:sz w:val="22"/>
          <w:szCs w:val="22"/>
        </w:rPr>
        <w:t xml:space="preserve"> </w:t>
      </w:r>
      <w:r>
        <w:rPr>
          <w:rFonts w:asciiTheme="minorHAnsi" w:hAnsiTheme="minorHAnsi" w:cstheme="minorHAnsi"/>
          <w:iCs/>
          <w:sz w:val="22"/>
          <w:szCs w:val="22"/>
        </w:rPr>
        <w:t>To support the implementation of the</w:t>
      </w:r>
      <w:r w:rsidRPr="003E74C9">
        <w:rPr>
          <w:rFonts w:asciiTheme="minorHAnsi" w:hAnsiTheme="minorHAnsi" w:cstheme="minorHAnsi"/>
          <w:iCs/>
          <w:sz w:val="22"/>
          <w:szCs w:val="22"/>
        </w:rPr>
        <w:t xml:space="preserve"> Second </w:t>
      </w:r>
      <w:r w:rsidR="00BB4A89">
        <w:rPr>
          <w:rFonts w:asciiTheme="minorHAnsi" w:hAnsiTheme="minorHAnsi" w:cstheme="minorHAnsi"/>
          <w:iCs/>
          <w:sz w:val="22"/>
          <w:szCs w:val="22"/>
        </w:rPr>
        <w:t>ACE Impact Project</w:t>
      </w:r>
      <w:r w:rsidRPr="003E74C9">
        <w:rPr>
          <w:rFonts w:asciiTheme="minorHAnsi" w:hAnsiTheme="minorHAnsi" w:cstheme="minorHAnsi"/>
          <w:iCs/>
          <w:sz w:val="22"/>
          <w:szCs w:val="22"/>
        </w:rPr>
        <w:t>, a</w:t>
      </w:r>
      <w:r w:rsidR="00C80606">
        <w:rPr>
          <w:rFonts w:asciiTheme="minorHAnsi" w:hAnsiTheme="minorHAnsi" w:cstheme="minorHAnsi"/>
          <w:iCs/>
          <w:sz w:val="22"/>
          <w:szCs w:val="22"/>
        </w:rPr>
        <w:t>n FM</w:t>
      </w:r>
      <w:r w:rsidRPr="003E74C9">
        <w:rPr>
          <w:rFonts w:asciiTheme="minorHAnsi" w:hAnsiTheme="minorHAnsi" w:cstheme="minorHAnsi"/>
          <w:iCs/>
          <w:sz w:val="22"/>
          <w:szCs w:val="22"/>
        </w:rPr>
        <w:t xml:space="preserve"> assessment </w:t>
      </w:r>
      <w:r>
        <w:rPr>
          <w:rFonts w:asciiTheme="minorHAnsi" w:hAnsiTheme="minorHAnsi" w:cstheme="minorHAnsi"/>
          <w:iCs/>
          <w:sz w:val="22"/>
          <w:szCs w:val="22"/>
        </w:rPr>
        <w:t xml:space="preserve">was </w:t>
      </w:r>
      <w:r w:rsidR="00C80606">
        <w:rPr>
          <w:rFonts w:asciiTheme="minorHAnsi" w:hAnsiTheme="minorHAnsi" w:cstheme="minorHAnsi"/>
          <w:iCs/>
          <w:sz w:val="22"/>
          <w:szCs w:val="22"/>
        </w:rPr>
        <w:t xml:space="preserve">carried out </w:t>
      </w:r>
      <w:r>
        <w:rPr>
          <w:rFonts w:asciiTheme="minorHAnsi" w:hAnsiTheme="minorHAnsi" w:cstheme="minorHAnsi"/>
          <w:iCs/>
          <w:sz w:val="22"/>
          <w:szCs w:val="22"/>
        </w:rPr>
        <w:t>on the following participating ACEs in Togo</w:t>
      </w:r>
      <w:r w:rsidRPr="003E74C9">
        <w:rPr>
          <w:rFonts w:asciiTheme="minorHAnsi" w:hAnsiTheme="minorHAnsi" w:cstheme="minorHAnsi"/>
          <w:iCs/>
          <w:sz w:val="22"/>
          <w:szCs w:val="22"/>
        </w:rPr>
        <w:t xml:space="preserve">:  </w:t>
      </w:r>
      <w:r w:rsidRPr="005114AC">
        <w:rPr>
          <w:rFonts w:asciiTheme="minorHAnsi" w:hAnsiTheme="minorHAnsi" w:cstheme="minorHAnsi"/>
          <w:i/>
          <w:iCs/>
          <w:sz w:val="22"/>
          <w:szCs w:val="22"/>
        </w:rPr>
        <w:t>Poultry Science (CERSA) / Centre d’Excellence Régional sur les Sciences Aviaires (CERSA), ACE: Power Management / Centre d’Excellence Régional pour la Maîtrise de l’Electricité (CERME), and the ACE: Sustainable Cities in Africa (DOUNEDON) / Centre d’Excellence Régional Villes Durables en Afrique</w:t>
      </w:r>
      <w:r w:rsidR="002A4606">
        <w:rPr>
          <w:rFonts w:asciiTheme="minorHAnsi" w:hAnsiTheme="minorHAnsi" w:cstheme="minorHAnsi"/>
          <w:i/>
          <w:iCs/>
          <w:sz w:val="22"/>
          <w:szCs w:val="22"/>
        </w:rPr>
        <w:t xml:space="preserve">, </w:t>
      </w:r>
      <w:r w:rsidR="002A4606" w:rsidRPr="00B81291">
        <w:rPr>
          <w:rFonts w:asciiTheme="minorHAnsi" w:hAnsiTheme="minorHAnsi" w:cstheme="minorHAnsi"/>
          <w:iCs/>
          <w:sz w:val="22"/>
          <w:szCs w:val="22"/>
        </w:rPr>
        <w:t xml:space="preserve">all within </w:t>
      </w:r>
      <w:r w:rsidRPr="00B81291">
        <w:rPr>
          <w:rFonts w:asciiTheme="minorHAnsi" w:hAnsiTheme="minorHAnsi" w:cstheme="minorHAnsi"/>
          <w:iCs/>
          <w:sz w:val="22"/>
          <w:szCs w:val="22"/>
        </w:rPr>
        <w:t xml:space="preserve">the </w:t>
      </w:r>
      <w:r w:rsidR="00423ED0">
        <w:rPr>
          <w:rFonts w:asciiTheme="minorHAnsi" w:hAnsiTheme="minorHAnsi" w:cstheme="minorHAnsi"/>
          <w:iCs/>
          <w:sz w:val="22"/>
          <w:szCs w:val="22"/>
        </w:rPr>
        <w:t>UL</w:t>
      </w:r>
      <w:r w:rsidRPr="005114AC">
        <w:rPr>
          <w:rFonts w:asciiTheme="minorHAnsi" w:hAnsiTheme="minorHAnsi" w:cstheme="minorHAnsi"/>
          <w:i/>
          <w:iCs/>
          <w:sz w:val="22"/>
          <w:szCs w:val="22"/>
        </w:rPr>
        <w:t>.</w:t>
      </w:r>
    </w:p>
    <w:p w14:paraId="31F9FE10" w14:textId="77777777" w:rsidR="00641DB0" w:rsidRDefault="00B00100" w:rsidP="006C70A5">
      <w:pPr>
        <w:widowControl/>
        <w:numPr>
          <w:ilvl w:val="0"/>
          <w:numId w:val="30"/>
        </w:numPr>
        <w:autoSpaceDE/>
        <w:autoSpaceDN/>
        <w:adjustRightInd/>
        <w:spacing w:after="240"/>
        <w:ind w:right="720" w:firstLine="0"/>
        <w:jc w:val="both"/>
        <w:rPr>
          <w:rFonts w:asciiTheme="minorHAnsi" w:hAnsiTheme="minorHAnsi" w:cstheme="minorHAnsi"/>
          <w:iCs/>
          <w:sz w:val="22"/>
          <w:szCs w:val="22"/>
        </w:rPr>
      </w:pPr>
      <w:r w:rsidRPr="003E74C9">
        <w:rPr>
          <w:rFonts w:asciiTheme="minorHAnsi" w:hAnsiTheme="minorHAnsi" w:cstheme="minorHAnsi"/>
          <w:iCs/>
          <w:sz w:val="22"/>
          <w:szCs w:val="22"/>
        </w:rPr>
        <w:t xml:space="preserve">The proposed </w:t>
      </w:r>
      <w:r w:rsidR="00D86B5D">
        <w:rPr>
          <w:rFonts w:asciiTheme="minorHAnsi" w:hAnsiTheme="minorHAnsi" w:cstheme="minorHAnsi"/>
          <w:iCs/>
          <w:sz w:val="22"/>
          <w:szCs w:val="22"/>
        </w:rPr>
        <w:t>p</w:t>
      </w:r>
      <w:r w:rsidRPr="003E74C9">
        <w:rPr>
          <w:rFonts w:asciiTheme="minorHAnsi" w:hAnsiTheme="minorHAnsi" w:cstheme="minorHAnsi"/>
          <w:iCs/>
          <w:sz w:val="22"/>
          <w:szCs w:val="22"/>
        </w:rPr>
        <w:t xml:space="preserve">roject </w:t>
      </w:r>
      <w:r w:rsidR="002A4606">
        <w:rPr>
          <w:rFonts w:asciiTheme="minorHAnsi" w:hAnsiTheme="minorHAnsi" w:cstheme="minorHAnsi"/>
          <w:iCs/>
          <w:sz w:val="22"/>
          <w:szCs w:val="22"/>
        </w:rPr>
        <w:t xml:space="preserve">in Togo </w:t>
      </w:r>
      <w:r w:rsidRPr="003E74C9">
        <w:rPr>
          <w:rFonts w:asciiTheme="minorHAnsi" w:hAnsiTheme="minorHAnsi" w:cstheme="minorHAnsi"/>
          <w:iCs/>
          <w:sz w:val="22"/>
          <w:szCs w:val="22"/>
        </w:rPr>
        <w:t xml:space="preserve">will have </w:t>
      </w:r>
      <w:r w:rsidRPr="00B81291">
        <w:rPr>
          <w:rFonts w:asciiTheme="minorHAnsi" w:hAnsiTheme="minorHAnsi" w:cstheme="minorHAnsi"/>
          <w:iCs/>
          <w:sz w:val="22"/>
          <w:szCs w:val="22"/>
        </w:rPr>
        <w:t xml:space="preserve">three dedicated </w:t>
      </w:r>
      <w:r w:rsidR="002A4606">
        <w:rPr>
          <w:rFonts w:asciiTheme="minorHAnsi" w:hAnsiTheme="minorHAnsi" w:cstheme="minorHAnsi"/>
          <w:iCs/>
          <w:sz w:val="22"/>
          <w:szCs w:val="22"/>
        </w:rPr>
        <w:t>implementation teams</w:t>
      </w:r>
      <w:r w:rsidRPr="003E74C9">
        <w:rPr>
          <w:rFonts w:asciiTheme="minorHAnsi" w:hAnsiTheme="minorHAnsi" w:cstheme="minorHAnsi"/>
          <w:iCs/>
          <w:sz w:val="22"/>
          <w:szCs w:val="22"/>
        </w:rPr>
        <w:t xml:space="preserve">: (i) the </w:t>
      </w:r>
      <w:r w:rsidR="00DB355A">
        <w:rPr>
          <w:rFonts w:asciiTheme="minorHAnsi" w:hAnsiTheme="minorHAnsi" w:cstheme="minorHAnsi"/>
          <w:iCs/>
          <w:sz w:val="22"/>
          <w:szCs w:val="22"/>
        </w:rPr>
        <w:t>same</w:t>
      </w:r>
      <w:r w:rsidR="00DB355A" w:rsidRPr="003E74C9">
        <w:rPr>
          <w:rFonts w:asciiTheme="minorHAnsi" w:hAnsiTheme="minorHAnsi" w:cstheme="minorHAnsi"/>
          <w:iCs/>
          <w:sz w:val="22"/>
          <w:szCs w:val="22"/>
        </w:rPr>
        <w:t xml:space="preserve"> </w:t>
      </w:r>
      <w:r w:rsidRPr="003E74C9">
        <w:rPr>
          <w:rFonts w:asciiTheme="minorHAnsi" w:hAnsiTheme="minorHAnsi" w:cstheme="minorHAnsi"/>
          <w:iCs/>
          <w:sz w:val="22"/>
          <w:szCs w:val="22"/>
        </w:rPr>
        <w:t>CERSA</w:t>
      </w:r>
      <w:r w:rsidR="002A4606">
        <w:rPr>
          <w:rFonts w:asciiTheme="minorHAnsi" w:hAnsiTheme="minorHAnsi" w:cstheme="minorHAnsi"/>
          <w:iCs/>
          <w:sz w:val="22"/>
          <w:szCs w:val="22"/>
        </w:rPr>
        <w:t xml:space="preserve"> team</w:t>
      </w:r>
      <w:r>
        <w:rPr>
          <w:rFonts w:asciiTheme="minorHAnsi" w:hAnsiTheme="minorHAnsi" w:cstheme="minorHAnsi"/>
          <w:iCs/>
          <w:sz w:val="22"/>
          <w:szCs w:val="22"/>
        </w:rPr>
        <w:t xml:space="preserve"> </w:t>
      </w:r>
      <w:r w:rsidR="00DB355A">
        <w:rPr>
          <w:rFonts w:asciiTheme="minorHAnsi" w:hAnsiTheme="minorHAnsi" w:cstheme="minorHAnsi"/>
          <w:iCs/>
          <w:sz w:val="22"/>
          <w:szCs w:val="22"/>
        </w:rPr>
        <w:t>currently in charge of</w:t>
      </w:r>
      <w:r>
        <w:rPr>
          <w:rFonts w:asciiTheme="minorHAnsi" w:hAnsiTheme="minorHAnsi" w:cstheme="minorHAnsi"/>
          <w:iCs/>
          <w:sz w:val="22"/>
          <w:szCs w:val="22"/>
        </w:rPr>
        <w:t xml:space="preserve"> ACE I</w:t>
      </w:r>
      <w:r w:rsidRPr="00BC485F">
        <w:rPr>
          <w:rFonts w:asciiTheme="minorHAnsi" w:hAnsiTheme="minorHAnsi" w:cstheme="minorHAnsi"/>
          <w:iCs/>
          <w:sz w:val="22"/>
          <w:szCs w:val="22"/>
        </w:rPr>
        <w:t xml:space="preserve">, and (ii) </w:t>
      </w:r>
      <w:r w:rsidR="002A4606">
        <w:rPr>
          <w:rFonts w:asciiTheme="minorHAnsi" w:hAnsiTheme="minorHAnsi" w:cstheme="minorHAnsi"/>
          <w:iCs/>
          <w:sz w:val="22"/>
          <w:szCs w:val="22"/>
        </w:rPr>
        <w:t xml:space="preserve">the </w:t>
      </w:r>
      <w:r w:rsidRPr="00BC485F">
        <w:rPr>
          <w:rFonts w:asciiTheme="minorHAnsi" w:hAnsiTheme="minorHAnsi" w:cstheme="minorHAnsi"/>
          <w:iCs/>
          <w:sz w:val="22"/>
          <w:szCs w:val="22"/>
        </w:rPr>
        <w:t xml:space="preserve">two </w:t>
      </w:r>
      <w:r>
        <w:rPr>
          <w:rFonts w:asciiTheme="minorHAnsi" w:hAnsiTheme="minorHAnsi" w:cstheme="minorHAnsi"/>
          <w:iCs/>
          <w:sz w:val="22"/>
          <w:szCs w:val="22"/>
        </w:rPr>
        <w:t xml:space="preserve">new </w:t>
      </w:r>
      <w:r w:rsidR="002A4606">
        <w:rPr>
          <w:rFonts w:asciiTheme="minorHAnsi" w:hAnsiTheme="minorHAnsi" w:cstheme="minorHAnsi"/>
          <w:iCs/>
          <w:sz w:val="22"/>
          <w:szCs w:val="22"/>
        </w:rPr>
        <w:t>teams</w:t>
      </w:r>
      <w:r w:rsidRPr="00BC485F">
        <w:rPr>
          <w:rFonts w:asciiTheme="minorHAnsi" w:hAnsiTheme="minorHAnsi" w:cstheme="minorHAnsi"/>
          <w:iCs/>
          <w:sz w:val="22"/>
          <w:szCs w:val="22"/>
        </w:rPr>
        <w:t xml:space="preserve"> to be set-up at CERME</w:t>
      </w:r>
      <w:r w:rsidR="00762173">
        <w:rPr>
          <w:rFonts w:asciiTheme="minorHAnsi" w:hAnsiTheme="minorHAnsi" w:cstheme="minorHAnsi"/>
          <w:iCs/>
          <w:sz w:val="22"/>
          <w:szCs w:val="22"/>
        </w:rPr>
        <w:t xml:space="preserve"> </w:t>
      </w:r>
      <w:r w:rsidRPr="00BC485F">
        <w:rPr>
          <w:rFonts w:asciiTheme="minorHAnsi" w:hAnsiTheme="minorHAnsi" w:cstheme="minorHAnsi"/>
          <w:iCs/>
          <w:sz w:val="22"/>
          <w:szCs w:val="22"/>
        </w:rPr>
        <w:t xml:space="preserve">and ACE-DOUNEDON These </w:t>
      </w:r>
      <w:r w:rsidR="00762173">
        <w:rPr>
          <w:rFonts w:asciiTheme="minorHAnsi" w:hAnsiTheme="minorHAnsi" w:cstheme="minorHAnsi"/>
          <w:iCs/>
          <w:sz w:val="22"/>
          <w:szCs w:val="22"/>
        </w:rPr>
        <w:t>implementation teams</w:t>
      </w:r>
      <w:r w:rsidRPr="00BC485F">
        <w:rPr>
          <w:rFonts w:asciiTheme="minorHAnsi" w:hAnsiTheme="minorHAnsi" w:cstheme="minorHAnsi"/>
          <w:iCs/>
          <w:sz w:val="22"/>
          <w:szCs w:val="22"/>
        </w:rPr>
        <w:t xml:space="preserve"> will be responsible for coordinating the day-to-day implementation of </w:t>
      </w:r>
      <w:r>
        <w:rPr>
          <w:rFonts w:asciiTheme="minorHAnsi" w:hAnsiTheme="minorHAnsi" w:cstheme="minorHAnsi"/>
          <w:iCs/>
          <w:sz w:val="22"/>
          <w:szCs w:val="22"/>
        </w:rPr>
        <w:t>the project</w:t>
      </w:r>
      <w:r w:rsidRPr="00BC485F">
        <w:rPr>
          <w:rFonts w:asciiTheme="minorHAnsi" w:hAnsiTheme="minorHAnsi" w:cstheme="minorHAnsi"/>
          <w:iCs/>
          <w:sz w:val="22"/>
          <w:szCs w:val="22"/>
        </w:rPr>
        <w:t xml:space="preserve">, including </w:t>
      </w:r>
      <w:r w:rsidR="00C80606">
        <w:rPr>
          <w:rFonts w:asciiTheme="minorHAnsi" w:hAnsiTheme="minorHAnsi" w:cstheme="minorHAnsi"/>
          <w:iCs/>
          <w:sz w:val="22"/>
          <w:szCs w:val="22"/>
        </w:rPr>
        <w:t>FM</w:t>
      </w:r>
      <w:r w:rsidRPr="00BC485F">
        <w:rPr>
          <w:rFonts w:asciiTheme="minorHAnsi" w:hAnsiTheme="minorHAnsi" w:cstheme="minorHAnsi"/>
          <w:iCs/>
          <w:sz w:val="22"/>
          <w:szCs w:val="22"/>
        </w:rPr>
        <w:t xml:space="preserve">, </w:t>
      </w:r>
      <w:r>
        <w:rPr>
          <w:rFonts w:asciiTheme="minorHAnsi" w:hAnsiTheme="minorHAnsi" w:cstheme="minorHAnsi"/>
          <w:iCs/>
          <w:sz w:val="22"/>
          <w:szCs w:val="22"/>
        </w:rPr>
        <w:t>procurement,</w:t>
      </w:r>
      <w:r w:rsidRPr="00BC485F">
        <w:rPr>
          <w:rFonts w:asciiTheme="minorHAnsi" w:hAnsiTheme="minorHAnsi" w:cstheme="minorHAnsi"/>
          <w:iCs/>
          <w:sz w:val="22"/>
          <w:szCs w:val="22"/>
        </w:rPr>
        <w:t xml:space="preserve"> </w:t>
      </w:r>
      <w:r w:rsidR="00C80606">
        <w:rPr>
          <w:rFonts w:asciiTheme="minorHAnsi" w:hAnsiTheme="minorHAnsi" w:cstheme="minorHAnsi"/>
          <w:iCs/>
          <w:sz w:val="22"/>
          <w:szCs w:val="22"/>
        </w:rPr>
        <w:t>M&amp;E</w:t>
      </w:r>
      <w:r>
        <w:rPr>
          <w:rFonts w:asciiTheme="minorHAnsi" w:hAnsiTheme="minorHAnsi" w:cstheme="minorHAnsi"/>
          <w:iCs/>
          <w:sz w:val="22"/>
          <w:szCs w:val="22"/>
        </w:rPr>
        <w:t xml:space="preserve"> and other related project activities</w:t>
      </w:r>
      <w:r w:rsidRPr="00BC485F">
        <w:rPr>
          <w:rFonts w:asciiTheme="minorHAnsi" w:hAnsiTheme="minorHAnsi" w:cstheme="minorHAnsi"/>
          <w:iCs/>
          <w:sz w:val="22"/>
          <w:szCs w:val="22"/>
        </w:rPr>
        <w:t xml:space="preserve">. </w:t>
      </w:r>
      <w:r w:rsidRPr="00BC485F">
        <w:rPr>
          <w:rFonts w:asciiTheme="minorHAnsi" w:hAnsiTheme="minorHAnsi" w:cstheme="minorHAnsi"/>
          <w:bCs/>
          <w:iCs/>
          <w:sz w:val="22"/>
          <w:szCs w:val="22"/>
        </w:rPr>
        <w:t>CERSA</w:t>
      </w:r>
      <w:r>
        <w:rPr>
          <w:rFonts w:asciiTheme="minorHAnsi" w:hAnsiTheme="minorHAnsi" w:cstheme="minorHAnsi"/>
          <w:bCs/>
          <w:iCs/>
          <w:sz w:val="22"/>
          <w:szCs w:val="22"/>
        </w:rPr>
        <w:t xml:space="preserve"> is a Renewal </w:t>
      </w:r>
      <w:r w:rsidR="00FE2932">
        <w:rPr>
          <w:rFonts w:asciiTheme="minorHAnsi" w:hAnsiTheme="minorHAnsi" w:cstheme="minorHAnsi"/>
          <w:bCs/>
          <w:iCs/>
          <w:sz w:val="22"/>
          <w:szCs w:val="22"/>
        </w:rPr>
        <w:t>center</w:t>
      </w:r>
      <w:r>
        <w:rPr>
          <w:rFonts w:asciiTheme="minorHAnsi" w:hAnsiTheme="minorHAnsi" w:cstheme="minorHAnsi"/>
          <w:bCs/>
          <w:iCs/>
          <w:sz w:val="22"/>
          <w:szCs w:val="22"/>
        </w:rPr>
        <w:t xml:space="preserve"> and</w:t>
      </w:r>
      <w:r w:rsidR="00C80606">
        <w:rPr>
          <w:rFonts w:asciiTheme="minorHAnsi" w:hAnsiTheme="minorHAnsi" w:cstheme="minorHAnsi"/>
          <w:bCs/>
          <w:iCs/>
          <w:sz w:val="22"/>
          <w:szCs w:val="22"/>
        </w:rPr>
        <w:t>,</w:t>
      </w:r>
      <w:r>
        <w:rPr>
          <w:rFonts w:asciiTheme="minorHAnsi" w:hAnsiTheme="minorHAnsi" w:cstheme="minorHAnsi"/>
          <w:bCs/>
          <w:iCs/>
          <w:sz w:val="22"/>
          <w:szCs w:val="22"/>
        </w:rPr>
        <w:t xml:space="preserve"> therefore</w:t>
      </w:r>
      <w:r w:rsidR="00C80606">
        <w:rPr>
          <w:rFonts w:asciiTheme="minorHAnsi" w:hAnsiTheme="minorHAnsi" w:cstheme="minorHAnsi"/>
          <w:bCs/>
          <w:iCs/>
          <w:sz w:val="22"/>
          <w:szCs w:val="22"/>
        </w:rPr>
        <w:t>,</w:t>
      </w:r>
      <w:r w:rsidRPr="00BC485F">
        <w:rPr>
          <w:rFonts w:asciiTheme="minorHAnsi" w:hAnsiTheme="minorHAnsi" w:cstheme="minorHAnsi"/>
          <w:bCs/>
          <w:iCs/>
          <w:sz w:val="22"/>
          <w:szCs w:val="22"/>
        </w:rPr>
        <w:t xml:space="preserve"> </w:t>
      </w:r>
      <w:r>
        <w:rPr>
          <w:rFonts w:asciiTheme="minorHAnsi" w:hAnsiTheme="minorHAnsi" w:cstheme="minorHAnsi"/>
          <w:iCs/>
          <w:sz w:val="22"/>
          <w:szCs w:val="22"/>
        </w:rPr>
        <w:t>has experience</w:t>
      </w:r>
      <w:r w:rsidRPr="00BC485F">
        <w:rPr>
          <w:rFonts w:asciiTheme="minorHAnsi" w:hAnsiTheme="minorHAnsi" w:cstheme="minorHAnsi"/>
          <w:iCs/>
          <w:sz w:val="22"/>
          <w:szCs w:val="22"/>
        </w:rPr>
        <w:t xml:space="preserve"> with the </w:t>
      </w:r>
      <w:r w:rsidR="00C00B64">
        <w:rPr>
          <w:rFonts w:asciiTheme="minorHAnsi" w:eastAsiaTheme="minorHAnsi" w:hAnsiTheme="minorHAnsi" w:cstheme="minorHAnsi"/>
          <w:color w:val="auto"/>
          <w:sz w:val="22"/>
          <w:szCs w:val="22"/>
        </w:rPr>
        <w:t>World</w:t>
      </w:r>
      <w:r w:rsidR="00C00B64" w:rsidRPr="00BC485F">
        <w:rPr>
          <w:rFonts w:asciiTheme="minorHAnsi" w:hAnsiTheme="minorHAnsi" w:cstheme="minorHAnsi"/>
          <w:iCs/>
          <w:sz w:val="22"/>
          <w:szCs w:val="22"/>
        </w:rPr>
        <w:t xml:space="preserve"> </w:t>
      </w:r>
      <w:r w:rsidRPr="00BC485F">
        <w:rPr>
          <w:rFonts w:asciiTheme="minorHAnsi" w:hAnsiTheme="minorHAnsi" w:cstheme="minorHAnsi"/>
          <w:iCs/>
          <w:sz w:val="22"/>
          <w:szCs w:val="22"/>
        </w:rPr>
        <w:t>Bank</w:t>
      </w:r>
      <w:r>
        <w:rPr>
          <w:rFonts w:asciiTheme="minorHAnsi" w:hAnsiTheme="minorHAnsi" w:cstheme="minorHAnsi"/>
          <w:iCs/>
          <w:sz w:val="22"/>
          <w:szCs w:val="22"/>
        </w:rPr>
        <w:t>’s</w:t>
      </w:r>
      <w:r w:rsidRPr="00BC485F">
        <w:rPr>
          <w:rFonts w:asciiTheme="minorHAnsi" w:hAnsiTheme="minorHAnsi" w:cstheme="minorHAnsi"/>
          <w:iCs/>
          <w:sz w:val="22"/>
          <w:szCs w:val="22"/>
        </w:rPr>
        <w:t xml:space="preserve"> FM requirements. </w:t>
      </w:r>
      <w:r w:rsidRPr="00BC485F">
        <w:rPr>
          <w:rFonts w:asciiTheme="minorHAnsi" w:hAnsiTheme="minorHAnsi" w:cstheme="minorHAnsi"/>
          <w:bCs/>
          <w:iCs/>
          <w:sz w:val="22"/>
          <w:szCs w:val="22"/>
        </w:rPr>
        <w:t>CERME, and the ACE-DOUNEDON are not familiar with IDA procedures</w:t>
      </w:r>
      <w:r w:rsidRPr="00BC485F">
        <w:rPr>
          <w:rFonts w:asciiTheme="minorHAnsi" w:hAnsiTheme="minorHAnsi" w:cstheme="minorHAnsi"/>
          <w:iCs/>
          <w:sz w:val="22"/>
          <w:szCs w:val="22"/>
        </w:rPr>
        <w:t xml:space="preserve"> </w:t>
      </w:r>
      <w:r w:rsidRPr="00BC485F">
        <w:rPr>
          <w:rFonts w:asciiTheme="minorHAnsi" w:hAnsiTheme="minorHAnsi" w:cstheme="minorHAnsi"/>
          <w:bCs/>
          <w:iCs/>
          <w:sz w:val="22"/>
          <w:szCs w:val="22"/>
        </w:rPr>
        <w:t xml:space="preserve">for reporting, disbursement arrangements, and auditing and do not have qualified </w:t>
      </w:r>
      <w:r w:rsidR="00C80606">
        <w:rPr>
          <w:rFonts w:asciiTheme="minorHAnsi" w:hAnsiTheme="minorHAnsi" w:cstheme="minorHAnsi"/>
          <w:bCs/>
          <w:iCs/>
          <w:sz w:val="22"/>
          <w:szCs w:val="22"/>
        </w:rPr>
        <w:t>FM</w:t>
      </w:r>
      <w:r w:rsidRPr="00BC485F">
        <w:rPr>
          <w:rFonts w:asciiTheme="minorHAnsi" w:hAnsiTheme="minorHAnsi" w:cstheme="minorHAnsi"/>
          <w:bCs/>
          <w:iCs/>
          <w:sz w:val="22"/>
          <w:szCs w:val="22"/>
        </w:rPr>
        <w:t xml:space="preserve"> staff in place.</w:t>
      </w:r>
      <w:r w:rsidRPr="00BC485F">
        <w:rPr>
          <w:rFonts w:asciiTheme="minorHAnsi" w:hAnsiTheme="minorHAnsi" w:cstheme="minorHAnsi"/>
          <w:iCs/>
          <w:sz w:val="22"/>
          <w:szCs w:val="22"/>
        </w:rPr>
        <w:t xml:space="preserve"> In addition, CERME, and the ACE-DOUNEDON do not have </w:t>
      </w:r>
      <w:r>
        <w:rPr>
          <w:rFonts w:asciiTheme="minorHAnsi" w:hAnsiTheme="minorHAnsi" w:cstheme="minorHAnsi"/>
          <w:iCs/>
          <w:sz w:val="22"/>
          <w:szCs w:val="22"/>
        </w:rPr>
        <w:t>adequate</w:t>
      </w:r>
      <w:r w:rsidRPr="00BC485F">
        <w:rPr>
          <w:rFonts w:asciiTheme="minorHAnsi" w:hAnsiTheme="minorHAnsi" w:cstheme="minorHAnsi"/>
          <w:iCs/>
          <w:sz w:val="22"/>
          <w:szCs w:val="22"/>
        </w:rPr>
        <w:t xml:space="preserve"> </w:t>
      </w:r>
      <w:r w:rsidR="00C80606">
        <w:rPr>
          <w:rFonts w:asciiTheme="minorHAnsi" w:hAnsiTheme="minorHAnsi" w:cstheme="minorHAnsi"/>
          <w:iCs/>
          <w:sz w:val="22"/>
          <w:szCs w:val="22"/>
        </w:rPr>
        <w:t>FM</w:t>
      </w:r>
      <w:r w:rsidRPr="00BC485F">
        <w:rPr>
          <w:rFonts w:asciiTheme="minorHAnsi" w:hAnsiTheme="minorHAnsi" w:cstheme="minorHAnsi"/>
          <w:iCs/>
          <w:sz w:val="22"/>
          <w:szCs w:val="22"/>
        </w:rPr>
        <w:t xml:space="preserve"> tools: </w:t>
      </w:r>
      <w:r w:rsidR="00A365AF">
        <w:rPr>
          <w:rFonts w:asciiTheme="minorHAnsi" w:hAnsiTheme="minorHAnsi" w:cstheme="minorHAnsi"/>
          <w:iCs/>
          <w:sz w:val="22"/>
          <w:szCs w:val="22"/>
        </w:rPr>
        <w:t xml:space="preserve">specifically, </w:t>
      </w:r>
      <w:r w:rsidRPr="00BC485F">
        <w:rPr>
          <w:rFonts w:asciiTheme="minorHAnsi" w:hAnsiTheme="minorHAnsi" w:cstheme="minorHAnsi"/>
          <w:iCs/>
          <w:sz w:val="22"/>
          <w:szCs w:val="22"/>
        </w:rPr>
        <w:t xml:space="preserve">accounting software, and manuals of procedures. </w:t>
      </w:r>
      <w:r>
        <w:rPr>
          <w:rFonts w:asciiTheme="minorHAnsi" w:hAnsiTheme="minorHAnsi" w:cstheme="minorHAnsi"/>
          <w:iCs/>
          <w:sz w:val="22"/>
          <w:szCs w:val="22"/>
        </w:rPr>
        <w:t xml:space="preserve">To help in strengthening the fiduciary environment, it has been agreed that the updated version of the Financial Accounting </w:t>
      </w:r>
      <w:r w:rsidR="00D23ABC">
        <w:rPr>
          <w:rFonts w:asciiTheme="minorHAnsi" w:hAnsiTheme="minorHAnsi" w:cstheme="minorHAnsi"/>
          <w:iCs/>
          <w:sz w:val="22"/>
          <w:szCs w:val="22"/>
        </w:rPr>
        <w:t>Manual</w:t>
      </w:r>
      <w:r>
        <w:rPr>
          <w:rFonts w:asciiTheme="minorHAnsi" w:hAnsiTheme="minorHAnsi" w:cstheme="minorHAnsi"/>
          <w:iCs/>
          <w:sz w:val="22"/>
          <w:szCs w:val="22"/>
        </w:rPr>
        <w:t xml:space="preserve"> of CERSA will be adopted by these two </w:t>
      </w:r>
      <w:r w:rsidR="003A535F">
        <w:rPr>
          <w:rFonts w:asciiTheme="minorHAnsi" w:hAnsiTheme="minorHAnsi" w:cstheme="minorHAnsi"/>
          <w:iCs/>
          <w:sz w:val="22"/>
          <w:szCs w:val="22"/>
        </w:rPr>
        <w:t>N</w:t>
      </w:r>
      <w:r>
        <w:rPr>
          <w:rFonts w:asciiTheme="minorHAnsi" w:hAnsiTheme="minorHAnsi" w:cstheme="minorHAnsi"/>
          <w:iCs/>
          <w:sz w:val="22"/>
          <w:szCs w:val="22"/>
        </w:rPr>
        <w:t xml:space="preserve">ew </w:t>
      </w:r>
      <w:r w:rsidR="00D23ABC">
        <w:rPr>
          <w:rFonts w:asciiTheme="minorHAnsi" w:hAnsiTheme="minorHAnsi" w:cstheme="minorHAnsi"/>
          <w:iCs/>
          <w:sz w:val="22"/>
          <w:szCs w:val="22"/>
        </w:rPr>
        <w:t>centers</w:t>
      </w:r>
      <w:r>
        <w:rPr>
          <w:rFonts w:asciiTheme="minorHAnsi" w:hAnsiTheme="minorHAnsi" w:cstheme="minorHAnsi"/>
          <w:iCs/>
          <w:sz w:val="22"/>
          <w:szCs w:val="22"/>
        </w:rPr>
        <w:t xml:space="preserve"> during implementation.</w:t>
      </w:r>
      <w:r w:rsidRPr="00BC485F">
        <w:rPr>
          <w:rFonts w:asciiTheme="minorHAnsi" w:hAnsiTheme="minorHAnsi" w:cstheme="minorHAnsi"/>
          <w:iCs/>
          <w:sz w:val="22"/>
          <w:szCs w:val="22"/>
        </w:rPr>
        <w:t xml:space="preserve"> </w:t>
      </w:r>
    </w:p>
    <w:p w14:paraId="5E948A72" w14:textId="77777777" w:rsidR="002E1A3F" w:rsidRPr="002E1A3F" w:rsidRDefault="00B00100" w:rsidP="006C70A5">
      <w:pPr>
        <w:spacing w:after="240"/>
        <w:ind w:left="360"/>
        <w:jc w:val="both"/>
        <w:rPr>
          <w:rFonts w:ascii="Calibri" w:eastAsia="Batang" w:hAnsi="Calibri" w:cs="Calibri"/>
          <w:b/>
          <w:i/>
          <w:color w:val="0070C0"/>
          <w:sz w:val="22"/>
          <w:szCs w:val="22"/>
          <w:lang w:eastAsia="ko-KR"/>
        </w:rPr>
      </w:pPr>
      <w:r w:rsidRPr="002E1A3F">
        <w:rPr>
          <w:rFonts w:ascii="Calibri" w:eastAsia="Times New Roman" w:hAnsi="Calibri" w:cs="Calibri"/>
          <w:b/>
          <w:i/>
          <w:color w:val="0070C0"/>
          <w:sz w:val="22"/>
          <w:szCs w:val="22"/>
          <w:lang w:eastAsia="ko-KR"/>
        </w:rPr>
        <w:t>Planning and Budgeting Arrangements</w:t>
      </w:r>
    </w:p>
    <w:p w14:paraId="03902111" w14:textId="77777777" w:rsidR="00AB0631" w:rsidRPr="000B7010" w:rsidRDefault="00B00100" w:rsidP="006C70A5">
      <w:pPr>
        <w:widowControl/>
        <w:autoSpaceDE/>
        <w:autoSpaceDN/>
        <w:adjustRightInd/>
        <w:spacing w:after="120"/>
        <w:ind w:left="36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 xml:space="preserve">(i)      </w:t>
      </w:r>
      <w:r w:rsidRPr="000B7010">
        <w:rPr>
          <w:rFonts w:ascii="Calibri" w:eastAsia="Batang" w:hAnsi="Calibri" w:cs="Times New Roman"/>
          <w:b/>
          <w:i/>
          <w:color w:val="auto"/>
          <w:sz w:val="22"/>
          <w:szCs w:val="22"/>
          <w:lang w:eastAsia="ko-KR"/>
        </w:rPr>
        <w:t xml:space="preserve">NUC </w:t>
      </w:r>
    </w:p>
    <w:p w14:paraId="4B5140FF" w14:textId="77777777" w:rsidR="003169E7" w:rsidRPr="00B81291"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B81291">
        <w:rPr>
          <w:rFonts w:ascii="Calibri" w:eastAsia="Calibri" w:hAnsi="Calibri" w:cs="Calibri"/>
          <w:color w:val="auto"/>
          <w:sz w:val="22"/>
          <w:szCs w:val="22"/>
        </w:rPr>
        <w:t>Budget preparation is detailed in the Financial Procedures Manual. Budgeting is coordinated by a budget committee which is responsible for tracking financial performance.  The capacity of the accounting staff to fulfill budgeting needs of the project is adequate.</w:t>
      </w:r>
    </w:p>
    <w:p w14:paraId="2F5B7B05" w14:textId="77777777" w:rsidR="000C5903" w:rsidRDefault="000C5903" w:rsidP="00BE4F8B">
      <w:pPr>
        <w:widowControl/>
        <w:autoSpaceDE/>
        <w:autoSpaceDN/>
        <w:adjustRightInd/>
        <w:spacing w:after="120"/>
        <w:ind w:left="360"/>
        <w:jc w:val="both"/>
        <w:rPr>
          <w:rFonts w:ascii="Calibri" w:eastAsia="Batang" w:hAnsi="Calibri" w:cs="Times New Roman"/>
          <w:b/>
          <w:i/>
          <w:color w:val="auto"/>
          <w:sz w:val="22"/>
          <w:szCs w:val="22"/>
          <w:lang w:eastAsia="ko-KR"/>
        </w:rPr>
      </w:pPr>
    </w:p>
    <w:p w14:paraId="07375CD8" w14:textId="09B2E72E" w:rsidR="00D57EEF" w:rsidRPr="00B81291" w:rsidRDefault="00B00100" w:rsidP="000C5903">
      <w:pPr>
        <w:widowControl/>
        <w:autoSpaceDE/>
        <w:autoSpaceDN/>
        <w:adjustRightInd/>
        <w:spacing w:after="120"/>
        <w:ind w:left="360"/>
        <w:jc w:val="both"/>
        <w:rPr>
          <w:rFonts w:ascii="Calibri" w:eastAsia="Batang" w:hAnsi="Calibri" w:cs="Times New Roman"/>
          <w:b/>
          <w:i/>
          <w:color w:val="auto"/>
          <w:sz w:val="22"/>
          <w:szCs w:val="22"/>
          <w:lang w:eastAsia="ko-KR"/>
        </w:rPr>
      </w:pPr>
      <w:r w:rsidRPr="00B81291">
        <w:rPr>
          <w:rFonts w:ascii="Calibri" w:eastAsia="Batang" w:hAnsi="Calibri" w:cs="Times New Roman"/>
          <w:b/>
          <w:i/>
          <w:color w:val="auto"/>
          <w:sz w:val="22"/>
          <w:szCs w:val="22"/>
          <w:lang w:eastAsia="ko-KR"/>
        </w:rPr>
        <w:lastRenderedPageBreak/>
        <w:t>(</w:t>
      </w:r>
      <w:r w:rsidR="00C2046F">
        <w:rPr>
          <w:rFonts w:ascii="Calibri" w:eastAsia="Batang" w:hAnsi="Calibri" w:cs="Times New Roman"/>
          <w:b/>
          <w:i/>
          <w:color w:val="auto"/>
          <w:sz w:val="22"/>
          <w:szCs w:val="22"/>
          <w:lang w:eastAsia="ko-KR"/>
        </w:rPr>
        <w:t>ii</w:t>
      </w:r>
      <w:r w:rsidRPr="00B81291">
        <w:rPr>
          <w:rFonts w:ascii="Calibri" w:eastAsia="Batang" w:hAnsi="Calibri" w:cs="Times New Roman"/>
          <w:b/>
          <w:i/>
          <w:color w:val="auto"/>
          <w:sz w:val="22"/>
          <w:szCs w:val="22"/>
          <w:lang w:eastAsia="ko-KR"/>
        </w:rPr>
        <w:t xml:space="preserve">)      </w:t>
      </w:r>
      <w:r w:rsidR="003F3EAD">
        <w:rPr>
          <w:rFonts w:ascii="Calibri" w:eastAsia="Batang" w:hAnsi="Calibri" w:cs="Times New Roman"/>
          <w:b/>
          <w:i/>
          <w:color w:val="auto"/>
          <w:sz w:val="22"/>
          <w:szCs w:val="22"/>
          <w:lang w:eastAsia="ko-KR"/>
        </w:rPr>
        <w:t>PCU-Gambia</w:t>
      </w:r>
      <w:r w:rsidRPr="00B81291">
        <w:rPr>
          <w:rFonts w:ascii="Calibri" w:eastAsia="Batang" w:hAnsi="Calibri" w:cs="Times New Roman"/>
          <w:b/>
          <w:i/>
          <w:color w:val="auto"/>
          <w:sz w:val="22"/>
          <w:szCs w:val="22"/>
          <w:lang w:eastAsia="ko-KR"/>
        </w:rPr>
        <w:t xml:space="preserve"> </w:t>
      </w:r>
    </w:p>
    <w:p w14:paraId="71F174A7" w14:textId="77777777" w:rsidR="00064380" w:rsidRPr="00B81291" w:rsidRDefault="00B00100" w:rsidP="006C70A5">
      <w:pPr>
        <w:widowControl/>
        <w:numPr>
          <w:ilvl w:val="0"/>
          <w:numId w:val="30"/>
        </w:numPr>
        <w:autoSpaceDE/>
        <w:autoSpaceDN/>
        <w:adjustRightInd/>
        <w:spacing w:after="240"/>
        <w:ind w:right="720" w:firstLine="0"/>
        <w:jc w:val="both"/>
        <w:rPr>
          <w:rFonts w:ascii="Calibri" w:eastAsia="Calibri" w:hAnsi="Calibri" w:cs="Calibri"/>
          <w:color w:val="auto"/>
          <w:sz w:val="22"/>
          <w:szCs w:val="22"/>
        </w:rPr>
      </w:pPr>
      <w:r w:rsidRPr="00B81291">
        <w:rPr>
          <w:rFonts w:ascii="Calibri" w:eastAsia="Calibri" w:hAnsi="Calibri" w:cs="Calibri"/>
          <w:color w:val="auto"/>
          <w:sz w:val="22"/>
          <w:szCs w:val="22"/>
        </w:rPr>
        <w:t xml:space="preserve">The budgeting process from elaboration to execution and control will be clearly defined in the manual of procedures including FM arrangements and the budget will be reviewed and adopted by the </w:t>
      </w:r>
      <w:r w:rsidR="00E854BC">
        <w:rPr>
          <w:rFonts w:ascii="Calibri" w:eastAsia="Calibri" w:hAnsi="Calibri" w:cs="Calibri"/>
          <w:color w:val="auto"/>
          <w:sz w:val="22"/>
          <w:szCs w:val="22"/>
        </w:rPr>
        <w:t>NSC</w:t>
      </w:r>
      <w:r w:rsidRPr="00B81291">
        <w:rPr>
          <w:rFonts w:ascii="Calibri" w:eastAsia="Calibri" w:hAnsi="Calibri" w:cs="Calibri"/>
          <w:color w:val="auto"/>
          <w:sz w:val="22"/>
          <w:szCs w:val="22"/>
        </w:rPr>
        <w:t xml:space="preserve"> before the beginning of its execution. Annual draft budgets will be submitted for the </w:t>
      </w:r>
      <w:r w:rsidR="00C00B64">
        <w:rPr>
          <w:rFonts w:asciiTheme="minorHAnsi" w:eastAsiaTheme="minorHAnsi" w:hAnsiTheme="minorHAnsi" w:cstheme="minorHAnsi"/>
          <w:color w:val="auto"/>
          <w:sz w:val="22"/>
          <w:szCs w:val="22"/>
        </w:rPr>
        <w:t>World</w:t>
      </w:r>
      <w:r w:rsidR="00C00B64" w:rsidRPr="00B81291">
        <w:rPr>
          <w:rFonts w:ascii="Calibri" w:eastAsia="Calibri" w:hAnsi="Calibri" w:cs="Calibri"/>
          <w:color w:val="auto"/>
          <w:sz w:val="22"/>
          <w:szCs w:val="22"/>
        </w:rPr>
        <w:t xml:space="preserve"> </w:t>
      </w:r>
      <w:r w:rsidRPr="00B81291">
        <w:rPr>
          <w:rFonts w:ascii="Calibri" w:eastAsia="Calibri" w:hAnsi="Calibri" w:cs="Calibri"/>
          <w:color w:val="auto"/>
          <w:sz w:val="22"/>
          <w:szCs w:val="22"/>
        </w:rPr>
        <w:t>Bank’s no-objection before adoption and implementation and no later than November 30 of each year. Periodic monitoring of budget execution and variance analysis will be prepared by the Project coordination Unit and included in the quarterly interim financial reports.</w:t>
      </w:r>
    </w:p>
    <w:p w14:paraId="57150E9F" w14:textId="77777777" w:rsidR="00C20E93" w:rsidRPr="002E1A3F" w:rsidRDefault="00B00100" w:rsidP="006C70A5">
      <w:pPr>
        <w:widowControl/>
        <w:autoSpaceDE/>
        <w:autoSpaceDN/>
        <w:adjustRightInd/>
        <w:spacing w:after="120"/>
        <w:ind w:left="36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w:t>
      </w:r>
      <w:r w:rsidR="00C2046F">
        <w:rPr>
          <w:rFonts w:ascii="Calibri" w:eastAsia="Batang" w:hAnsi="Calibri" w:cs="Times New Roman"/>
          <w:b/>
          <w:i/>
          <w:color w:val="auto"/>
          <w:sz w:val="22"/>
          <w:szCs w:val="22"/>
          <w:lang w:eastAsia="ko-KR"/>
        </w:rPr>
        <w:t>iii</w:t>
      </w:r>
      <w:r>
        <w:rPr>
          <w:rFonts w:ascii="Calibri" w:eastAsia="Batang" w:hAnsi="Calibri" w:cs="Times New Roman"/>
          <w:b/>
          <w:i/>
          <w:color w:val="auto"/>
          <w:sz w:val="22"/>
          <w:szCs w:val="22"/>
          <w:lang w:eastAsia="ko-KR"/>
        </w:rPr>
        <w:t xml:space="preserve">)      </w:t>
      </w:r>
      <w:r w:rsidRPr="002E1A3F">
        <w:rPr>
          <w:rFonts w:ascii="Calibri" w:eastAsia="Batang" w:hAnsi="Calibri" w:cs="Times New Roman"/>
          <w:b/>
          <w:i/>
          <w:color w:val="auto"/>
          <w:sz w:val="22"/>
          <w:szCs w:val="22"/>
          <w:lang w:eastAsia="ko-KR"/>
        </w:rPr>
        <w:t xml:space="preserve">Selected Centers </w:t>
      </w:r>
    </w:p>
    <w:p w14:paraId="5DDECF96" w14:textId="77777777" w:rsidR="002E1A3F" w:rsidRDefault="00B00100" w:rsidP="00F35806">
      <w:pPr>
        <w:widowControl/>
        <w:numPr>
          <w:ilvl w:val="0"/>
          <w:numId w:val="30"/>
        </w:numPr>
        <w:autoSpaceDE/>
        <w:autoSpaceDN/>
        <w:adjustRightInd/>
        <w:spacing w:after="240"/>
        <w:ind w:left="270" w:right="720" w:firstLine="0"/>
        <w:jc w:val="both"/>
        <w:rPr>
          <w:rFonts w:ascii="Calibri" w:eastAsia="Times New Roman" w:hAnsi="Calibri" w:cs="Calibri"/>
          <w:bCs/>
          <w:sz w:val="22"/>
          <w:szCs w:val="22"/>
        </w:rPr>
      </w:pPr>
      <w:r w:rsidRPr="002E1A3F">
        <w:rPr>
          <w:rFonts w:ascii="Calibri" w:eastAsia="Times New Roman" w:hAnsi="Calibri" w:cs="Calibri"/>
          <w:b/>
          <w:bCs/>
          <w:sz w:val="22"/>
          <w:szCs w:val="22"/>
        </w:rPr>
        <w:t>For all participating centers, the annual budgets and work</w:t>
      </w:r>
      <w:r w:rsidR="003C1A06">
        <w:rPr>
          <w:rFonts w:ascii="Calibri" w:eastAsia="Times New Roman" w:hAnsi="Calibri" w:cs="Calibri"/>
          <w:b/>
          <w:bCs/>
          <w:sz w:val="22"/>
          <w:szCs w:val="22"/>
        </w:rPr>
        <w:t xml:space="preserve"> </w:t>
      </w:r>
      <w:r w:rsidRPr="002E1A3F">
        <w:rPr>
          <w:rFonts w:ascii="Calibri" w:eastAsia="Times New Roman" w:hAnsi="Calibri" w:cs="Calibri"/>
          <w:b/>
          <w:bCs/>
          <w:sz w:val="22"/>
          <w:szCs w:val="22"/>
        </w:rPr>
        <w:t xml:space="preserve">plans will be prepared by qualified staff in their corresponding finance departments in line with applicable budgeted preparation guidelines in each center’s respective FM Manuals and/or relevant government guidelines.  </w:t>
      </w:r>
      <w:r w:rsidRPr="002E1A3F">
        <w:rPr>
          <w:rFonts w:ascii="Calibri" w:eastAsia="Times New Roman" w:hAnsi="Calibri" w:cs="Calibri"/>
          <w:bCs/>
          <w:sz w:val="22"/>
          <w:szCs w:val="22"/>
        </w:rPr>
        <w:t>The annual budgets and work</w:t>
      </w:r>
      <w:r w:rsidR="00D03094">
        <w:rPr>
          <w:rFonts w:ascii="Calibri" w:eastAsia="Times New Roman" w:hAnsi="Calibri" w:cs="Calibri"/>
          <w:bCs/>
          <w:sz w:val="22"/>
          <w:szCs w:val="22"/>
        </w:rPr>
        <w:t xml:space="preserve"> </w:t>
      </w:r>
      <w:r w:rsidRPr="002E1A3F">
        <w:rPr>
          <w:rFonts w:ascii="Calibri" w:eastAsia="Times New Roman" w:hAnsi="Calibri" w:cs="Calibri"/>
          <w:bCs/>
          <w:sz w:val="22"/>
          <w:szCs w:val="22"/>
        </w:rPr>
        <w:t>plans will be approved by the relevant authority in each host institution (e.g.</w:t>
      </w:r>
      <w:r w:rsidR="00D03094">
        <w:rPr>
          <w:rFonts w:ascii="Calibri" w:eastAsia="Times New Roman" w:hAnsi="Calibri" w:cs="Calibri"/>
          <w:bCs/>
          <w:sz w:val="22"/>
          <w:szCs w:val="22"/>
        </w:rPr>
        <w:t>,</w:t>
      </w:r>
      <w:r w:rsidRPr="002E1A3F">
        <w:rPr>
          <w:rFonts w:ascii="Calibri" w:eastAsia="Times New Roman" w:hAnsi="Calibri" w:cs="Calibri"/>
          <w:bCs/>
          <w:sz w:val="22"/>
          <w:szCs w:val="22"/>
        </w:rPr>
        <w:t xml:space="preserve"> Budget committee, University Council) no later than November 30 of the preceding year. The cash budget will include the figures for the year and will be analyzed quarterly. The cash budget for each quarter will reflect the detailed </w:t>
      </w:r>
      <w:r w:rsidRPr="002E1A3F">
        <w:rPr>
          <w:rFonts w:ascii="Calibri" w:eastAsia="Batang" w:hAnsi="Calibri" w:cs="Times New Roman"/>
          <w:color w:val="auto"/>
          <w:sz w:val="22"/>
          <w:szCs w:val="22"/>
          <w:lang w:eastAsia="ko-KR"/>
        </w:rPr>
        <w:t>specifications</w:t>
      </w:r>
      <w:r w:rsidRPr="002E1A3F">
        <w:rPr>
          <w:rFonts w:ascii="Calibri" w:eastAsia="Times New Roman" w:hAnsi="Calibri" w:cs="Calibri"/>
          <w:bCs/>
          <w:sz w:val="22"/>
          <w:szCs w:val="22"/>
        </w:rPr>
        <w:t xml:space="preserve"> for project activities, schedules (including procurement plan), and expenditure on the project activities scheduled respectively for the quarter. All annual cash budgets will be sent to the Task Team Leader at least two months before the beginning of the calendar year. Accounting information systems will be upgraded or acquired to include a budget monitoring module to enable management identification and follow-up as well as action on budget to actual variances which will be reported in the </w:t>
      </w:r>
      <w:r w:rsidR="00FC4434">
        <w:rPr>
          <w:rFonts w:ascii="Calibri" w:eastAsia="Times New Roman" w:hAnsi="Calibri" w:cs="Calibri"/>
          <w:bCs/>
          <w:sz w:val="22"/>
          <w:szCs w:val="22"/>
        </w:rPr>
        <w:t>semi-annual</w:t>
      </w:r>
      <w:r w:rsidRPr="002E1A3F">
        <w:rPr>
          <w:rFonts w:ascii="Calibri" w:eastAsia="Times New Roman" w:hAnsi="Calibri" w:cs="Calibri"/>
          <w:bCs/>
          <w:sz w:val="22"/>
          <w:szCs w:val="22"/>
        </w:rPr>
        <w:t xml:space="preserve"> IFRs.</w:t>
      </w:r>
    </w:p>
    <w:p w14:paraId="47CEA7ED" w14:textId="77777777" w:rsidR="00250D6A" w:rsidRPr="00250D6A" w:rsidRDefault="00B00100" w:rsidP="006C70A5">
      <w:pPr>
        <w:widowControl/>
        <w:numPr>
          <w:ilvl w:val="0"/>
          <w:numId w:val="30"/>
        </w:numPr>
        <w:autoSpaceDE/>
        <w:autoSpaceDN/>
        <w:adjustRightInd/>
        <w:spacing w:after="240"/>
        <w:ind w:left="270" w:right="720" w:firstLine="0"/>
        <w:jc w:val="both"/>
        <w:rPr>
          <w:rFonts w:asciiTheme="minorHAnsi" w:hAnsiTheme="minorHAnsi" w:cstheme="minorHAnsi"/>
          <w:sz w:val="22"/>
          <w:szCs w:val="22"/>
        </w:rPr>
      </w:pPr>
      <w:r w:rsidRPr="00B81291">
        <w:rPr>
          <w:rFonts w:asciiTheme="minorHAnsi" w:hAnsiTheme="minorHAnsi" w:cstheme="minorHAnsi"/>
          <w:b/>
          <w:i/>
          <w:color w:val="auto"/>
          <w:sz w:val="22"/>
          <w:szCs w:val="22"/>
        </w:rPr>
        <w:t>In Benin</w:t>
      </w:r>
      <w:r w:rsidRPr="00250D6A">
        <w:rPr>
          <w:rFonts w:asciiTheme="minorHAnsi" w:hAnsiTheme="minorHAnsi" w:cstheme="minorHAnsi"/>
          <w:i/>
          <w:color w:val="auto"/>
          <w:sz w:val="22"/>
          <w:szCs w:val="22"/>
        </w:rPr>
        <w:t>:</w:t>
      </w:r>
      <w:r>
        <w:rPr>
          <w:rFonts w:asciiTheme="minorHAnsi" w:hAnsiTheme="minorHAnsi" w:cstheme="minorHAnsi"/>
          <w:i/>
          <w:color w:val="auto"/>
          <w:sz w:val="22"/>
          <w:szCs w:val="22"/>
        </w:rPr>
        <w:t xml:space="preserve"> </w:t>
      </w:r>
      <w:r w:rsidR="00DE4A61">
        <w:rPr>
          <w:rFonts w:asciiTheme="minorHAnsi" w:hAnsiTheme="minorHAnsi" w:cstheme="minorHAnsi"/>
          <w:sz w:val="22"/>
          <w:szCs w:val="22"/>
        </w:rPr>
        <w:t>CEA-SMIA</w:t>
      </w:r>
      <w:r w:rsidRPr="00250D6A">
        <w:rPr>
          <w:rFonts w:asciiTheme="minorHAnsi" w:hAnsiTheme="minorHAnsi" w:cstheme="minorHAnsi"/>
          <w:sz w:val="22"/>
          <w:szCs w:val="22"/>
        </w:rPr>
        <w:t>, C2EA, and CoE-</w:t>
      </w:r>
      <w:r w:rsidR="00A969F5" w:rsidRPr="00250D6A">
        <w:rPr>
          <w:rFonts w:asciiTheme="minorHAnsi" w:hAnsiTheme="minorHAnsi" w:cstheme="minorHAnsi"/>
          <w:sz w:val="22"/>
          <w:szCs w:val="22"/>
        </w:rPr>
        <w:t>E</w:t>
      </w:r>
      <w:r w:rsidR="00A969F5">
        <w:rPr>
          <w:rFonts w:asciiTheme="minorHAnsi" w:hAnsiTheme="minorHAnsi" w:cstheme="minorHAnsi"/>
          <w:sz w:val="22"/>
          <w:szCs w:val="22"/>
        </w:rPr>
        <w:t>IE</w:t>
      </w:r>
      <w:r w:rsidR="00A969F5" w:rsidRPr="00250D6A">
        <w:rPr>
          <w:rFonts w:asciiTheme="minorHAnsi" w:hAnsiTheme="minorHAnsi" w:cstheme="minorHAnsi"/>
          <w:sz w:val="22"/>
          <w:szCs w:val="22"/>
        </w:rPr>
        <w:t xml:space="preserve"> </w:t>
      </w:r>
      <w:r w:rsidRPr="00250D6A">
        <w:rPr>
          <w:rFonts w:asciiTheme="minorHAnsi" w:hAnsiTheme="minorHAnsi" w:cstheme="minorHAnsi"/>
          <w:sz w:val="22"/>
          <w:szCs w:val="22"/>
        </w:rPr>
        <w:t xml:space="preserve">will prepare annual budgets based on their work plans, submit them to their Audit Committee for review and approval and thereafter to the World Bank for no-objection not later than November 30 of each year preceding the year the work plan should be implemented. The budgets will follow budgeting guidelines in the FM Manuals and project implementation manuals applicable to each </w:t>
      </w:r>
      <w:r w:rsidR="00947FB4">
        <w:rPr>
          <w:rFonts w:asciiTheme="minorHAnsi" w:hAnsiTheme="minorHAnsi" w:cstheme="minorHAnsi"/>
          <w:sz w:val="22"/>
          <w:szCs w:val="22"/>
        </w:rPr>
        <w:t>implementation team</w:t>
      </w:r>
      <w:r w:rsidRPr="00250D6A">
        <w:rPr>
          <w:rFonts w:asciiTheme="minorHAnsi" w:hAnsiTheme="minorHAnsi" w:cstheme="minorHAnsi"/>
          <w:sz w:val="22"/>
          <w:szCs w:val="22"/>
        </w:rPr>
        <w:t>.</w:t>
      </w:r>
    </w:p>
    <w:p w14:paraId="5E0D014B" w14:textId="77777777" w:rsidR="00250D6A" w:rsidRPr="00947FB4" w:rsidRDefault="00B00100" w:rsidP="006C70A5">
      <w:pPr>
        <w:widowControl/>
        <w:numPr>
          <w:ilvl w:val="0"/>
          <w:numId w:val="30"/>
        </w:numPr>
        <w:autoSpaceDE/>
        <w:autoSpaceDN/>
        <w:adjustRightInd/>
        <w:spacing w:after="240"/>
        <w:ind w:left="270" w:right="720" w:firstLine="0"/>
        <w:jc w:val="both"/>
        <w:rPr>
          <w:rFonts w:asciiTheme="minorHAnsi" w:hAnsiTheme="minorHAnsi" w:cstheme="minorHAnsi"/>
          <w:sz w:val="22"/>
          <w:szCs w:val="22"/>
        </w:rPr>
      </w:pPr>
      <w:r w:rsidRPr="00B81291">
        <w:rPr>
          <w:rFonts w:asciiTheme="minorHAnsi" w:hAnsiTheme="minorHAnsi" w:cstheme="minorHAnsi"/>
          <w:b/>
          <w:i/>
          <w:color w:val="auto"/>
          <w:sz w:val="22"/>
          <w:szCs w:val="22"/>
        </w:rPr>
        <w:t>In Niger:</w:t>
      </w:r>
      <w:r w:rsidRPr="00B81291">
        <w:rPr>
          <w:rFonts w:asciiTheme="minorHAnsi" w:hAnsiTheme="minorHAnsi" w:cstheme="minorHAnsi"/>
          <w:b/>
          <w:color w:val="auto"/>
          <w:sz w:val="22"/>
          <w:szCs w:val="22"/>
        </w:rPr>
        <w:t xml:space="preserve"> </w:t>
      </w:r>
      <w:r w:rsidRPr="00947FB4">
        <w:rPr>
          <w:rFonts w:asciiTheme="minorHAnsi" w:hAnsiTheme="minorHAnsi" w:cstheme="minorHAnsi"/>
          <w:sz w:val="22"/>
          <w:szCs w:val="22"/>
        </w:rPr>
        <w:t>The annual budgets and work</w:t>
      </w:r>
      <w:r w:rsidR="003C1A06">
        <w:rPr>
          <w:rFonts w:asciiTheme="minorHAnsi" w:hAnsiTheme="minorHAnsi" w:cstheme="minorHAnsi"/>
          <w:bCs/>
          <w:sz w:val="22"/>
          <w:szCs w:val="22"/>
        </w:rPr>
        <w:t xml:space="preserve"> </w:t>
      </w:r>
      <w:r w:rsidRPr="00947FB4">
        <w:rPr>
          <w:rFonts w:asciiTheme="minorHAnsi" w:hAnsiTheme="minorHAnsi" w:cstheme="minorHAnsi"/>
          <w:sz w:val="22"/>
          <w:szCs w:val="22"/>
        </w:rPr>
        <w:t xml:space="preserve">plans process will be clearly defined in the respective FM procedures manuals, and the budgets will be reviewed and approved by the </w:t>
      </w:r>
      <w:r w:rsidR="00C80606">
        <w:rPr>
          <w:rFonts w:asciiTheme="minorHAnsi" w:hAnsiTheme="minorHAnsi" w:cstheme="minorHAnsi"/>
          <w:sz w:val="22"/>
          <w:szCs w:val="22"/>
        </w:rPr>
        <w:t>NSC</w:t>
      </w:r>
      <w:r w:rsidRPr="00947FB4">
        <w:rPr>
          <w:rFonts w:asciiTheme="minorHAnsi" w:hAnsiTheme="minorHAnsi" w:cstheme="minorHAnsi"/>
          <w:sz w:val="22"/>
          <w:szCs w:val="22"/>
        </w:rPr>
        <w:t xml:space="preserve"> created for </w:t>
      </w:r>
      <w:r w:rsidR="00C80606">
        <w:rPr>
          <w:rFonts w:asciiTheme="minorHAnsi" w:hAnsiTheme="minorHAnsi" w:cstheme="minorHAnsi"/>
          <w:sz w:val="22"/>
          <w:szCs w:val="22"/>
        </w:rPr>
        <w:t xml:space="preserve">the Second </w:t>
      </w:r>
      <w:r w:rsidRPr="00947FB4">
        <w:rPr>
          <w:rFonts w:asciiTheme="minorHAnsi" w:hAnsiTheme="minorHAnsi" w:cstheme="minorHAnsi"/>
          <w:sz w:val="22"/>
          <w:szCs w:val="22"/>
        </w:rPr>
        <w:t>ACE Impact Project in Niger, before the beginning of the year i.e. not later than November 30 each year.</w:t>
      </w:r>
      <w:r w:rsidRPr="00947FB4">
        <w:rPr>
          <w:sz w:val="22"/>
          <w:szCs w:val="22"/>
        </w:rPr>
        <w:t xml:space="preserve"> </w:t>
      </w:r>
      <w:r w:rsidRPr="00947FB4">
        <w:rPr>
          <w:rFonts w:asciiTheme="minorHAnsi" w:hAnsiTheme="minorHAnsi" w:cstheme="minorHAnsi"/>
          <w:sz w:val="22"/>
          <w:szCs w:val="22"/>
        </w:rPr>
        <w:t>The approved annual budgets of the project should be</w:t>
      </w:r>
      <w:r w:rsidR="00C80606">
        <w:rPr>
          <w:rFonts w:asciiTheme="minorHAnsi" w:hAnsiTheme="minorHAnsi" w:cstheme="minorHAnsi"/>
          <w:sz w:val="22"/>
          <w:szCs w:val="22"/>
        </w:rPr>
        <w:t xml:space="preserve">, at a minimum, monitored on a </w:t>
      </w:r>
      <w:r w:rsidRPr="00947FB4">
        <w:rPr>
          <w:rFonts w:asciiTheme="minorHAnsi" w:hAnsiTheme="minorHAnsi" w:cstheme="minorHAnsi"/>
          <w:sz w:val="22"/>
          <w:szCs w:val="22"/>
        </w:rPr>
        <w:t xml:space="preserve">quarterly </w:t>
      </w:r>
      <w:r w:rsidR="00C80606">
        <w:rPr>
          <w:rFonts w:asciiTheme="minorHAnsi" w:hAnsiTheme="minorHAnsi" w:cstheme="minorHAnsi"/>
          <w:sz w:val="22"/>
          <w:szCs w:val="22"/>
        </w:rPr>
        <w:t xml:space="preserve">basis </w:t>
      </w:r>
      <w:r w:rsidRPr="00947FB4">
        <w:rPr>
          <w:rFonts w:asciiTheme="minorHAnsi" w:hAnsiTheme="minorHAnsi" w:cstheme="minorHAnsi"/>
          <w:sz w:val="22"/>
          <w:szCs w:val="22"/>
        </w:rPr>
        <w:t>against actual expenditure by CEA/CERPP, CEA/IEA-MS4SSA) and EMIG. The budgets variances will be adequately explained and justified through the semi-annual IFRs to be prepared and submitted by CERPP, MS4SSA and EMIG separately for their respective activities.</w:t>
      </w:r>
    </w:p>
    <w:p w14:paraId="33F77E0D" w14:textId="77777777" w:rsidR="00905854" w:rsidRPr="00B81291" w:rsidRDefault="00B00100" w:rsidP="006C70A5">
      <w:pPr>
        <w:widowControl/>
        <w:numPr>
          <w:ilvl w:val="0"/>
          <w:numId w:val="30"/>
        </w:numPr>
        <w:autoSpaceDE/>
        <w:autoSpaceDN/>
        <w:adjustRightInd/>
        <w:spacing w:after="240"/>
        <w:ind w:left="270" w:right="720" w:firstLine="0"/>
        <w:jc w:val="both"/>
        <w:rPr>
          <w:rFonts w:asciiTheme="minorHAnsi" w:hAnsiTheme="minorHAnsi" w:cstheme="minorHAnsi"/>
          <w:sz w:val="22"/>
          <w:szCs w:val="22"/>
        </w:rPr>
      </w:pPr>
      <w:r w:rsidRPr="00B81291">
        <w:rPr>
          <w:rFonts w:asciiTheme="minorHAnsi" w:hAnsiTheme="minorHAnsi" w:cstheme="minorHAnsi"/>
          <w:b/>
          <w:i/>
          <w:sz w:val="22"/>
          <w:szCs w:val="22"/>
        </w:rPr>
        <w:t>In Nigeria</w:t>
      </w:r>
      <w:r w:rsidRPr="00B81291">
        <w:rPr>
          <w:rFonts w:asciiTheme="minorHAnsi" w:hAnsiTheme="minorHAnsi" w:cstheme="minorHAnsi"/>
          <w:b/>
          <w:sz w:val="22"/>
          <w:szCs w:val="22"/>
        </w:rPr>
        <w:t>:</w:t>
      </w:r>
      <w:r>
        <w:rPr>
          <w:rFonts w:asciiTheme="minorHAnsi" w:hAnsiTheme="minorHAnsi" w:cstheme="minorHAnsi"/>
          <w:sz w:val="22"/>
          <w:szCs w:val="22"/>
        </w:rPr>
        <w:t xml:space="preserve"> </w:t>
      </w:r>
      <w:r w:rsidR="00590AC5" w:rsidRPr="00590AC5">
        <w:rPr>
          <w:rFonts w:asciiTheme="minorHAnsi" w:hAnsiTheme="minorHAnsi" w:cstheme="minorHAnsi"/>
          <w:sz w:val="22"/>
          <w:szCs w:val="22"/>
        </w:rPr>
        <w:t xml:space="preserve">The Project Accountants with guidance from the </w:t>
      </w:r>
      <w:r w:rsidR="003C1A06">
        <w:rPr>
          <w:rFonts w:asciiTheme="minorHAnsi" w:hAnsiTheme="minorHAnsi" w:cstheme="minorHAnsi"/>
          <w:sz w:val="22"/>
          <w:szCs w:val="22"/>
        </w:rPr>
        <w:t>c</w:t>
      </w:r>
      <w:r w:rsidR="00590AC5" w:rsidRPr="00590AC5">
        <w:rPr>
          <w:rFonts w:asciiTheme="minorHAnsi" w:hAnsiTheme="minorHAnsi" w:cstheme="minorHAnsi"/>
          <w:sz w:val="22"/>
          <w:szCs w:val="22"/>
        </w:rPr>
        <w:t xml:space="preserve">enter </w:t>
      </w:r>
      <w:r w:rsidR="003C1A06">
        <w:rPr>
          <w:rFonts w:asciiTheme="minorHAnsi" w:hAnsiTheme="minorHAnsi" w:cstheme="minorHAnsi"/>
          <w:sz w:val="22"/>
          <w:szCs w:val="22"/>
        </w:rPr>
        <w:t>l</w:t>
      </w:r>
      <w:r w:rsidR="00590AC5" w:rsidRPr="00590AC5">
        <w:rPr>
          <w:rFonts w:asciiTheme="minorHAnsi" w:hAnsiTheme="minorHAnsi" w:cstheme="minorHAnsi"/>
          <w:sz w:val="22"/>
          <w:szCs w:val="22"/>
        </w:rPr>
        <w:t>eaders will be taking the lead in preparing the centers’ budgets. On an annual basis, the Project Accountants in consultation with key members of the centers will prepare the budget for the fiscal year based on the approved work program. The planning and budget arrangements are considered adequate. The Renewal centers have been submitting their work plan</w:t>
      </w:r>
      <w:r w:rsidR="00C80606">
        <w:rPr>
          <w:rFonts w:asciiTheme="minorHAnsi" w:hAnsiTheme="minorHAnsi" w:cstheme="minorHAnsi"/>
          <w:sz w:val="22"/>
          <w:szCs w:val="22"/>
        </w:rPr>
        <w:t>s</w:t>
      </w:r>
      <w:r w:rsidR="00590AC5" w:rsidRPr="00590AC5">
        <w:rPr>
          <w:rFonts w:asciiTheme="minorHAnsi" w:hAnsiTheme="minorHAnsi" w:cstheme="minorHAnsi"/>
          <w:sz w:val="22"/>
          <w:szCs w:val="22"/>
        </w:rPr>
        <w:t xml:space="preserve"> as required under ACE I and will continue to do so under the Second </w:t>
      </w:r>
      <w:r w:rsidR="00BB4A89">
        <w:rPr>
          <w:rFonts w:asciiTheme="minorHAnsi" w:hAnsiTheme="minorHAnsi" w:cstheme="minorHAnsi"/>
          <w:sz w:val="22"/>
          <w:szCs w:val="22"/>
        </w:rPr>
        <w:t>ACE Impact Project</w:t>
      </w:r>
      <w:r w:rsidR="00590AC5" w:rsidRPr="00590AC5">
        <w:rPr>
          <w:rFonts w:asciiTheme="minorHAnsi" w:hAnsiTheme="minorHAnsi" w:cstheme="minorHAnsi"/>
          <w:sz w:val="22"/>
          <w:szCs w:val="22"/>
        </w:rPr>
        <w:t>. The New centers will follow a similar process. The project accountants will prepare the budget/disbursement plan from the approved work plan</w:t>
      </w:r>
      <w:r w:rsidR="003C1A06">
        <w:rPr>
          <w:rFonts w:asciiTheme="minorHAnsi" w:hAnsiTheme="minorHAnsi" w:cstheme="minorHAnsi"/>
          <w:sz w:val="22"/>
          <w:szCs w:val="22"/>
        </w:rPr>
        <w:t>s</w:t>
      </w:r>
      <w:r w:rsidR="00590AC5" w:rsidRPr="00590AC5">
        <w:rPr>
          <w:rFonts w:asciiTheme="minorHAnsi" w:hAnsiTheme="minorHAnsi" w:cstheme="minorHAnsi"/>
          <w:sz w:val="22"/>
          <w:szCs w:val="22"/>
        </w:rPr>
        <w:t xml:space="preserve"> under the guidance of the </w:t>
      </w:r>
      <w:r w:rsidR="003C1A06">
        <w:rPr>
          <w:rFonts w:asciiTheme="minorHAnsi" w:hAnsiTheme="minorHAnsi" w:cstheme="minorHAnsi"/>
          <w:sz w:val="22"/>
          <w:szCs w:val="22"/>
        </w:rPr>
        <w:t>c</w:t>
      </w:r>
      <w:r w:rsidR="00590AC5" w:rsidRPr="00590AC5">
        <w:rPr>
          <w:rFonts w:asciiTheme="minorHAnsi" w:hAnsiTheme="minorHAnsi" w:cstheme="minorHAnsi"/>
          <w:sz w:val="22"/>
          <w:szCs w:val="22"/>
        </w:rPr>
        <w:t xml:space="preserve">enter leaders. Detailed procedures for planning and budgeting are documented in the Financial </w:t>
      </w:r>
      <w:r w:rsidR="00CB79B4">
        <w:rPr>
          <w:rFonts w:asciiTheme="minorHAnsi" w:hAnsiTheme="minorHAnsi" w:cstheme="minorHAnsi"/>
          <w:sz w:val="22"/>
          <w:szCs w:val="22"/>
        </w:rPr>
        <w:t>Management</w:t>
      </w:r>
      <w:r w:rsidR="00CB79B4" w:rsidRPr="00590AC5">
        <w:rPr>
          <w:rFonts w:asciiTheme="minorHAnsi" w:hAnsiTheme="minorHAnsi" w:cstheme="minorHAnsi"/>
          <w:sz w:val="22"/>
          <w:szCs w:val="22"/>
        </w:rPr>
        <w:t xml:space="preserve"> </w:t>
      </w:r>
      <w:r w:rsidR="00590AC5" w:rsidRPr="00590AC5">
        <w:rPr>
          <w:rFonts w:asciiTheme="minorHAnsi" w:hAnsiTheme="minorHAnsi" w:cstheme="minorHAnsi"/>
          <w:sz w:val="22"/>
          <w:szCs w:val="22"/>
        </w:rPr>
        <w:lastRenderedPageBreak/>
        <w:t>Manual. The annual budgets and work plans will be approved by the relevant authority in each host institution (e.g., Budget committee, University Council) no later than November 30 of the preceding year.</w:t>
      </w:r>
    </w:p>
    <w:p w14:paraId="38AB9077" w14:textId="77777777" w:rsidR="00905854" w:rsidRPr="007A6F32" w:rsidRDefault="00B00100" w:rsidP="006C70A5">
      <w:pPr>
        <w:widowControl/>
        <w:numPr>
          <w:ilvl w:val="0"/>
          <w:numId w:val="30"/>
        </w:numPr>
        <w:autoSpaceDE/>
        <w:autoSpaceDN/>
        <w:adjustRightInd/>
        <w:spacing w:after="240"/>
        <w:ind w:left="270" w:right="720" w:firstLine="0"/>
        <w:jc w:val="both"/>
        <w:rPr>
          <w:rFonts w:asciiTheme="minorHAnsi" w:hAnsiTheme="minorHAnsi" w:cstheme="minorHAnsi"/>
          <w:sz w:val="22"/>
          <w:szCs w:val="22"/>
        </w:rPr>
      </w:pPr>
      <w:r w:rsidRPr="007A6F32">
        <w:rPr>
          <w:rFonts w:asciiTheme="minorHAnsi" w:hAnsiTheme="minorHAnsi" w:cstheme="minorHAnsi"/>
          <w:b/>
          <w:i/>
          <w:color w:val="auto"/>
          <w:sz w:val="22"/>
          <w:szCs w:val="22"/>
        </w:rPr>
        <w:t>In Togo</w:t>
      </w:r>
      <w:r w:rsidRPr="007A6F32">
        <w:rPr>
          <w:rFonts w:asciiTheme="minorHAnsi" w:hAnsiTheme="minorHAnsi" w:cstheme="minorHAnsi"/>
          <w:i/>
          <w:color w:val="auto"/>
          <w:sz w:val="22"/>
          <w:szCs w:val="22"/>
        </w:rPr>
        <w:t>:</w:t>
      </w:r>
      <w:r w:rsidRPr="007A6F32">
        <w:rPr>
          <w:rFonts w:asciiTheme="minorHAnsi" w:hAnsiTheme="minorHAnsi" w:cstheme="minorHAnsi"/>
          <w:b/>
          <w:color w:val="auto"/>
          <w:sz w:val="22"/>
          <w:szCs w:val="22"/>
        </w:rPr>
        <w:t xml:space="preserve"> </w:t>
      </w:r>
      <w:r w:rsidRPr="007A6F32">
        <w:rPr>
          <w:rFonts w:asciiTheme="minorHAnsi" w:hAnsiTheme="minorHAnsi" w:cstheme="minorHAnsi"/>
          <w:sz w:val="22"/>
          <w:szCs w:val="22"/>
        </w:rPr>
        <w:t>CERSA, CERME, and the ACE-DOUNEDON will prepare annual budgets based on their work</w:t>
      </w:r>
      <w:r w:rsidR="003C1A06">
        <w:rPr>
          <w:rFonts w:asciiTheme="minorHAnsi" w:hAnsiTheme="minorHAnsi" w:cstheme="minorHAnsi"/>
          <w:sz w:val="22"/>
          <w:szCs w:val="22"/>
        </w:rPr>
        <w:t xml:space="preserve"> </w:t>
      </w:r>
      <w:r w:rsidRPr="007A6F32">
        <w:rPr>
          <w:rFonts w:asciiTheme="minorHAnsi" w:hAnsiTheme="minorHAnsi" w:cstheme="minorHAnsi"/>
          <w:sz w:val="22"/>
          <w:szCs w:val="22"/>
        </w:rPr>
        <w:t xml:space="preserve">plans and thereafter submit them to the World Bank for no-objection no later than November 30 of each year preceding the year the work plan should be implemented. The budgets will follow budgeting guidelines in the FM Manuals and </w:t>
      </w:r>
      <w:r w:rsidR="00505CE1">
        <w:rPr>
          <w:rFonts w:asciiTheme="minorHAnsi" w:hAnsiTheme="minorHAnsi" w:cstheme="minorHAnsi"/>
          <w:sz w:val="22"/>
          <w:szCs w:val="22"/>
        </w:rPr>
        <w:t>POM</w:t>
      </w:r>
      <w:r w:rsidRPr="007A6F32">
        <w:rPr>
          <w:rFonts w:asciiTheme="minorHAnsi" w:hAnsiTheme="minorHAnsi" w:cstheme="minorHAnsi"/>
          <w:sz w:val="22"/>
          <w:szCs w:val="22"/>
        </w:rPr>
        <w:t xml:space="preserve"> applicable to each </w:t>
      </w:r>
      <w:r w:rsidR="00DD5A43">
        <w:rPr>
          <w:rFonts w:asciiTheme="minorHAnsi" w:hAnsiTheme="minorHAnsi" w:cstheme="minorHAnsi"/>
          <w:sz w:val="22"/>
          <w:szCs w:val="22"/>
        </w:rPr>
        <w:t>implementation team</w:t>
      </w:r>
      <w:r w:rsidRPr="007A6F32">
        <w:rPr>
          <w:rFonts w:asciiTheme="minorHAnsi" w:hAnsiTheme="minorHAnsi" w:cstheme="minorHAnsi"/>
          <w:sz w:val="22"/>
          <w:szCs w:val="22"/>
        </w:rPr>
        <w:t>.</w:t>
      </w:r>
    </w:p>
    <w:p w14:paraId="28D1F39B" w14:textId="77777777" w:rsidR="002E1A3F" w:rsidRDefault="00B00100" w:rsidP="006C70A5">
      <w:pPr>
        <w:spacing w:after="240"/>
        <w:ind w:left="270"/>
        <w:contextualSpacing/>
        <w:jc w:val="both"/>
        <w:rPr>
          <w:rFonts w:ascii="Calibri" w:eastAsia="Times New Roman" w:hAnsi="Calibri" w:cs="Calibri"/>
          <w:b/>
          <w:i/>
          <w:color w:val="0070C0"/>
          <w:sz w:val="22"/>
          <w:szCs w:val="22"/>
          <w:lang w:eastAsia="ko-KR"/>
        </w:rPr>
      </w:pPr>
      <w:r w:rsidRPr="002E1A3F">
        <w:rPr>
          <w:rFonts w:ascii="Calibri" w:eastAsia="Times New Roman" w:hAnsi="Calibri" w:cs="Calibri"/>
          <w:b/>
          <w:i/>
          <w:color w:val="0070C0"/>
          <w:sz w:val="22"/>
          <w:szCs w:val="22"/>
          <w:lang w:eastAsia="ko-KR"/>
        </w:rPr>
        <w:t>Accounting Arrangements</w:t>
      </w:r>
    </w:p>
    <w:p w14:paraId="197B5B00" w14:textId="77777777" w:rsidR="00990694" w:rsidRPr="002E1A3F" w:rsidRDefault="00990694" w:rsidP="009809D3">
      <w:pPr>
        <w:spacing w:after="240"/>
        <w:ind w:left="720"/>
        <w:contextualSpacing/>
        <w:jc w:val="both"/>
        <w:rPr>
          <w:rFonts w:ascii="Calibri" w:eastAsia="Calibri" w:hAnsi="Calibri" w:cs="Times New Roman"/>
          <w:b/>
          <w:i/>
          <w:color w:val="0070C0"/>
          <w:sz w:val="22"/>
          <w:szCs w:val="22"/>
          <w:lang w:eastAsia="ko-KR"/>
        </w:rPr>
      </w:pPr>
    </w:p>
    <w:p w14:paraId="2C5ED2BD" w14:textId="77777777" w:rsidR="00FC48CE" w:rsidRPr="00C36914" w:rsidRDefault="00B00100" w:rsidP="006C70A5">
      <w:pPr>
        <w:widowControl/>
        <w:numPr>
          <w:ilvl w:val="0"/>
          <w:numId w:val="36"/>
        </w:numPr>
        <w:autoSpaceDE/>
        <w:autoSpaceDN/>
        <w:adjustRightInd/>
        <w:spacing w:after="120"/>
        <w:ind w:left="63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NUC</w:t>
      </w:r>
    </w:p>
    <w:p w14:paraId="4CC757EE" w14:textId="77777777" w:rsidR="007A5D19" w:rsidRPr="00B81291" w:rsidRDefault="00B00100" w:rsidP="00A43521">
      <w:pPr>
        <w:widowControl/>
        <w:numPr>
          <w:ilvl w:val="0"/>
          <w:numId w:val="30"/>
        </w:numPr>
        <w:autoSpaceDE/>
        <w:autoSpaceDN/>
        <w:adjustRightInd/>
        <w:spacing w:after="240"/>
        <w:ind w:left="270" w:right="720" w:firstLine="0"/>
        <w:jc w:val="both"/>
        <w:rPr>
          <w:rFonts w:asciiTheme="minorHAnsi" w:hAnsiTheme="minorHAnsi" w:cstheme="minorHAnsi"/>
          <w:color w:val="auto"/>
          <w:sz w:val="22"/>
          <w:szCs w:val="22"/>
        </w:rPr>
      </w:pPr>
      <w:r w:rsidRPr="00B81291">
        <w:rPr>
          <w:rFonts w:asciiTheme="minorHAnsi" w:hAnsiTheme="minorHAnsi" w:cstheme="minorHAnsi"/>
          <w:color w:val="auto"/>
          <w:sz w:val="22"/>
          <w:szCs w:val="22"/>
        </w:rPr>
        <w:t>IDA funds will be accounted for by the Project on a cash basis. This will be augmented with appropriate records and procedures to track commitments and to safeguard assets. The chart of accounts should be prepared to reflect various project components</w:t>
      </w:r>
      <w:r w:rsidR="00AF20C5" w:rsidRPr="00685ED3">
        <w:rPr>
          <w:rFonts w:asciiTheme="minorHAnsi" w:hAnsiTheme="minorHAnsi" w:cstheme="minorHAnsi"/>
          <w:color w:val="auto"/>
          <w:sz w:val="22"/>
          <w:szCs w:val="22"/>
        </w:rPr>
        <w:t>,</w:t>
      </w:r>
      <w:r w:rsidRPr="00B81291">
        <w:rPr>
          <w:rFonts w:asciiTheme="minorHAnsi" w:hAnsiTheme="minorHAnsi" w:cstheme="minorHAnsi"/>
          <w:color w:val="auto"/>
          <w:sz w:val="22"/>
          <w:szCs w:val="22"/>
        </w:rPr>
        <w:t xml:space="preserve"> to facilitate the preparation of relevant monthly, quarterly, semester and annual financial statements. Annual financial statements will be prepared in accordance with relevant International Public</w:t>
      </w:r>
      <w:r w:rsidR="00C32084">
        <w:rPr>
          <w:rFonts w:asciiTheme="minorHAnsi" w:hAnsiTheme="minorHAnsi" w:cstheme="minorHAnsi"/>
          <w:color w:val="auto"/>
          <w:sz w:val="22"/>
          <w:szCs w:val="22"/>
        </w:rPr>
        <w:t xml:space="preserve"> </w:t>
      </w:r>
      <w:r w:rsidRPr="00B81291">
        <w:rPr>
          <w:rFonts w:asciiTheme="minorHAnsi" w:hAnsiTheme="minorHAnsi" w:cstheme="minorHAnsi"/>
          <w:color w:val="auto"/>
          <w:sz w:val="22"/>
          <w:szCs w:val="22"/>
        </w:rPr>
        <w:t>Sector Accounting Standards (IPSAS) using a computerized accounting system.</w:t>
      </w:r>
      <w:r w:rsidRPr="00685ED3">
        <w:rPr>
          <w:rFonts w:asciiTheme="minorHAnsi" w:hAnsiTheme="minorHAnsi" w:cstheme="minorHAnsi"/>
          <w:color w:val="auto"/>
          <w:sz w:val="22"/>
          <w:szCs w:val="22"/>
        </w:rPr>
        <w:t xml:space="preserve"> </w:t>
      </w:r>
      <w:r w:rsidRPr="00B81291">
        <w:rPr>
          <w:rFonts w:asciiTheme="minorHAnsi" w:hAnsiTheme="minorHAnsi" w:cstheme="minorHAnsi"/>
          <w:color w:val="auto"/>
          <w:sz w:val="22"/>
          <w:szCs w:val="22"/>
        </w:rPr>
        <w:t>The NUC is using SAGE Accounting Software and this software will be upgraded and used to support implementation. In terms of staffing, the project has adequately qualified accounting and internal audit staff who have experience in managing IDA</w:t>
      </w:r>
      <w:r w:rsidR="00C80606">
        <w:rPr>
          <w:rFonts w:asciiTheme="minorHAnsi" w:hAnsiTheme="minorHAnsi" w:cstheme="minorHAnsi"/>
          <w:color w:val="auto"/>
          <w:sz w:val="22"/>
          <w:szCs w:val="22"/>
        </w:rPr>
        <w:t>-funded</w:t>
      </w:r>
      <w:r w:rsidRPr="00B81291">
        <w:rPr>
          <w:rFonts w:asciiTheme="minorHAnsi" w:hAnsiTheme="minorHAnsi" w:cstheme="minorHAnsi"/>
          <w:color w:val="auto"/>
          <w:sz w:val="22"/>
          <w:szCs w:val="22"/>
        </w:rPr>
        <w:t xml:space="preserve"> projects and will be able to handle the fiduciary responsibilities of the project.</w:t>
      </w:r>
    </w:p>
    <w:p w14:paraId="168512F1" w14:textId="77777777" w:rsidR="002E1A3F" w:rsidRPr="002E1A3F" w:rsidRDefault="00B00100" w:rsidP="006C70A5">
      <w:pPr>
        <w:widowControl/>
        <w:numPr>
          <w:ilvl w:val="0"/>
          <w:numId w:val="36"/>
        </w:numPr>
        <w:autoSpaceDE/>
        <w:autoSpaceDN/>
        <w:adjustRightInd/>
        <w:spacing w:after="12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PCU-Gambia</w:t>
      </w:r>
    </w:p>
    <w:p w14:paraId="0A3453FD" w14:textId="77777777" w:rsidR="00D00F72" w:rsidRDefault="00B00100" w:rsidP="00A43521">
      <w:pPr>
        <w:widowControl/>
        <w:numPr>
          <w:ilvl w:val="0"/>
          <w:numId w:val="30"/>
        </w:numPr>
        <w:autoSpaceDE/>
        <w:autoSpaceDN/>
        <w:adjustRightInd/>
        <w:spacing w:after="240"/>
        <w:ind w:left="270" w:right="720" w:firstLine="0"/>
        <w:jc w:val="both"/>
        <w:rPr>
          <w:rFonts w:ascii="Calibri" w:eastAsia="Batang" w:hAnsi="Calibri"/>
          <w:sz w:val="22"/>
          <w:szCs w:val="22"/>
          <w:lang w:eastAsia="ko-KR"/>
        </w:rPr>
      </w:pPr>
      <w:r w:rsidRPr="00E91146">
        <w:rPr>
          <w:rFonts w:ascii="Calibri" w:eastAsia="Batang" w:hAnsi="Calibri"/>
          <w:sz w:val="22"/>
          <w:szCs w:val="22"/>
          <w:lang w:eastAsia="ko-KR"/>
        </w:rPr>
        <w:t>Within the PCU</w:t>
      </w:r>
      <w:r w:rsidR="00703EFF">
        <w:rPr>
          <w:rFonts w:ascii="Calibri" w:eastAsia="Batang" w:hAnsi="Calibri"/>
          <w:sz w:val="22"/>
          <w:szCs w:val="22"/>
          <w:lang w:eastAsia="ko-KR"/>
        </w:rPr>
        <w:t>-Gambia</w:t>
      </w:r>
      <w:r w:rsidRPr="00E91146">
        <w:rPr>
          <w:rFonts w:ascii="Calibri" w:eastAsia="Batang" w:hAnsi="Calibri"/>
          <w:sz w:val="22"/>
          <w:szCs w:val="22"/>
          <w:lang w:eastAsia="ko-KR"/>
        </w:rPr>
        <w:t xml:space="preserve">, the </w:t>
      </w:r>
      <w:r w:rsidR="00703EFF">
        <w:rPr>
          <w:rFonts w:ascii="Calibri" w:eastAsia="Batang" w:hAnsi="Calibri"/>
          <w:sz w:val="22"/>
          <w:szCs w:val="22"/>
          <w:lang w:eastAsia="ko-KR"/>
        </w:rPr>
        <w:t>FM</w:t>
      </w:r>
      <w:r w:rsidRPr="00E91146">
        <w:rPr>
          <w:rFonts w:ascii="Calibri" w:eastAsia="Batang" w:hAnsi="Calibri"/>
          <w:sz w:val="22"/>
          <w:szCs w:val="22"/>
          <w:lang w:eastAsia="ko-KR"/>
        </w:rPr>
        <w:t xml:space="preserve"> officer is responsible for ensuring that all accounting book keeping, recording and preparation of financial reports are done and submitted to stakeholders.</w:t>
      </w:r>
      <w:r>
        <w:rPr>
          <w:rFonts w:ascii="Calibri" w:eastAsia="Batang" w:hAnsi="Calibri"/>
          <w:sz w:val="22"/>
          <w:szCs w:val="22"/>
          <w:lang w:eastAsia="ko-KR"/>
        </w:rPr>
        <w:t xml:space="preserve"> Our assessment notes, that presently</w:t>
      </w:r>
      <w:r w:rsidR="003B5580">
        <w:rPr>
          <w:rFonts w:ascii="Calibri" w:eastAsia="Batang" w:hAnsi="Calibri"/>
          <w:sz w:val="22"/>
          <w:szCs w:val="22"/>
          <w:lang w:eastAsia="ko-KR"/>
        </w:rPr>
        <w:t>,</w:t>
      </w:r>
      <w:r>
        <w:rPr>
          <w:rFonts w:ascii="Calibri" w:eastAsia="Batang" w:hAnsi="Calibri"/>
          <w:sz w:val="22"/>
          <w:szCs w:val="22"/>
          <w:lang w:eastAsia="ko-KR"/>
        </w:rPr>
        <w:t xml:space="preserve"> the FM</w:t>
      </w:r>
      <w:r w:rsidR="00715984">
        <w:rPr>
          <w:rFonts w:ascii="Calibri" w:eastAsia="Batang" w:hAnsi="Calibri"/>
          <w:sz w:val="22"/>
          <w:szCs w:val="22"/>
          <w:lang w:eastAsia="ko-KR"/>
        </w:rPr>
        <w:t xml:space="preserve"> officer</w:t>
      </w:r>
      <w:r>
        <w:rPr>
          <w:rFonts w:ascii="Calibri" w:eastAsia="Batang" w:hAnsi="Calibri"/>
          <w:sz w:val="22"/>
          <w:szCs w:val="22"/>
          <w:lang w:eastAsia="ko-KR"/>
        </w:rPr>
        <w:t xml:space="preserve"> is overloaded with work and </w:t>
      </w:r>
      <w:r w:rsidR="00006AFA">
        <w:rPr>
          <w:rFonts w:ascii="Calibri" w:eastAsia="Batang" w:hAnsi="Calibri"/>
          <w:sz w:val="22"/>
          <w:szCs w:val="22"/>
          <w:lang w:eastAsia="ko-KR"/>
        </w:rPr>
        <w:t>would require additional training</w:t>
      </w:r>
      <w:r w:rsidR="00EC668D">
        <w:rPr>
          <w:rFonts w:ascii="Calibri" w:eastAsia="Batang" w:hAnsi="Calibri"/>
          <w:sz w:val="22"/>
          <w:szCs w:val="22"/>
          <w:lang w:eastAsia="ko-KR"/>
        </w:rPr>
        <w:t xml:space="preserve"> </w:t>
      </w:r>
      <w:r>
        <w:rPr>
          <w:rFonts w:ascii="Calibri" w:eastAsia="Batang" w:hAnsi="Calibri"/>
          <w:sz w:val="22"/>
          <w:szCs w:val="22"/>
          <w:lang w:eastAsia="ko-KR"/>
        </w:rPr>
        <w:t xml:space="preserve">and so it is recommended that prior to implementation, an additional </w:t>
      </w:r>
      <w:r w:rsidR="00864D46">
        <w:rPr>
          <w:rFonts w:ascii="Calibri" w:eastAsia="Batang" w:hAnsi="Calibri"/>
          <w:sz w:val="22"/>
          <w:szCs w:val="22"/>
          <w:lang w:eastAsia="ko-KR"/>
        </w:rPr>
        <w:t>FMS</w:t>
      </w:r>
      <w:r w:rsidR="00FA2C61">
        <w:rPr>
          <w:rFonts w:ascii="Calibri" w:eastAsia="Batang" w:hAnsi="Calibri"/>
          <w:sz w:val="22"/>
          <w:szCs w:val="22"/>
          <w:lang w:eastAsia="ko-KR"/>
        </w:rPr>
        <w:t xml:space="preserve"> </w:t>
      </w:r>
      <w:r>
        <w:rPr>
          <w:rFonts w:ascii="Calibri" w:eastAsia="Batang" w:hAnsi="Calibri"/>
          <w:sz w:val="22"/>
          <w:szCs w:val="22"/>
          <w:lang w:eastAsia="ko-KR"/>
        </w:rPr>
        <w:t xml:space="preserve">shall be recruited, on </w:t>
      </w:r>
      <w:r w:rsidR="00C80606">
        <w:rPr>
          <w:rFonts w:ascii="Calibri" w:eastAsia="Batang" w:hAnsi="Calibri"/>
          <w:sz w:val="22"/>
          <w:szCs w:val="22"/>
          <w:lang w:eastAsia="ko-KR"/>
        </w:rPr>
        <w:t>ToRs</w:t>
      </w:r>
      <w:r>
        <w:rPr>
          <w:rFonts w:ascii="Calibri" w:eastAsia="Batang" w:hAnsi="Calibri"/>
          <w:sz w:val="22"/>
          <w:szCs w:val="22"/>
          <w:lang w:eastAsia="ko-KR"/>
        </w:rPr>
        <w:t xml:space="preserve"> acceptable to the</w:t>
      </w:r>
      <w:r w:rsidR="00C00B64">
        <w:rPr>
          <w:rFonts w:ascii="Calibri" w:eastAsia="Batang" w:hAnsi="Calibri"/>
          <w:sz w:val="22"/>
          <w:szCs w:val="22"/>
          <w:lang w:eastAsia="ko-KR"/>
        </w:rPr>
        <w:t xml:space="preserve"> </w:t>
      </w:r>
      <w:r w:rsidR="00C00B64">
        <w:rPr>
          <w:rFonts w:asciiTheme="minorHAnsi" w:eastAsiaTheme="minorHAnsi" w:hAnsiTheme="minorHAnsi" w:cstheme="minorHAnsi"/>
          <w:color w:val="auto"/>
          <w:sz w:val="22"/>
          <w:szCs w:val="22"/>
        </w:rPr>
        <w:t>World</w:t>
      </w:r>
      <w:r>
        <w:rPr>
          <w:rFonts w:ascii="Calibri" w:eastAsia="Batang" w:hAnsi="Calibri"/>
          <w:sz w:val="22"/>
          <w:szCs w:val="22"/>
          <w:lang w:eastAsia="ko-KR"/>
        </w:rPr>
        <w:t xml:space="preserve"> Bank, to support the accounting department. In terms of accounting standard</w:t>
      </w:r>
      <w:r w:rsidR="0016697F">
        <w:rPr>
          <w:rFonts w:ascii="Calibri" w:eastAsia="Batang" w:hAnsi="Calibri"/>
          <w:sz w:val="22"/>
          <w:szCs w:val="22"/>
          <w:lang w:eastAsia="ko-KR"/>
        </w:rPr>
        <w:t>s</w:t>
      </w:r>
      <w:r>
        <w:rPr>
          <w:rFonts w:ascii="Calibri" w:eastAsia="Batang" w:hAnsi="Calibri"/>
          <w:sz w:val="22"/>
          <w:szCs w:val="22"/>
          <w:lang w:eastAsia="ko-KR"/>
        </w:rPr>
        <w:t xml:space="preserve">, </w:t>
      </w:r>
      <w:r w:rsidR="003C7612">
        <w:rPr>
          <w:rFonts w:ascii="Calibri" w:eastAsia="Batang" w:hAnsi="Calibri"/>
          <w:sz w:val="22"/>
          <w:szCs w:val="22"/>
          <w:lang w:eastAsia="ko-KR"/>
        </w:rPr>
        <w:t>T</w:t>
      </w:r>
      <w:r>
        <w:rPr>
          <w:rFonts w:ascii="Calibri" w:eastAsia="Batang" w:hAnsi="Calibri"/>
          <w:sz w:val="22"/>
          <w:szCs w:val="22"/>
          <w:lang w:eastAsia="ko-KR"/>
        </w:rPr>
        <w:t>he Gambia National standards will be the basis for preparing financial reports. Presently</w:t>
      </w:r>
      <w:r w:rsidR="0016697F">
        <w:rPr>
          <w:rFonts w:ascii="Calibri" w:eastAsia="Batang" w:hAnsi="Calibri"/>
          <w:sz w:val="22"/>
          <w:szCs w:val="22"/>
          <w:lang w:eastAsia="ko-KR"/>
        </w:rPr>
        <w:t>,</w:t>
      </w:r>
      <w:r>
        <w:rPr>
          <w:rFonts w:ascii="Calibri" w:eastAsia="Batang" w:hAnsi="Calibri"/>
          <w:sz w:val="22"/>
          <w:szCs w:val="22"/>
          <w:lang w:eastAsia="ko-KR"/>
        </w:rPr>
        <w:t xml:space="preserve"> the PCU</w:t>
      </w:r>
      <w:r w:rsidR="00961570">
        <w:rPr>
          <w:rFonts w:ascii="Calibri" w:eastAsia="Batang" w:hAnsi="Calibri"/>
          <w:sz w:val="22"/>
          <w:szCs w:val="22"/>
          <w:lang w:eastAsia="ko-KR"/>
        </w:rPr>
        <w:t>-Gambia</w:t>
      </w:r>
      <w:r>
        <w:rPr>
          <w:rFonts w:ascii="Calibri" w:eastAsia="Batang" w:hAnsi="Calibri"/>
          <w:sz w:val="22"/>
          <w:szCs w:val="22"/>
          <w:lang w:eastAsia="ko-KR"/>
        </w:rPr>
        <w:t xml:space="preserve"> uses </w:t>
      </w:r>
      <w:r w:rsidR="00273887">
        <w:rPr>
          <w:rFonts w:ascii="Calibri" w:eastAsia="Batang" w:hAnsi="Calibri"/>
          <w:sz w:val="22"/>
          <w:szCs w:val="22"/>
          <w:lang w:eastAsia="ko-KR"/>
        </w:rPr>
        <w:t>the TOMPRO</w:t>
      </w:r>
      <w:r>
        <w:rPr>
          <w:rFonts w:ascii="Calibri" w:eastAsia="Batang" w:hAnsi="Calibri"/>
          <w:sz w:val="22"/>
          <w:szCs w:val="22"/>
          <w:lang w:eastAsia="ko-KR"/>
        </w:rPr>
        <w:t xml:space="preserve"> accounting software and the system will be customized to support implementation</w:t>
      </w:r>
      <w:r w:rsidR="0093027C">
        <w:rPr>
          <w:rFonts w:ascii="Calibri" w:eastAsia="Batang" w:hAnsi="Calibri"/>
          <w:sz w:val="22"/>
          <w:szCs w:val="22"/>
          <w:lang w:eastAsia="ko-KR"/>
        </w:rPr>
        <w:t xml:space="preserve"> within three months</w:t>
      </w:r>
      <w:r w:rsidR="00F6710D">
        <w:rPr>
          <w:rFonts w:ascii="Calibri" w:eastAsia="Batang" w:hAnsi="Calibri"/>
          <w:sz w:val="22"/>
          <w:szCs w:val="22"/>
          <w:lang w:eastAsia="ko-KR"/>
        </w:rPr>
        <w:t xml:space="preserve"> of project</w:t>
      </w:r>
      <w:r w:rsidR="0093027C">
        <w:rPr>
          <w:rFonts w:ascii="Calibri" w:eastAsia="Batang" w:hAnsi="Calibri"/>
          <w:sz w:val="22"/>
          <w:szCs w:val="22"/>
          <w:lang w:eastAsia="ko-KR"/>
        </w:rPr>
        <w:t xml:space="preserve"> effectiveness</w:t>
      </w:r>
      <w:r>
        <w:rPr>
          <w:rFonts w:ascii="Calibri" w:eastAsia="Batang" w:hAnsi="Calibri"/>
          <w:sz w:val="22"/>
          <w:szCs w:val="22"/>
          <w:lang w:eastAsia="ko-KR"/>
        </w:rPr>
        <w:t>. With regards to procedures and policy, the exiting PCU</w:t>
      </w:r>
      <w:r w:rsidR="00961570">
        <w:rPr>
          <w:rFonts w:ascii="Calibri" w:eastAsia="Batang" w:hAnsi="Calibri"/>
          <w:sz w:val="22"/>
          <w:szCs w:val="22"/>
          <w:lang w:eastAsia="ko-KR"/>
        </w:rPr>
        <w:t>-Gambia</w:t>
      </w:r>
      <w:r>
        <w:rPr>
          <w:rFonts w:ascii="Calibri" w:eastAsia="Batang" w:hAnsi="Calibri"/>
          <w:sz w:val="22"/>
          <w:szCs w:val="22"/>
          <w:lang w:eastAsia="ko-KR"/>
        </w:rPr>
        <w:t xml:space="preserve"> manual will be updated and revised to comply with the specifics of the </w:t>
      </w:r>
      <w:r w:rsidRPr="001B0FEF">
        <w:rPr>
          <w:rFonts w:ascii="Calibri" w:eastAsia="Batang" w:hAnsi="Calibri"/>
          <w:sz w:val="22"/>
          <w:szCs w:val="22"/>
          <w:lang w:eastAsia="ko-KR"/>
        </w:rPr>
        <w:t xml:space="preserve">project. These activities aimed at strengthening the technical capacity are outlined in the FM Action Plan in Table </w:t>
      </w:r>
      <w:r w:rsidR="001B0FEF" w:rsidRPr="00B81291">
        <w:rPr>
          <w:rFonts w:ascii="Calibri" w:eastAsia="Batang" w:hAnsi="Calibri"/>
          <w:sz w:val="22"/>
          <w:szCs w:val="22"/>
          <w:lang w:eastAsia="ko-KR"/>
        </w:rPr>
        <w:t>A2.3</w:t>
      </w:r>
      <w:r w:rsidR="007B4197">
        <w:rPr>
          <w:rFonts w:ascii="Calibri" w:eastAsia="Batang" w:hAnsi="Calibri"/>
          <w:sz w:val="22"/>
          <w:szCs w:val="22"/>
          <w:lang w:eastAsia="ko-KR"/>
        </w:rPr>
        <w:t>.</w:t>
      </w:r>
    </w:p>
    <w:p w14:paraId="1486B960" w14:textId="77777777" w:rsidR="002E1A3F" w:rsidRPr="002E1A3F" w:rsidRDefault="00B00100" w:rsidP="006C70A5">
      <w:pPr>
        <w:widowControl/>
        <w:numPr>
          <w:ilvl w:val="0"/>
          <w:numId w:val="36"/>
        </w:numPr>
        <w:autoSpaceDE/>
        <w:autoSpaceDN/>
        <w:adjustRightInd/>
        <w:spacing w:after="120"/>
        <w:jc w:val="both"/>
        <w:rPr>
          <w:rFonts w:ascii="Calibri" w:eastAsia="Batang" w:hAnsi="Calibri" w:cs="Times New Roman"/>
          <w:b/>
          <w:i/>
          <w:color w:val="auto"/>
          <w:sz w:val="22"/>
          <w:szCs w:val="22"/>
          <w:lang w:eastAsia="ko-KR"/>
        </w:rPr>
      </w:pPr>
      <w:r w:rsidRPr="002E1A3F">
        <w:rPr>
          <w:rFonts w:ascii="Calibri" w:eastAsia="Batang" w:hAnsi="Calibri" w:cs="Times New Roman"/>
          <w:b/>
          <w:i/>
          <w:color w:val="auto"/>
          <w:sz w:val="22"/>
          <w:szCs w:val="22"/>
          <w:lang w:eastAsia="ko-KR"/>
        </w:rPr>
        <w:t xml:space="preserve">Selected Centers </w:t>
      </w:r>
    </w:p>
    <w:p w14:paraId="0F824EA7" w14:textId="77777777" w:rsidR="002E1A3F" w:rsidRPr="00B81291" w:rsidRDefault="00B00100" w:rsidP="00A30EA9">
      <w:pPr>
        <w:widowControl/>
        <w:numPr>
          <w:ilvl w:val="0"/>
          <w:numId w:val="30"/>
        </w:numPr>
        <w:autoSpaceDE/>
        <w:autoSpaceDN/>
        <w:adjustRightInd/>
        <w:spacing w:after="240"/>
        <w:ind w:left="270" w:right="720" w:firstLine="0"/>
        <w:jc w:val="both"/>
        <w:rPr>
          <w:rFonts w:ascii="Calibri" w:eastAsia="Batang" w:hAnsi="Calibri"/>
          <w:sz w:val="22"/>
          <w:szCs w:val="22"/>
          <w:lang w:eastAsia="ko-KR"/>
        </w:rPr>
      </w:pPr>
      <w:bookmarkStart w:id="409" w:name="_Hlk534319511"/>
      <w:r w:rsidRPr="00B81291">
        <w:rPr>
          <w:rFonts w:ascii="Calibri" w:eastAsia="Batang" w:hAnsi="Calibri"/>
          <w:b/>
          <w:sz w:val="22"/>
          <w:szCs w:val="22"/>
          <w:lang w:eastAsia="ko-KR"/>
        </w:rPr>
        <w:t>Financial Management Manual</w:t>
      </w:r>
      <w:r w:rsidRPr="00B81291">
        <w:rPr>
          <w:rFonts w:ascii="Calibri" w:eastAsia="Batang" w:hAnsi="Calibri"/>
          <w:sz w:val="22"/>
          <w:szCs w:val="22"/>
          <w:lang w:eastAsia="ko-KR"/>
        </w:rPr>
        <w:t xml:space="preserve">: The FM manual is essential as it documents the accounting and other FM arrangements that will be used for the project.  For </w:t>
      </w:r>
      <w:r w:rsidR="0058173D">
        <w:rPr>
          <w:rFonts w:ascii="Calibri" w:eastAsia="Batang" w:hAnsi="Calibri"/>
          <w:sz w:val="22"/>
          <w:szCs w:val="22"/>
          <w:lang w:eastAsia="ko-KR"/>
        </w:rPr>
        <w:t>R</w:t>
      </w:r>
      <w:r w:rsidRPr="00B81291">
        <w:rPr>
          <w:rFonts w:ascii="Calibri" w:eastAsia="Batang" w:hAnsi="Calibri"/>
          <w:sz w:val="22"/>
          <w:szCs w:val="22"/>
          <w:lang w:eastAsia="ko-KR"/>
        </w:rPr>
        <w:t xml:space="preserve">enewal centers, each center will update its existing FM manual to include the proposed project. In the case of </w:t>
      </w:r>
      <w:r w:rsidR="009424C4">
        <w:rPr>
          <w:rFonts w:ascii="Calibri" w:eastAsia="Batang" w:hAnsi="Calibri"/>
          <w:sz w:val="22"/>
          <w:szCs w:val="22"/>
          <w:lang w:eastAsia="ko-KR"/>
        </w:rPr>
        <w:t>N</w:t>
      </w:r>
      <w:r w:rsidRPr="00B81291">
        <w:rPr>
          <w:rFonts w:ascii="Calibri" w:eastAsia="Batang" w:hAnsi="Calibri"/>
          <w:sz w:val="22"/>
          <w:szCs w:val="22"/>
          <w:lang w:eastAsia="ko-KR"/>
        </w:rPr>
        <w:t>ew/Emerging centers, each center would develop its FM manual detailing the FM and accounting procedures.</w:t>
      </w:r>
    </w:p>
    <w:p w14:paraId="151007AE" w14:textId="77777777" w:rsidR="002E1A3F" w:rsidRPr="002E1A3F" w:rsidRDefault="00B00100" w:rsidP="00A30EA9">
      <w:pPr>
        <w:widowControl/>
        <w:numPr>
          <w:ilvl w:val="0"/>
          <w:numId w:val="30"/>
        </w:numPr>
        <w:autoSpaceDE/>
        <w:autoSpaceDN/>
        <w:adjustRightInd/>
        <w:spacing w:after="240"/>
        <w:ind w:left="270" w:right="720" w:firstLine="0"/>
        <w:jc w:val="both"/>
        <w:rPr>
          <w:rFonts w:ascii="Calibri" w:eastAsia="Batang" w:hAnsi="Calibri" w:cs="Calibri"/>
          <w:color w:val="auto"/>
          <w:sz w:val="22"/>
          <w:szCs w:val="22"/>
          <w:lang w:eastAsia="ko-KR"/>
        </w:rPr>
      </w:pPr>
      <w:r w:rsidRPr="002E1A3F">
        <w:rPr>
          <w:rFonts w:ascii="Calibri" w:eastAsia="Batang" w:hAnsi="Calibri" w:cs="Calibri"/>
          <w:b/>
          <w:color w:val="auto"/>
          <w:sz w:val="22"/>
          <w:szCs w:val="22"/>
          <w:lang w:eastAsia="ko-KR"/>
        </w:rPr>
        <w:t>Accounting staff</w:t>
      </w:r>
      <w:r w:rsidRPr="002E1A3F">
        <w:rPr>
          <w:rFonts w:ascii="Calibri" w:eastAsia="Batang" w:hAnsi="Calibri" w:cs="Calibri"/>
          <w:color w:val="auto"/>
          <w:sz w:val="22"/>
          <w:szCs w:val="22"/>
          <w:lang w:eastAsia="ko-KR"/>
        </w:rPr>
        <w:t xml:space="preserve">: These </w:t>
      </w:r>
      <w:r w:rsidR="00D03094">
        <w:rPr>
          <w:rFonts w:ascii="Calibri" w:eastAsia="Batang" w:hAnsi="Calibri" w:cs="Calibri"/>
          <w:color w:val="auto"/>
          <w:sz w:val="22"/>
          <w:szCs w:val="22"/>
          <w:lang w:eastAsia="ko-KR"/>
        </w:rPr>
        <w:t xml:space="preserve">staff </w:t>
      </w:r>
      <w:r w:rsidRPr="002E1A3F">
        <w:rPr>
          <w:rFonts w:ascii="Calibri" w:eastAsia="Batang" w:hAnsi="Calibri" w:cs="Calibri"/>
          <w:color w:val="auto"/>
          <w:sz w:val="22"/>
          <w:szCs w:val="22"/>
          <w:lang w:eastAsia="ko-KR"/>
        </w:rPr>
        <w:t xml:space="preserve">are essential as they will prepare accounts for the project. As implementing entities, </w:t>
      </w:r>
      <w:r w:rsidRPr="002E1A3F">
        <w:rPr>
          <w:rFonts w:ascii="Calibri" w:eastAsia="Times New Roman" w:hAnsi="Calibri" w:cs="Calibri"/>
          <w:color w:val="auto"/>
          <w:sz w:val="22"/>
          <w:szCs w:val="22"/>
        </w:rPr>
        <w:t>each center will be required to recruit or assign a qualified and experienced accountant</w:t>
      </w:r>
      <w:r w:rsidRPr="002E1A3F">
        <w:rPr>
          <w:rFonts w:ascii="Calibri" w:eastAsia="Batang" w:hAnsi="Calibri" w:cs="Calibri"/>
          <w:color w:val="auto"/>
          <w:sz w:val="22"/>
          <w:szCs w:val="22"/>
          <w:lang w:eastAsia="ko-KR"/>
        </w:rPr>
        <w:t xml:space="preserve"> to the project.  The implementing entities will need to recruit or assign accountants with </w:t>
      </w:r>
      <w:r w:rsidRPr="002E1A3F">
        <w:rPr>
          <w:rFonts w:ascii="Calibri" w:eastAsia="Batang" w:hAnsi="Calibri" w:cs="Calibri"/>
          <w:color w:val="auto"/>
          <w:sz w:val="22"/>
          <w:szCs w:val="22"/>
          <w:lang w:eastAsia="ko-KR"/>
        </w:rPr>
        <w:lastRenderedPageBreak/>
        <w:t>qualifications satisfactory to the World Bank, within three months following effectiveness</w:t>
      </w:r>
      <w:r w:rsidR="000613CD">
        <w:rPr>
          <w:rFonts w:ascii="Calibri" w:eastAsia="Batang" w:hAnsi="Calibri" w:cs="Calibri"/>
          <w:color w:val="auto"/>
          <w:sz w:val="22"/>
          <w:szCs w:val="22"/>
          <w:lang w:eastAsia="ko-KR"/>
        </w:rPr>
        <w:t xml:space="preserve"> if they do not have </w:t>
      </w:r>
      <w:r w:rsidR="00034596">
        <w:rPr>
          <w:rFonts w:ascii="Calibri" w:eastAsia="Batang" w:hAnsi="Calibri" w:cs="Calibri"/>
          <w:color w:val="auto"/>
          <w:sz w:val="22"/>
          <w:szCs w:val="22"/>
          <w:lang w:eastAsia="ko-KR"/>
        </w:rPr>
        <w:t>the staff.</w:t>
      </w:r>
      <w:r w:rsidRPr="002E1A3F">
        <w:rPr>
          <w:rFonts w:ascii="Calibri" w:eastAsia="Batang" w:hAnsi="Calibri" w:cs="Calibri"/>
          <w:color w:val="auto"/>
          <w:sz w:val="22"/>
          <w:szCs w:val="22"/>
          <w:lang w:eastAsia="ko-KR"/>
        </w:rPr>
        <w:t xml:space="preserve"> </w:t>
      </w:r>
    </w:p>
    <w:p w14:paraId="23035BBB" w14:textId="77777777" w:rsidR="002E1A3F" w:rsidRPr="00B81291" w:rsidRDefault="00B00100" w:rsidP="009809D3">
      <w:pPr>
        <w:widowControl/>
        <w:numPr>
          <w:ilvl w:val="0"/>
          <w:numId w:val="30"/>
        </w:numPr>
        <w:autoSpaceDE/>
        <w:autoSpaceDN/>
        <w:adjustRightInd/>
        <w:spacing w:after="240"/>
        <w:ind w:left="270" w:right="720" w:firstLine="0"/>
        <w:jc w:val="both"/>
        <w:rPr>
          <w:rFonts w:ascii="Calibri" w:eastAsia="Batang" w:hAnsi="Calibri" w:cs="Calibri"/>
          <w:sz w:val="22"/>
          <w:szCs w:val="22"/>
          <w:lang w:eastAsia="ko-KR"/>
        </w:rPr>
      </w:pPr>
      <w:r w:rsidRPr="002E1A3F">
        <w:rPr>
          <w:rFonts w:ascii="Calibri" w:eastAsia="Batang" w:hAnsi="Calibri" w:cs="Calibri"/>
          <w:b/>
          <w:color w:val="auto"/>
          <w:sz w:val="22"/>
          <w:szCs w:val="22"/>
          <w:lang w:eastAsia="ko-KR"/>
        </w:rPr>
        <w:t>Accounting Information systems</w:t>
      </w:r>
      <w:r w:rsidRPr="002E1A3F">
        <w:rPr>
          <w:rFonts w:ascii="Calibri" w:eastAsia="Batang" w:hAnsi="Calibri" w:cs="Calibri"/>
          <w:color w:val="auto"/>
          <w:sz w:val="22"/>
          <w:szCs w:val="22"/>
          <w:lang w:eastAsia="ko-KR"/>
        </w:rPr>
        <w:t xml:space="preserve">: Computerized accounting information systems are essential as they ensure efficiency in the preparation of accounts and avoid errors associated with manual systems and </w:t>
      </w:r>
      <w:r w:rsidRPr="002E1A3F">
        <w:rPr>
          <w:rFonts w:ascii="Calibri" w:eastAsia="Times New Roman" w:hAnsi="Calibri" w:cs="Calibri"/>
          <w:color w:val="auto"/>
          <w:sz w:val="22"/>
          <w:szCs w:val="22"/>
        </w:rPr>
        <w:t xml:space="preserve">will facilitate (i) the budget preparation and monitoring; </w:t>
      </w:r>
      <w:r w:rsidR="00C80606">
        <w:rPr>
          <w:rFonts w:ascii="Calibri" w:eastAsia="Times New Roman" w:hAnsi="Calibri" w:cs="Calibri"/>
          <w:color w:val="auto"/>
          <w:sz w:val="22"/>
          <w:szCs w:val="22"/>
        </w:rPr>
        <w:t xml:space="preserve">and </w:t>
      </w:r>
      <w:r w:rsidRPr="002E1A3F">
        <w:rPr>
          <w:rFonts w:ascii="Calibri" w:eastAsia="Times New Roman" w:hAnsi="Calibri" w:cs="Calibri"/>
          <w:color w:val="auto"/>
          <w:sz w:val="22"/>
          <w:szCs w:val="22"/>
        </w:rPr>
        <w:t>(ii) the preparation of interim bi-annual financial statements and annual financial statements under a format acceptable to the World Bank.</w:t>
      </w:r>
    </w:p>
    <w:p w14:paraId="52E2CD47" w14:textId="77777777" w:rsidR="0005114E" w:rsidRPr="002E1A3F" w:rsidRDefault="00B00100" w:rsidP="009809D3">
      <w:pPr>
        <w:widowControl/>
        <w:numPr>
          <w:ilvl w:val="0"/>
          <w:numId w:val="30"/>
        </w:numPr>
        <w:autoSpaceDE/>
        <w:autoSpaceDN/>
        <w:adjustRightInd/>
        <w:spacing w:after="240"/>
        <w:ind w:left="270" w:right="720" w:firstLine="0"/>
        <w:jc w:val="both"/>
        <w:rPr>
          <w:rFonts w:ascii="Batang" w:eastAsia="Batang" w:hAnsi="Batang" w:cs="Batang"/>
          <w:b/>
          <w:color w:val="auto"/>
          <w:sz w:val="22"/>
          <w:szCs w:val="22"/>
          <w:lang w:eastAsia="ko-KR"/>
        </w:rPr>
      </w:pPr>
      <w:r w:rsidRPr="002E1A3F">
        <w:rPr>
          <w:rFonts w:ascii="Calibri" w:eastAsia="Batang" w:hAnsi="Calibri" w:cs="Calibri"/>
          <w:b/>
          <w:i/>
          <w:color w:val="auto"/>
          <w:sz w:val="22"/>
          <w:szCs w:val="22"/>
          <w:lang w:eastAsia="ko-KR"/>
        </w:rPr>
        <w:t>Accounting basis</w:t>
      </w:r>
      <w:r w:rsidRPr="002E1A3F">
        <w:rPr>
          <w:rFonts w:ascii="Calibri" w:eastAsia="Batang" w:hAnsi="Calibri" w:cs="Calibri"/>
          <w:b/>
          <w:color w:val="auto"/>
          <w:sz w:val="22"/>
          <w:szCs w:val="22"/>
          <w:lang w:eastAsia="ko-KR"/>
        </w:rPr>
        <w:t xml:space="preserve">: </w:t>
      </w:r>
      <w:r w:rsidRPr="002E1A3F">
        <w:rPr>
          <w:rFonts w:ascii="Calibri" w:eastAsia="Batang" w:hAnsi="Calibri" w:cs="Calibri"/>
          <w:color w:val="auto"/>
          <w:sz w:val="22"/>
          <w:szCs w:val="22"/>
          <w:lang w:eastAsia="ko-KR"/>
        </w:rPr>
        <w:t>The accounting basis for each implementing entity is summarized in the Table A2.2 below.</w:t>
      </w:r>
    </w:p>
    <w:p w14:paraId="61EA0D69" w14:textId="77777777" w:rsidR="002E1A3F" w:rsidRPr="00B81291" w:rsidRDefault="00B00100" w:rsidP="009809D3">
      <w:pPr>
        <w:widowControl/>
        <w:numPr>
          <w:ilvl w:val="0"/>
          <w:numId w:val="30"/>
        </w:numPr>
        <w:autoSpaceDE/>
        <w:autoSpaceDN/>
        <w:adjustRightInd/>
        <w:ind w:left="270" w:right="720" w:firstLine="0"/>
        <w:jc w:val="both"/>
        <w:rPr>
          <w:rFonts w:ascii="Calibri" w:eastAsia="Batang" w:hAnsi="Calibri" w:cs="Calibri"/>
          <w:color w:val="auto"/>
          <w:sz w:val="22"/>
          <w:szCs w:val="22"/>
          <w:lang w:eastAsia="ko-KR"/>
        </w:rPr>
      </w:pPr>
      <w:r w:rsidRPr="002E1A3F">
        <w:rPr>
          <w:rFonts w:ascii="Calibri" w:eastAsia="Batang" w:hAnsi="Calibri" w:cs="Calibri"/>
          <w:b/>
          <w:i/>
          <w:color w:val="auto"/>
          <w:sz w:val="22"/>
          <w:szCs w:val="22"/>
          <w:lang w:eastAsia="ko-KR"/>
        </w:rPr>
        <w:t>In Benin</w:t>
      </w:r>
      <w:r w:rsidR="001564EA">
        <w:rPr>
          <w:rFonts w:ascii="Calibri" w:eastAsia="Batang" w:hAnsi="Calibri" w:cs="Calibri"/>
          <w:b/>
          <w:color w:val="auto"/>
          <w:sz w:val="22"/>
          <w:szCs w:val="22"/>
          <w:lang w:eastAsia="ko-KR"/>
        </w:rPr>
        <w:t>:</w:t>
      </w:r>
      <w:r w:rsidRPr="002E1A3F">
        <w:rPr>
          <w:rFonts w:ascii="Calibri" w:eastAsia="Batang" w:hAnsi="Calibri" w:cs="Calibri"/>
          <w:b/>
          <w:color w:val="auto"/>
          <w:sz w:val="22"/>
          <w:szCs w:val="22"/>
          <w:lang w:eastAsia="ko-KR"/>
        </w:rPr>
        <w:t xml:space="preserve"> </w:t>
      </w:r>
    </w:p>
    <w:p w14:paraId="6B114F35" w14:textId="77777777" w:rsidR="00895A08" w:rsidRPr="00B81291" w:rsidRDefault="00B00100" w:rsidP="008E2709">
      <w:pPr>
        <w:pStyle w:val="ListParagraph"/>
        <w:widowControl/>
        <w:numPr>
          <w:ilvl w:val="0"/>
          <w:numId w:val="50"/>
        </w:numPr>
        <w:autoSpaceDE/>
        <w:autoSpaceDN/>
        <w:adjustRightInd/>
        <w:ind w:right="720"/>
        <w:contextualSpacing w:val="0"/>
        <w:jc w:val="both"/>
        <w:rPr>
          <w:rFonts w:ascii="Calibri" w:eastAsia="Batang" w:hAnsi="Calibri" w:cs="Calibri"/>
          <w:color w:val="auto"/>
          <w:sz w:val="22"/>
          <w:szCs w:val="22"/>
          <w:lang w:eastAsia="ko-KR"/>
        </w:rPr>
      </w:pPr>
      <w:r w:rsidRPr="00B81291">
        <w:rPr>
          <w:rFonts w:ascii="Calibri" w:eastAsia="Batang" w:hAnsi="Calibri" w:cs="Calibri"/>
          <w:b/>
          <w:i/>
          <w:color w:val="auto"/>
          <w:sz w:val="22"/>
          <w:szCs w:val="22"/>
          <w:lang w:eastAsia="ko-KR"/>
        </w:rPr>
        <w:t xml:space="preserve">Financial Management Manual: </w:t>
      </w:r>
      <w:r w:rsidR="00DE4A61">
        <w:rPr>
          <w:rFonts w:ascii="Calibri" w:eastAsia="Batang" w:hAnsi="Calibri" w:cs="Calibri"/>
          <w:color w:val="auto"/>
          <w:sz w:val="22"/>
          <w:szCs w:val="22"/>
          <w:lang w:eastAsia="ko-KR"/>
        </w:rPr>
        <w:t>CEA-SMIA</w:t>
      </w:r>
      <w:r w:rsidRPr="00B81291">
        <w:rPr>
          <w:rFonts w:ascii="Calibri" w:eastAsia="Batang" w:hAnsi="Calibri" w:cs="Calibri"/>
          <w:color w:val="auto"/>
          <w:sz w:val="22"/>
          <w:szCs w:val="22"/>
          <w:lang w:eastAsia="ko-KR"/>
        </w:rPr>
        <w:t xml:space="preserve">’s existing FM </w:t>
      </w:r>
      <w:r w:rsidR="00741F70">
        <w:rPr>
          <w:rFonts w:ascii="Calibri" w:eastAsia="Batang" w:hAnsi="Calibri" w:cs="Calibri"/>
          <w:color w:val="auto"/>
          <w:sz w:val="22"/>
          <w:szCs w:val="22"/>
          <w:lang w:eastAsia="ko-KR"/>
        </w:rPr>
        <w:t>M</w:t>
      </w:r>
      <w:r w:rsidRPr="00B81291">
        <w:rPr>
          <w:rFonts w:ascii="Calibri" w:eastAsia="Batang" w:hAnsi="Calibri" w:cs="Calibri"/>
          <w:color w:val="auto"/>
          <w:sz w:val="22"/>
          <w:szCs w:val="22"/>
          <w:lang w:eastAsia="ko-KR"/>
        </w:rPr>
        <w:t>anual will be updated to include the proposed project and will be adapted to C2EA, and CoE-</w:t>
      </w:r>
      <w:r w:rsidR="00A969F5">
        <w:rPr>
          <w:rFonts w:ascii="Calibri" w:eastAsia="Batang" w:hAnsi="Calibri" w:cs="Calibri"/>
          <w:color w:val="auto"/>
          <w:sz w:val="22"/>
          <w:szCs w:val="22"/>
          <w:lang w:eastAsia="ko-KR"/>
        </w:rPr>
        <w:t>EIE</w:t>
      </w:r>
      <w:r w:rsidR="005B15E6">
        <w:rPr>
          <w:rFonts w:ascii="Calibri" w:eastAsia="Batang" w:hAnsi="Calibri" w:cs="Calibri"/>
          <w:color w:val="auto"/>
          <w:sz w:val="22"/>
          <w:szCs w:val="22"/>
          <w:lang w:eastAsia="ko-KR"/>
        </w:rPr>
        <w:t xml:space="preserve"> as part of the </w:t>
      </w:r>
      <w:r w:rsidR="005D7567">
        <w:rPr>
          <w:rFonts w:ascii="Calibri" w:eastAsia="Batang" w:hAnsi="Calibri" w:cs="Calibri"/>
          <w:color w:val="auto"/>
          <w:sz w:val="22"/>
          <w:szCs w:val="22"/>
          <w:lang w:eastAsia="ko-KR"/>
        </w:rPr>
        <w:t>requirements for achievement of DLI 1 on Institutional readiness</w:t>
      </w:r>
      <w:r w:rsidRPr="00B81291">
        <w:rPr>
          <w:rFonts w:ascii="Calibri" w:eastAsia="Batang" w:hAnsi="Calibri" w:cs="Calibri"/>
          <w:color w:val="auto"/>
          <w:sz w:val="22"/>
          <w:szCs w:val="22"/>
          <w:lang w:eastAsia="ko-KR"/>
        </w:rPr>
        <w:t xml:space="preserve">.  </w:t>
      </w:r>
    </w:p>
    <w:p w14:paraId="12188AD5" w14:textId="77777777" w:rsidR="00895A08" w:rsidRPr="00B81291" w:rsidRDefault="00B00100" w:rsidP="008E2709">
      <w:pPr>
        <w:pStyle w:val="ListParagraph"/>
        <w:widowControl/>
        <w:numPr>
          <w:ilvl w:val="0"/>
          <w:numId w:val="50"/>
        </w:numPr>
        <w:autoSpaceDE/>
        <w:autoSpaceDN/>
        <w:adjustRightInd/>
        <w:ind w:right="720"/>
        <w:contextualSpacing w:val="0"/>
        <w:jc w:val="both"/>
        <w:rPr>
          <w:rFonts w:ascii="Calibri" w:eastAsia="Batang" w:hAnsi="Calibri" w:cs="Calibri"/>
          <w:b/>
          <w:i/>
          <w:color w:val="auto"/>
          <w:sz w:val="22"/>
          <w:szCs w:val="22"/>
          <w:lang w:eastAsia="ko-KR"/>
        </w:rPr>
      </w:pPr>
      <w:r w:rsidRPr="00B81291">
        <w:rPr>
          <w:rFonts w:ascii="Calibri" w:eastAsia="Batang" w:hAnsi="Calibri" w:cs="Calibri"/>
          <w:b/>
          <w:i/>
          <w:color w:val="auto"/>
          <w:sz w:val="22"/>
          <w:szCs w:val="22"/>
          <w:lang w:eastAsia="ko-KR"/>
        </w:rPr>
        <w:t xml:space="preserve">Accounting staff: </w:t>
      </w:r>
      <w:r w:rsidRPr="00B81291">
        <w:rPr>
          <w:rFonts w:ascii="Calibri" w:eastAsia="Batang" w:hAnsi="Calibri" w:cs="Calibri"/>
          <w:color w:val="auto"/>
          <w:sz w:val="22"/>
          <w:szCs w:val="22"/>
          <w:lang w:eastAsia="ko-KR"/>
        </w:rPr>
        <w:t xml:space="preserve">Within three months after effectiveness, </w:t>
      </w:r>
      <w:r w:rsidR="00DE4A61">
        <w:rPr>
          <w:rFonts w:ascii="Calibri" w:eastAsia="Batang" w:hAnsi="Calibri" w:cs="Calibri"/>
          <w:color w:val="auto"/>
          <w:sz w:val="22"/>
          <w:szCs w:val="22"/>
          <w:lang w:eastAsia="ko-KR"/>
        </w:rPr>
        <w:t>CEA-SMIA</w:t>
      </w:r>
      <w:r w:rsidRPr="00B81291">
        <w:rPr>
          <w:rFonts w:ascii="Calibri" w:eastAsia="Batang" w:hAnsi="Calibri" w:cs="Calibri"/>
          <w:color w:val="auto"/>
          <w:sz w:val="22"/>
          <w:szCs w:val="22"/>
          <w:lang w:eastAsia="ko-KR"/>
        </w:rPr>
        <w:t>, C2EA, and CoE-</w:t>
      </w:r>
      <w:r w:rsidR="00A969F5" w:rsidRPr="00B81291">
        <w:rPr>
          <w:rFonts w:ascii="Calibri" w:eastAsia="Batang" w:hAnsi="Calibri" w:cs="Calibri"/>
          <w:color w:val="auto"/>
          <w:sz w:val="22"/>
          <w:szCs w:val="22"/>
          <w:lang w:eastAsia="ko-KR"/>
        </w:rPr>
        <w:t>E</w:t>
      </w:r>
      <w:r w:rsidR="00A969F5">
        <w:rPr>
          <w:rFonts w:ascii="Calibri" w:eastAsia="Batang" w:hAnsi="Calibri" w:cs="Calibri"/>
          <w:color w:val="auto"/>
          <w:sz w:val="22"/>
          <w:szCs w:val="22"/>
          <w:lang w:eastAsia="ko-KR"/>
        </w:rPr>
        <w:t>IE</w:t>
      </w:r>
      <w:r w:rsidR="00A969F5" w:rsidRPr="00B81291">
        <w:rPr>
          <w:rFonts w:ascii="Calibri" w:eastAsia="Batang" w:hAnsi="Calibri" w:cs="Calibri"/>
          <w:color w:val="auto"/>
          <w:sz w:val="22"/>
          <w:szCs w:val="22"/>
          <w:lang w:eastAsia="ko-KR"/>
        </w:rPr>
        <w:t xml:space="preserve"> </w:t>
      </w:r>
      <w:r w:rsidRPr="00B81291">
        <w:rPr>
          <w:rFonts w:ascii="Calibri" w:eastAsia="Batang" w:hAnsi="Calibri" w:cs="Calibri"/>
          <w:color w:val="auto"/>
          <w:sz w:val="22"/>
          <w:szCs w:val="22"/>
          <w:lang w:eastAsia="ko-KR"/>
        </w:rPr>
        <w:t xml:space="preserve">will </w:t>
      </w:r>
      <w:r w:rsidR="00D66813">
        <w:rPr>
          <w:rFonts w:ascii="Calibri" w:eastAsia="Batang" w:hAnsi="Calibri" w:cs="Calibri"/>
          <w:color w:val="auto"/>
          <w:sz w:val="22"/>
          <w:szCs w:val="22"/>
          <w:lang w:eastAsia="ko-KR"/>
        </w:rPr>
        <w:t xml:space="preserve">each </w:t>
      </w:r>
      <w:r w:rsidRPr="00B81291">
        <w:rPr>
          <w:rFonts w:ascii="Calibri" w:eastAsia="Batang" w:hAnsi="Calibri" w:cs="Calibri"/>
          <w:color w:val="auto"/>
          <w:sz w:val="22"/>
          <w:szCs w:val="22"/>
          <w:lang w:eastAsia="ko-KR"/>
        </w:rPr>
        <w:t>recruit a</w:t>
      </w:r>
      <w:r w:rsidR="00290E36">
        <w:rPr>
          <w:rFonts w:ascii="Calibri" w:eastAsia="Batang" w:hAnsi="Calibri" w:cs="Calibri"/>
          <w:color w:val="auto"/>
          <w:sz w:val="22"/>
          <w:szCs w:val="22"/>
          <w:lang w:eastAsia="ko-KR"/>
        </w:rPr>
        <w:t>n</w:t>
      </w:r>
      <w:r w:rsidRPr="00B81291">
        <w:rPr>
          <w:rFonts w:ascii="Calibri" w:eastAsia="Batang" w:hAnsi="Calibri" w:cs="Calibri"/>
          <w:color w:val="auto"/>
          <w:sz w:val="22"/>
          <w:szCs w:val="22"/>
          <w:lang w:eastAsia="ko-KR"/>
        </w:rPr>
        <w:t xml:space="preserve"> experienced Accountant</w:t>
      </w:r>
      <w:r w:rsidR="00290E36">
        <w:rPr>
          <w:rFonts w:ascii="Calibri" w:eastAsia="Batang" w:hAnsi="Calibri" w:cs="Calibri"/>
          <w:color w:val="auto"/>
          <w:sz w:val="22"/>
          <w:szCs w:val="22"/>
          <w:lang w:eastAsia="ko-KR"/>
        </w:rPr>
        <w:t xml:space="preserve"> with qualification acceptable to the World Bank</w:t>
      </w:r>
      <w:r w:rsidRPr="00B81291">
        <w:rPr>
          <w:rFonts w:ascii="Calibri" w:eastAsia="Batang" w:hAnsi="Calibri" w:cs="Calibri"/>
          <w:color w:val="auto"/>
          <w:sz w:val="22"/>
          <w:szCs w:val="22"/>
          <w:lang w:eastAsia="ko-KR"/>
        </w:rPr>
        <w:t xml:space="preserve"> who will work under the oversight of the civil servant assigned by the University of Abomey-Calavi as the Project’s </w:t>
      </w:r>
      <w:r w:rsidR="00E63807">
        <w:rPr>
          <w:rFonts w:ascii="Calibri" w:eastAsia="Batang" w:hAnsi="Calibri" w:cs="Calibri"/>
          <w:color w:val="auto"/>
          <w:sz w:val="22"/>
          <w:szCs w:val="22"/>
          <w:lang w:eastAsia="ko-KR"/>
        </w:rPr>
        <w:t>FMS</w:t>
      </w:r>
      <w:r w:rsidRPr="00B81291">
        <w:rPr>
          <w:rFonts w:ascii="Calibri" w:eastAsia="Batang" w:hAnsi="Calibri" w:cs="Calibri"/>
          <w:color w:val="auto"/>
          <w:sz w:val="22"/>
          <w:szCs w:val="22"/>
          <w:lang w:eastAsia="ko-KR"/>
        </w:rPr>
        <w:t>. The World Bank will also enhance the skills of the existing staff by training them in World Bank FM and Disbursement requirements/procedures</w:t>
      </w:r>
      <w:r w:rsidRPr="00B81291">
        <w:rPr>
          <w:rFonts w:ascii="Calibri" w:eastAsia="Batang" w:hAnsi="Calibri" w:cs="Calibri"/>
          <w:b/>
          <w:i/>
          <w:color w:val="auto"/>
          <w:sz w:val="22"/>
          <w:szCs w:val="22"/>
          <w:lang w:eastAsia="ko-KR"/>
        </w:rPr>
        <w:t xml:space="preserve">. </w:t>
      </w:r>
    </w:p>
    <w:p w14:paraId="5292DA7B" w14:textId="77777777" w:rsidR="00895A08" w:rsidRPr="00B81291" w:rsidRDefault="00B00100" w:rsidP="008E2709">
      <w:pPr>
        <w:pStyle w:val="ListParagraph"/>
        <w:widowControl/>
        <w:numPr>
          <w:ilvl w:val="0"/>
          <w:numId w:val="50"/>
        </w:numPr>
        <w:autoSpaceDE/>
        <w:autoSpaceDN/>
        <w:adjustRightInd/>
        <w:ind w:right="720"/>
        <w:contextualSpacing w:val="0"/>
        <w:jc w:val="both"/>
        <w:rPr>
          <w:rFonts w:ascii="Calibri" w:eastAsia="Batang" w:hAnsi="Calibri" w:cs="Calibri"/>
          <w:color w:val="auto"/>
          <w:sz w:val="22"/>
          <w:szCs w:val="22"/>
          <w:lang w:eastAsia="ko-KR"/>
        </w:rPr>
      </w:pPr>
      <w:r w:rsidRPr="00B81291">
        <w:rPr>
          <w:rFonts w:ascii="Calibri" w:eastAsia="Batang" w:hAnsi="Calibri" w:cs="Calibri"/>
          <w:b/>
          <w:i/>
          <w:color w:val="auto"/>
          <w:sz w:val="22"/>
          <w:szCs w:val="22"/>
          <w:lang w:eastAsia="ko-KR"/>
        </w:rPr>
        <w:t xml:space="preserve">Accounting information systems: </w:t>
      </w:r>
      <w:r w:rsidR="00DE4A61">
        <w:rPr>
          <w:rFonts w:ascii="Calibri" w:eastAsia="Batang" w:hAnsi="Calibri" w:cs="Calibri"/>
          <w:color w:val="auto"/>
          <w:sz w:val="22"/>
          <w:szCs w:val="22"/>
          <w:lang w:eastAsia="ko-KR"/>
        </w:rPr>
        <w:t>CEA-SMIA</w:t>
      </w:r>
      <w:r w:rsidRPr="00B81291">
        <w:rPr>
          <w:rFonts w:ascii="Calibri" w:eastAsia="Batang" w:hAnsi="Calibri" w:cs="Calibri"/>
          <w:color w:val="auto"/>
          <w:sz w:val="22"/>
          <w:szCs w:val="22"/>
          <w:lang w:eastAsia="ko-KR"/>
        </w:rPr>
        <w:t>’s current accounting software SUCCESS with multi-projects, multi-sites, and multi-donor characteristics is functioning properly and will be deployed within three months after effectiveness</w:t>
      </w:r>
      <w:r w:rsidR="00BE0574">
        <w:rPr>
          <w:rFonts w:ascii="Calibri" w:eastAsia="Batang" w:hAnsi="Calibri" w:cs="Calibri"/>
          <w:color w:val="auto"/>
          <w:sz w:val="22"/>
          <w:szCs w:val="22"/>
          <w:lang w:eastAsia="ko-KR"/>
        </w:rPr>
        <w:t xml:space="preserve"> at</w:t>
      </w:r>
      <w:r w:rsidRPr="00B81291">
        <w:rPr>
          <w:rFonts w:ascii="Calibri" w:eastAsia="Batang" w:hAnsi="Calibri" w:cs="Calibri"/>
          <w:color w:val="auto"/>
          <w:sz w:val="22"/>
          <w:szCs w:val="22"/>
          <w:lang w:eastAsia="ko-KR"/>
        </w:rPr>
        <w:t xml:space="preserve"> </w:t>
      </w:r>
      <w:r w:rsidR="00730241">
        <w:rPr>
          <w:rFonts w:ascii="Calibri" w:eastAsia="Batang" w:hAnsi="Calibri" w:cs="Calibri"/>
          <w:color w:val="auto"/>
          <w:sz w:val="22"/>
          <w:szCs w:val="22"/>
          <w:lang w:eastAsia="ko-KR"/>
        </w:rPr>
        <w:t>C2EA and CoE-</w:t>
      </w:r>
      <w:r w:rsidR="00EA38EA">
        <w:rPr>
          <w:rFonts w:ascii="Calibri" w:eastAsia="Batang" w:hAnsi="Calibri" w:cs="Calibri"/>
          <w:color w:val="auto"/>
          <w:sz w:val="22"/>
          <w:szCs w:val="22"/>
          <w:lang w:eastAsia="ko-KR"/>
        </w:rPr>
        <w:t>EIE</w:t>
      </w:r>
      <w:r w:rsidRPr="00B81291">
        <w:rPr>
          <w:rFonts w:ascii="Calibri" w:eastAsia="Batang" w:hAnsi="Calibri" w:cs="Calibri"/>
          <w:color w:val="auto"/>
          <w:sz w:val="22"/>
          <w:szCs w:val="22"/>
          <w:lang w:eastAsia="ko-KR"/>
        </w:rPr>
        <w:t xml:space="preserve">.  </w:t>
      </w:r>
    </w:p>
    <w:p w14:paraId="66D47700" w14:textId="77777777" w:rsidR="00895A08" w:rsidRDefault="00B00100">
      <w:pPr>
        <w:pStyle w:val="ListParagraph"/>
        <w:widowControl/>
        <w:numPr>
          <w:ilvl w:val="0"/>
          <w:numId w:val="50"/>
        </w:numPr>
        <w:autoSpaceDE/>
        <w:autoSpaceDN/>
        <w:adjustRightInd/>
        <w:ind w:right="720"/>
        <w:contextualSpacing w:val="0"/>
        <w:jc w:val="both"/>
        <w:rPr>
          <w:rFonts w:ascii="Calibri" w:eastAsia="Batang" w:hAnsi="Calibri" w:cs="Calibri"/>
          <w:color w:val="auto"/>
          <w:sz w:val="22"/>
          <w:szCs w:val="22"/>
          <w:lang w:eastAsia="ko-KR"/>
        </w:rPr>
      </w:pPr>
      <w:r w:rsidRPr="00B81291">
        <w:rPr>
          <w:rFonts w:ascii="Calibri" w:eastAsia="Batang" w:hAnsi="Calibri" w:cs="Calibri"/>
          <w:b/>
          <w:i/>
          <w:color w:val="auto"/>
          <w:sz w:val="22"/>
          <w:szCs w:val="22"/>
          <w:lang w:eastAsia="ko-KR"/>
        </w:rPr>
        <w:t xml:space="preserve">Accounting standards: </w:t>
      </w:r>
      <w:r w:rsidRPr="00B81291">
        <w:rPr>
          <w:rFonts w:ascii="Calibri" w:eastAsia="Batang" w:hAnsi="Calibri" w:cs="Calibri"/>
          <w:color w:val="auto"/>
          <w:sz w:val="22"/>
          <w:szCs w:val="22"/>
          <w:lang w:eastAsia="ko-KR"/>
        </w:rPr>
        <w:t xml:space="preserve">Each </w:t>
      </w:r>
      <w:r w:rsidR="007A5311">
        <w:rPr>
          <w:rFonts w:ascii="Calibri" w:eastAsia="Batang" w:hAnsi="Calibri" w:cs="Calibri"/>
          <w:color w:val="auto"/>
          <w:sz w:val="22"/>
          <w:szCs w:val="22"/>
          <w:lang w:eastAsia="ko-KR"/>
        </w:rPr>
        <w:t>center</w:t>
      </w:r>
      <w:r w:rsidRPr="00B81291">
        <w:rPr>
          <w:rFonts w:ascii="Calibri" w:eastAsia="Batang" w:hAnsi="Calibri" w:cs="Calibri"/>
          <w:color w:val="auto"/>
          <w:sz w:val="22"/>
          <w:szCs w:val="22"/>
          <w:lang w:eastAsia="ko-KR"/>
        </w:rPr>
        <w:t xml:space="preserve"> will use SYSCOHADA accounting standards, which are commonly used among West African Francophone countries. </w:t>
      </w:r>
    </w:p>
    <w:p w14:paraId="7FE61E6D" w14:textId="77777777" w:rsidR="003247A0" w:rsidRPr="00B81291" w:rsidRDefault="003247A0" w:rsidP="008E2709">
      <w:pPr>
        <w:pStyle w:val="ListParagraph"/>
        <w:widowControl/>
        <w:autoSpaceDE/>
        <w:autoSpaceDN/>
        <w:adjustRightInd/>
        <w:ind w:left="1260" w:right="720"/>
        <w:contextualSpacing w:val="0"/>
        <w:jc w:val="both"/>
        <w:rPr>
          <w:rFonts w:ascii="Calibri" w:eastAsia="Batang" w:hAnsi="Calibri" w:cs="Calibri"/>
          <w:color w:val="auto"/>
          <w:sz w:val="22"/>
          <w:szCs w:val="22"/>
          <w:lang w:eastAsia="ko-KR"/>
        </w:rPr>
      </w:pPr>
    </w:p>
    <w:p w14:paraId="3A2A3D39" w14:textId="77777777" w:rsidR="001564EA" w:rsidRDefault="00B00100" w:rsidP="006C70A5">
      <w:pPr>
        <w:widowControl/>
        <w:numPr>
          <w:ilvl w:val="0"/>
          <w:numId w:val="30"/>
        </w:numPr>
        <w:autoSpaceDE/>
        <w:autoSpaceDN/>
        <w:adjustRightInd/>
        <w:ind w:left="270" w:right="720" w:firstLine="0"/>
        <w:jc w:val="both"/>
        <w:rPr>
          <w:rFonts w:ascii="Calibri" w:eastAsia="Batang" w:hAnsi="Calibri" w:cs="Calibri"/>
          <w:b/>
          <w:i/>
          <w:color w:val="auto"/>
          <w:sz w:val="22"/>
          <w:szCs w:val="22"/>
          <w:lang w:eastAsia="ko-KR"/>
        </w:rPr>
      </w:pPr>
      <w:r w:rsidRPr="00351A7D">
        <w:rPr>
          <w:rFonts w:ascii="Calibri" w:eastAsia="Batang" w:hAnsi="Calibri" w:cs="Calibri"/>
          <w:b/>
          <w:i/>
          <w:color w:val="auto"/>
          <w:sz w:val="22"/>
          <w:szCs w:val="22"/>
          <w:lang w:eastAsia="ko-KR"/>
        </w:rPr>
        <w:t>In Niger</w:t>
      </w:r>
      <w:r>
        <w:rPr>
          <w:rFonts w:ascii="Calibri" w:eastAsia="Batang" w:hAnsi="Calibri" w:cs="Calibri"/>
          <w:b/>
          <w:i/>
          <w:color w:val="auto"/>
          <w:sz w:val="22"/>
          <w:szCs w:val="22"/>
          <w:lang w:eastAsia="ko-KR"/>
        </w:rPr>
        <w:t>:</w:t>
      </w:r>
    </w:p>
    <w:p w14:paraId="017B96D7" w14:textId="77777777" w:rsidR="00F85912" w:rsidRPr="00F85912" w:rsidRDefault="00B00100" w:rsidP="008E2709">
      <w:pPr>
        <w:pStyle w:val="ListParagraph"/>
        <w:widowControl/>
        <w:numPr>
          <w:ilvl w:val="0"/>
          <w:numId w:val="50"/>
        </w:numPr>
        <w:autoSpaceDE/>
        <w:autoSpaceDN/>
        <w:adjustRightInd/>
        <w:ind w:right="720"/>
        <w:contextualSpacing w:val="0"/>
        <w:jc w:val="both"/>
        <w:rPr>
          <w:rFonts w:cstheme="minorHAnsi"/>
          <w:bCs/>
        </w:rPr>
      </w:pPr>
      <w:r w:rsidRPr="00B81291">
        <w:rPr>
          <w:rFonts w:asciiTheme="minorHAnsi" w:eastAsia="Batang" w:hAnsiTheme="minorHAnsi" w:cstheme="minorHAnsi"/>
          <w:b/>
          <w:i/>
          <w:sz w:val="22"/>
          <w:szCs w:val="22"/>
          <w:lang w:eastAsia="ko-KR"/>
        </w:rPr>
        <w:t>Accounting standards</w:t>
      </w:r>
      <w:r w:rsidRPr="00F85912">
        <w:rPr>
          <w:rFonts w:asciiTheme="minorHAnsi" w:eastAsia="Batang" w:hAnsiTheme="minorHAnsi" w:cstheme="minorHAnsi"/>
          <w:b/>
          <w:sz w:val="22"/>
          <w:szCs w:val="22"/>
          <w:lang w:eastAsia="ko-KR"/>
        </w:rPr>
        <w:t xml:space="preserve">: </w:t>
      </w:r>
      <w:r w:rsidRPr="00F85912">
        <w:rPr>
          <w:rFonts w:asciiTheme="minorHAnsi" w:hAnsiTheme="minorHAnsi" w:cstheme="minorHAnsi"/>
          <w:bCs/>
          <w:sz w:val="22"/>
          <w:szCs w:val="22"/>
        </w:rPr>
        <w:t xml:space="preserve">The current accounting standards in use in West and Central African Francophone countries for on-going </w:t>
      </w:r>
      <w:r w:rsidR="00C00B64">
        <w:rPr>
          <w:rFonts w:asciiTheme="minorHAnsi" w:eastAsiaTheme="minorHAnsi" w:hAnsiTheme="minorHAnsi" w:cstheme="minorHAnsi"/>
          <w:color w:val="auto"/>
          <w:sz w:val="22"/>
          <w:szCs w:val="22"/>
        </w:rPr>
        <w:t>World</w:t>
      </w:r>
      <w:r w:rsidR="00C00B64" w:rsidRPr="00F85912">
        <w:rPr>
          <w:rFonts w:asciiTheme="minorHAnsi" w:hAnsiTheme="minorHAnsi" w:cstheme="minorHAnsi"/>
          <w:bCs/>
          <w:sz w:val="22"/>
          <w:szCs w:val="22"/>
        </w:rPr>
        <w:t xml:space="preserve"> </w:t>
      </w:r>
      <w:r w:rsidRPr="00F85912">
        <w:rPr>
          <w:rFonts w:asciiTheme="minorHAnsi" w:hAnsiTheme="minorHAnsi" w:cstheme="minorHAnsi"/>
          <w:bCs/>
          <w:sz w:val="22"/>
          <w:szCs w:val="22"/>
        </w:rPr>
        <w:t>Bank-financed projects will be applicable i.e., SYSCOHADA. Project accounts will be maintained on an accrual basis, supported with appropriate records and procedures to track commitments and to safeguard assets. Annual financial statements will be prepared by each participating center in accordance with the SYSCOHADA and World Bank requirements.</w:t>
      </w:r>
    </w:p>
    <w:p w14:paraId="7D56757E" w14:textId="77777777" w:rsidR="00F85912" w:rsidRPr="00B81291" w:rsidRDefault="00B00100" w:rsidP="008E2709">
      <w:pPr>
        <w:pStyle w:val="ListParagraph"/>
        <w:widowControl/>
        <w:numPr>
          <w:ilvl w:val="0"/>
          <w:numId w:val="50"/>
        </w:numPr>
        <w:autoSpaceDE/>
        <w:autoSpaceDN/>
        <w:adjustRightInd/>
        <w:ind w:right="720"/>
        <w:contextualSpacing w:val="0"/>
        <w:jc w:val="both"/>
        <w:rPr>
          <w:rFonts w:eastAsia="Batang" w:cstheme="minorHAnsi"/>
          <w:szCs w:val="22"/>
          <w:lang w:eastAsia="ko-KR"/>
        </w:rPr>
      </w:pPr>
      <w:r w:rsidRPr="00B81291">
        <w:rPr>
          <w:rFonts w:asciiTheme="minorHAnsi" w:eastAsia="Batang" w:hAnsiTheme="minorHAnsi" w:cstheme="minorHAnsi"/>
          <w:b/>
          <w:i/>
          <w:sz w:val="22"/>
          <w:szCs w:val="22"/>
          <w:lang w:eastAsia="ko-KR"/>
        </w:rPr>
        <w:t xml:space="preserve">Accounting staff: </w:t>
      </w:r>
      <w:r w:rsidRPr="00B81291">
        <w:rPr>
          <w:rFonts w:asciiTheme="minorHAnsi" w:eastAsia="Batang" w:hAnsiTheme="minorHAnsi" w:cstheme="minorHAnsi"/>
          <w:sz w:val="22"/>
          <w:szCs w:val="22"/>
          <w:lang w:eastAsia="ko-KR"/>
        </w:rPr>
        <w:t xml:space="preserve">Regarding accounting staff, the assessment indicated that the three participating </w:t>
      </w:r>
      <w:r w:rsidR="00F7469F">
        <w:rPr>
          <w:rFonts w:asciiTheme="minorHAnsi" w:eastAsia="Batang" w:hAnsiTheme="minorHAnsi" w:cstheme="minorHAnsi"/>
          <w:sz w:val="22"/>
          <w:szCs w:val="22"/>
          <w:lang w:eastAsia="ko-KR"/>
        </w:rPr>
        <w:t>c</w:t>
      </w:r>
      <w:r w:rsidR="00F7469F" w:rsidRPr="00B81291">
        <w:rPr>
          <w:rFonts w:asciiTheme="minorHAnsi" w:eastAsia="Batang" w:hAnsiTheme="minorHAnsi" w:cstheme="minorHAnsi"/>
          <w:sz w:val="22"/>
          <w:szCs w:val="22"/>
          <w:lang w:eastAsia="ko-KR"/>
        </w:rPr>
        <w:t>enters</w:t>
      </w:r>
      <w:r w:rsidRPr="00B81291">
        <w:rPr>
          <w:rFonts w:asciiTheme="minorHAnsi" w:eastAsia="Batang" w:hAnsiTheme="minorHAnsi" w:cstheme="minorHAnsi"/>
          <w:sz w:val="22"/>
          <w:szCs w:val="22"/>
          <w:lang w:eastAsia="ko-KR"/>
        </w:rPr>
        <w:t xml:space="preserve"> do not have appropriate FM staff in place to handle the handle the </w:t>
      </w:r>
      <w:r w:rsidR="00C00B64">
        <w:rPr>
          <w:rFonts w:asciiTheme="minorHAnsi" w:eastAsia="Batang" w:hAnsiTheme="minorHAnsi" w:cstheme="minorHAnsi"/>
          <w:sz w:val="22"/>
          <w:szCs w:val="22"/>
          <w:lang w:eastAsia="ko-KR"/>
        </w:rPr>
        <w:t>W</w:t>
      </w:r>
      <w:r w:rsidRPr="00B81291">
        <w:rPr>
          <w:rFonts w:asciiTheme="minorHAnsi" w:eastAsia="Batang" w:hAnsiTheme="minorHAnsi" w:cstheme="minorHAnsi"/>
          <w:sz w:val="22"/>
          <w:szCs w:val="22"/>
          <w:lang w:eastAsia="ko-KR"/>
        </w:rPr>
        <w:t xml:space="preserve">orld Bank-funded projects. For this project, UAM will recruit a qualified and experienced Senior Accountant and an Accounting Assistant for its two participating </w:t>
      </w:r>
      <w:r w:rsidR="00F7469F">
        <w:rPr>
          <w:rFonts w:asciiTheme="minorHAnsi" w:eastAsia="Batang" w:hAnsiTheme="minorHAnsi" w:cstheme="minorHAnsi"/>
          <w:sz w:val="22"/>
          <w:szCs w:val="22"/>
          <w:lang w:eastAsia="ko-KR"/>
        </w:rPr>
        <w:t>c</w:t>
      </w:r>
      <w:r w:rsidR="00F7469F" w:rsidRPr="00B81291">
        <w:rPr>
          <w:rFonts w:asciiTheme="minorHAnsi" w:eastAsia="Batang" w:hAnsiTheme="minorHAnsi" w:cstheme="minorHAnsi"/>
          <w:sz w:val="22"/>
          <w:szCs w:val="22"/>
          <w:lang w:eastAsia="ko-KR"/>
        </w:rPr>
        <w:t>enters</w:t>
      </w:r>
      <w:r w:rsidRPr="00B81291">
        <w:rPr>
          <w:rFonts w:asciiTheme="minorHAnsi" w:eastAsia="Batang" w:hAnsiTheme="minorHAnsi" w:cstheme="minorHAnsi"/>
          <w:sz w:val="22"/>
          <w:szCs w:val="22"/>
          <w:lang w:eastAsia="ko-KR"/>
        </w:rPr>
        <w:t xml:space="preserve"> that is CERPP and MS4SSA. EMIG will also recruit a qualified and experienced Accountant for its activities. The recruitment of these FM staff will be </w:t>
      </w:r>
      <w:r w:rsidR="00C21963">
        <w:rPr>
          <w:rFonts w:asciiTheme="minorHAnsi" w:eastAsia="Batang" w:hAnsiTheme="minorHAnsi" w:cstheme="minorHAnsi"/>
          <w:sz w:val="22"/>
          <w:szCs w:val="22"/>
          <w:lang w:eastAsia="ko-KR"/>
        </w:rPr>
        <w:t>completed with</w:t>
      </w:r>
      <w:r w:rsidR="001A24AF">
        <w:rPr>
          <w:rFonts w:asciiTheme="minorHAnsi" w:eastAsia="Batang" w:hAnsiTheme="minorHAnsi" w:cstheme="minorHAnsi"/>
          <w:sz w:val="22"/>
          <w:szCs w:val="22"/>
          <w:lang w:eastAsia="ko-KR"/>
        </w:rPr>
        <w:t>in</w:t>
      </w:r>
      <w:r w:rsidR="00C21963">
        <w:rPr>
          <w:rFonts w:asciiTheme="minorHAnsi" w:eastAsia="Batang" w:hAnsiTheme="minorHAnsi" w:cstheme="minorHAnsi"/>
          <w:sz w:val="22"/>
          <w:szCs w:val="22"/>
          <w:lang w:eastAsia="ko-KR"/>
        </w:rPr>
        <w:t xml:space="preserve"> 3 months</w:t>
      </w:r>
      <w:r w:rsidR="008B0D81">
        <w:rPr>
          <w:rFonts w:asciiTheme="minorHAnsi" w:eastAsia="Batang" w:hAnsiTheme="minorHAnsi" w:cstheme="minorHAnsi"/>
          <w:sz w:val="22"/>
          <w:szCs w:val="22"/>
          <w:lang w:eastAsia="ko-KR"/>
        </w:rPr>
        <w:t xml:space="preserve"> of effectiveness</w:t>
      </w:r>
      <w:r w:rsidRPr="00B81291">
        <w:rPr>
          <w:rFonts w:asciiTheme="minorHAnsi" w:eastAsia="Batang" w:hAnsiTheme="minorHAnsi" w:cstheme="minorHAnsi"/>
          <w:sz w:val="22"/>
          <w:szCs w:val="22"/>
          <w:lang w:eastAsia="ko-KR"/>
        </w:rPr>
        <w:t>.</w:t>
      </w:r>
    </w:p>
    <w:p w14:paraId="78E6563C" w14:textId="77777777" w:rsidR="00F85912" w:rsidRPr="00C35DF9" w:rsidRDefault="00B00100" w:rsidP="008E2709">
      <w:pPr>
        <w:pStyle w:val="ListParagraph"/>
        <w:widowControl/>
        <w:numPr>
          <w:ilvl w:val="0"/>
          <w:numId w:val="50"/>
        </w:numPr>
        <w:autoSpaceDE/>
        <w:autoSpaceDN/>
        <w:adjustRightInd/>
        <w:ind w:right="720"/>
        <w:contextualSpacing w:val="0"/>
        <w:jc w:val="both"/>
        <w:rPr>
          <w:rFonts w:eastAsia="Batang" w:cstheme="minorHAnsi"/>
          <w:szCs w:val="22"/>
          <w:lang w:eastAsia="ko-KR"/>
        </w:rPr>
      </w:pPr>
      <w:r w:rsidRPr="00B81291">
        <w:rPr>
          <w:rFonts w:asciiTheme="minorHAnsi" w:eastAsia="Batang" w:hAnsiTheme="minorHAnsi" w:cstheme="minorHAnsi"/>
          <w:b/>
          <w:i/>
          <w:sz w:val="22"/>
          <w:szCs w:val="22"/>
          <w:lang w:eastAsia="ko-KR"/>
        </w:rPr>
        <w:t>Accounting information systems:</w:t>
      </w:r>
      <w:r w:rsidRPr="00B81291">
        <w:rPr>
          <w:rFonts w:asciiTheme="minorHAnsi" w:eastAsia="Batang" w:hAnsiTheme="minorHAnsi" w:cstheme="minorHAnsi"/>
          <w:sz w:val="22"/>
          <w:szCs w:val="22"/>
          <w:lang w:eastAsia="ko-KR"/>
        </w:rPr>
        <w:t xml:space="preserve"> The three participating </w:t>
      </w:r>
      <w:r w:rsidR="00F7469F">
        <w:rPr>
          <w:rFonts w:asciiTheme="minorHAnsi" w:eastAsia="Batang" w:hAnsiTheme="minorHAnsi" w:cstheme="minorHAnsi"/>
          <w:sz w:val="22"/>
          <w:szCs w:val="22"/>
          <w:lang w:eastAsia="ko-KR"/>
        </w:rPr>
        <w:t>c</w:t>
      </w:r>
      <w:r w:rsidR="00F7469F" w:rsidRPr="00B81291">
        <w:rPr>
          <w:rFonts w:asciiTheme="minorHAnsi" w:eastAsia="Batang" w:hAnsiTheme="minorHAnsi" w:cstheme="minorHAnsi"/>
          <w:sz w:val="22"/>
          <w:szCs w:val="22"/>
          <w:lang w:eastAsia="ko-KR"/>
        </w:rPr>
        <w:t>enters</w:t>
      </w:r>
      <w:r w:rsidRPr="00B81291">
        <w:rPr>
          <w:rFonts w:asciiTheme="minorHAnsi" w:eastAsia="Batang" w:hAnsiTheme="minorHAnsi" w:cstheme="minorHAnsi"/>
          <w:sz w:val="22"/>
          <w:szCs w:val="22"/>
          <w:lang w:eastAsia="ko-KR"/>
        </w:rPr>
        <w:t xml:space="preserve"> do not have an appropriate Accounting software.  This has resulted in the use of Excel spreadsheets and manual record keeping in preparing financial reports for the other </w:t>
      </w:r>
      <w:r w:rsidR="00974ACF">
        <w:rPr>
          <w:rFonts w:asciiTheme="minorHAnsi" w:eastAsia="Batang" w:hAnsiTheme="minorHAnsi" w:cstheme="minorHAnsi"/>
          <w:sz w:val="22"/>
          <w:szCs w:val="22"/>
          <w:lang w:eastAsia="ko-KR"/>
        </w:rPr>
        <w:t>DP</w:t>
      </w:r>
      <w:r w:rsidRPr="00B81291">
        <w:rPr>
          <w:rFonts w:asciiTheme="minorHAnsi" w:eastAsia="Batang" w:hAnsiTheme="minorHAnsi" w:cstheme="minorHAnsi"/>
          <w:sz w:val="22"/>
          <w:szCs w:val="22"/>
          <w:lang w:eastAsia="ko-KR"/>
        </w:rPr>
        <w:t xml:space="preserve">s’ projects that they </w:t>
      </w:r>
      <w:r w:rsidRPr="00B81291">
        <w:rPr>
          <w:rFonts w:asciiTheme="minorHAnsi" w:eastAsia="Batang" w:hAnsiTheme="minorHAnsi" w:cstheme="minorHAnsi"/>
          <w:sz w:val="22"/>
          <w:szCs w:val="22"/>
          <w:lang w:eastAsia="ko-KR"/>
        </w:rPr>
        <w:lastRenderedPageBreak/>
        <w:t xml:space="preserve">are currently managing. To mitigate this risk, it was agreed that UAM and EMIG will acquire and install a computerized </w:t>
      </w:r>
      <w:r w:rsidR="00864D46">
        <w:rPr>
          <w:rFonts w:asciiTheme="minorHAnsi" w:eastAsia="Batang" w:hAnsiTheme="minorHAnsi" w:cstheme="minorHAnsi"/>
          <w:sz w:val="22"/>
          <w:szCs w:val="22"/>
          <w:lang w:eastAsia="ko-KR"/>
        </w:rPr>
        <w:t>FM</w:t>
      </w:r>
      <w:r w:rsidRPr="00B81291">
        <w:rPr>
          <w:rFonts w:asciiTheme="minorHAnsi" w:eastAsia="Batang" w:hAnsiTheme="minorHAnsi" w:cstheme="minorHAnsi"/>
          <w:sz w:val="22"/>
          <w:szCs w:val="22"/>
          <w:lang w:eastAsia="ko-KR"/>
        </w:rPr>
        <w:t xml:space="preserve"> system</w:t>
      </w:r>
      <w:r w:rsidR="00685DA3">
        <w:rPr>
          <w:rFonts w:asciiTheme="minorHAnsi" w:eastAsia="Batang" w:hAnsiTheme="minorHAnsi" w:cstheme="minorHAnsi"/>
          <w:sz w:val="22"/>
          <w:szCs w:val="22"/>
          <w:lang w:eastAsia="ko-KR"/>
        </w:rPr>
        <w:t xml:space="preserve"> with specifications acceptable to the World Bank</w:t>
      </w:r>
      <w:r w:rsidRPr="00B81291">
        <w:rPr>
          <w:rFonts w:asciiTheme="minorHAnsi" w:eastAsia="Batang" w:hAnsiTheme="minorHAnsi" w:cstheme="minorHAnsi"/>
          <w:sz w:val="22"/>
          <w:szCs w:val="22"/>
          <w:lang w:eastAsia="ko-KR"/>
        </w:rPr>
        <w:t xml:space="preserve">.  The accounting software to be procured would include the following modules to be integrated: budgeting, general accounting, cost accounting, reporting, </w:t>
      </w:r>
      <w:r w:rsidR="00C32084">
        <w:rPr>
          <w:rFonts w:asciiTheme="minorHAnsi" w:eastAsia="Batang" w:hAnsiTheme="minorHAnsi" w:cstheme="minorHAnsi"/>
          <w:sz w:val="22"/>
          <w:szCs w:val="22"/>
          <w:lang w:eastAsia="ko-KR"/>
        </w:rPr>
        <w:t>M&amp;E</w:t>
      </w:r>
      <w:r w:rsidRPr="00B81291">
        <w:rPr>
          <w:rFonts w:asciiTheme="minorHAnsi" w:eastAsia="Batang" w:hAnsiTheme="minorHAnsi" w:cstheme="minorHAnsi"/>
          <w:sz w:val="22"/>
          <w:szCs w:val="22"/>
          <w:lang w:eastAsia="ko-KR"/>
        </w:rPr>
        <w:t>, fixed assets management, preparation of withdrawal applications, and tracking of disbursements by donors. The procurement and installation of a suitable accounting software is expected to be within three (3) months after Effectiveness Date.</w:t>
      </w:r>
    </w:p>
    <w:p w14:paraId="37874418" w14:textId="77777777" w:rsidR="00C35DF9" w:rsidRPr="00B81291" w:rsidRDefault="00C35DF9" w:rsidP="008E2709">
      <w:pPr>
        <w:pStyle w:val="ListParagraph"/>
        <w:widowControl/>
        <w:autoSpaceDE/>
        <w:autoSpaceDN/>
        <w:adjustRightInd/>
        <w:ind w:left="1260" w:right="720"/>
        <w:contextualSpacing w:val="0"/>
        <w:jc w:val="both"/>
        <w:rPr>
          <w:rFonts w:eastAsia="Batang" w:cstheme="minorHAnsi"/>
          <w:szCs w:val="22"/>
          <w:lang w:eastAsia="ko-KR"/>
        </w:rPr>
      </w:pPr>
    </w:p>
    <w:p w14:paraId="5B4C0FC7" w14:textId="77777777" w:rsidR="00F42BC7" w:rsidRPr="00C35DF9" w:rsidRDefault="00B00100" w:rsidP="006C70A5">
      <w:pPr>
        <w:widowControl/>
        <w:numPr>
          <w:ilvl w:val="0"/>
          <w:numId w:val="30"/>
        </w:numPr>
        <w:autoSpaceDE/>
        <w:autoSpaceDN/>
        <w:adjustRightInd/>
        <w:ind w:right="720" w:firstLine="0"/>
        <w:jc w:val="both"/>
        <w:rPr>
          <w:rFonts w:ascii="Calibri" w:eastAsia="Batang" w:hAnsi="Calibri"/>
          <w:sz w:val="22"/>
          <w:szCs w:val="22"/>
          <w:lang w:eastAsia="ko-KR"/>
        </w:rPr>
      </w:pPr>
      <w:r w:rsidRPr="00F42BC7">
        <w:rPr>
          <w:rFonts w:ascii="Calibri" w:eastAsia="Batang" w:hAnsi="Calibri" w:cs="Calibri"/>
          <w:b/>
          <w:i/>
          <w:color w:val="auto"/>
          <w:sz w:val="22"/>
          <w:szCs w:val="22"/>
          <w:lang w:eastAsia="ko-KR"/>
        </w:rPr>
        <w:t>In Nigeria</w:t>
      </w:r>
      <w:r w:rsidR="00351A7D" w:rsidRPr="00F42BC7">
        <w:rPr>
          <w:rFonts w:ascii="Calibri" w:eastAsia="Batang" w:hAnsi="Calibri" w:cs="Calibri"/>
          <w:b/>
          <w:i/>
          <w:color w:val="auto"/>
          <w:sz w:val="22"/>
          <w:szCs w:val="22"/>
          <w:lang w:eastAsia="ko-KR"/>
        </w:rPr>
        <w:t>:</w:t>
      </w:r>
    </w:p>
    <w:p w14:paraId="100634F0" w14:textId="77777777" w:rsidR="00C35DF9" w:rsidRPr="00B81291" w:rsidRDefault="00C35DF9" w:rsidP="00F463C2">
      <w:pPr>
        <w:widowControl/>
        <w:autoSpaceDE/>
        <w:autoSpaceDN/>
        <w:adjustRightInd/>
        <w:ind w:right="720"/>
        <w:jc w:val="both"/>
        <w:rPr>
          <w:rFonts w:ascii="Calibri" w:eastAsia="Batang" w:hAnsi="Calibri"/>
          <w:sz w:val="22"/>
          <w:szCs w:val="22"/>
          <w:lang w:eastAsia="ko-KR"/>
        </w:rPr>
      </w:pPr>
    </w:p>
    <w:p w14:paraId="5929A763" w14:textId="77777777" w:rsidR="00B24DC2" w:rsidRDefault="00B00100" w:rsidP="008E2709">
      <w:pPr>
        <w:pStyle w:val="ListParagraph"/>
        <w:widowControl/>
        <w:numPr>
          <w:ilvl w:val="0"/>
          <w:numId w:val="50"/>
        </w:numPr>
        <w:autoSpaceDE/>
        <w:autoSpaceDN/>
        <w:adjustRightInd/>
        <w:ind w:right="720"/>
        <w:contextualSpacing w:val="0"/>
        <w:jc w:val="both"/>
        <w:rPr>
          <w:rFonts w:ascii="Calibri" w:eastAsia="Batang" w:hAnsi="Calibri"/>
          <w:sz w:val="22"/>
          <w:szCs w:val="22"/>
          <w:lang w:eastAsia="ko-KR"/>
        </w:rPr>
      </w:pPr>
      <w:r w:rsidRPr="00B81291">
        <w:rPr>
          <w:rFonts w:ascii="Calibri" w:eastAsia="Batang" w:hAnsi="Calibri" w:cs="Calibri"/>
          <w:b/>
          <w:i/>
          <w:color w:val="auto"/>
          <w:sz w:val="22"/>
          <w:szCs w:val="22"/>
          <w:lang w:eastAsia="ko-KR"/>
        </w:rPr>
        <w:t>Financial Management Manual</w:t>
      </w:r>
      <w:r w:rsidRPr="00B81291">
        <w:rPr>
          <w:rFonts w:ascii="Calibri" w:eastAsia="Batang" w:hAnsi="Calibri" w:cs="Calibri"/>
          <w:color w:val="auto"/>
          <w:sz w:val="22"/>
          <w:szCs w:val="22"/>
          <w:lang w:eastAsia="ko-KR"/>
        </w:rPr>
        <w:t xml:space="preserve">: </w:t>
      </w:r>
      <w:r w:rsidR="00146D91" w:rsidRPr="00B81291">
        <w:rPr>
          <w:rFonts w:ascii="Calibri" w:eastAsia="Batang" w:hAnsi="Calibri" w:cs="Calibri"/>
          <w:color w:val="auto"/>
          <w:sz w:val="22"/>
          <w:szCs w:val="22"/>
          <w:lang w:eastAsia="ko-KR"/>
        </w:rPr>
        <w:t>T</w:t>
      </w:r>
      <w:r w:rsidRPr="00B81291">
        <w:rPr>
          <w:rFonts w:ascii="Calibri" w:eastAsia="Batang" w:hAnsi="Calibri"/>
          <w:sz w:val="22"/>
          <w:szCs w:val="22"/>
          <w:lang w:eastAsia="ko-KR"/>
        </w:rPr>
        <w:t xml:space="preserve">he </w:t>
      </w:r>
      <w:r w:rsidR="0058173D">
        <w:rPr>
          <w:rFonts w:ascii="Calibri" w:eastAsia="Batang" w:hAnsi="Calibri"/>
          <w:sz w:val="22"/>
          <w:szCs w:val="22"/>
          <w:lang w:eastAsia="ko-KR"/>
        </w:rPr>
        <w:t>R</w:t>
      </w:r>
      <w:r w:rsidRPr="00B81291">
        <w:rPr>
          <w:rFonts w:ascii="Calibri" w:eastAsia="Batang" w:hAnsi="Calibri"/>
          <w:sz w:val="22"/>
          <w:szCs w:val="22"/>
          <w:lang w:eastAsia="ko-KR"/>
        </w:rPr>
        <w:t xml:space="preserve">enewal centers </w:t>
      </w:r>
      <w:r w:rsidR="00146D91" w:rsidRPr="00B81291">
        <w:rPr>
          <w:rFonts w:ascii="Calibri" w:eastAsia="Batang" w:hAnsi="Calibri"/>
          <w:sz w:val="22"/>
          <w:szCs w:val="22"/>
          <w:lang w:eastAsia="ko-KR"/>
        </w:rPr>
        <w:t xml:space="preserve">from </w:t>
      </w:r>
      <w:r w:rsidRPr="00B81291">
        <w:rPr>
          <w:rFonts w:ascii="Calibri" w:eastAsia="Batang" w:hAnsi="Calibri"/>
          <w:sz w:val="22"/>
          <w:szCs w:val="22"/>
          <w:lang w:eastAsia="ko-KR"/>
        </w:rPr>
        <w:t xml:space="preserve">ACE I will continue to use the existing manuals as reviewed.  For the </w:t>
      </w:r>
      <w:r w:rsidR="003A535F">
        <w:rPr>
          <w:rFonts w:ascii="Calibri" w:eastAsia="Batang" w:hAnsi="Calibri"/>
          <w:sz w:val="22"/>
          <w:szCs w:val="22"/>
          <w:lang w:eastAsia="ko-KR"/>
        </w:rPr>
        <w:t>N</w:t>
      </w:r>
      <w:r w:rsidRPr="00B81291">
        <w:rPr>
          <w:rFonts w:ascii="Calibri" w:eastAsia="Batang" w:hAnsi="Calibri"/>
          <w:sz w:val="22"/>
          <w:szCs w:val="22"/>
          <w:lang w:eastAsia="ko-KR"/>
        </w:rPr>
        <w:t>ew ACEs</w:t>
      </w:r>
      <w:r w:rsidR="00146D91" w:rsidRPr="00B81291">
        <w:rPr>
          <w:rFonts w:ascii="Calibri" w:eastAsia="Batang" w:hAnsi="Calibri"/>
          <w:sz w:val="22"/>
          <w:szCs w:val="22"/>
          <w:lang w:eastAsia="ko-KR"/>
        </w:rPr>
        <w:t>, e</w:t>
      </w:r>
      <w:r w:rsidRPr="00B81291">
        <w:rPr>
          <w:rFonts w:ascii="Calibri" w:eastAsia="Batang" w:hAnsi="Calibri"/>
          <w:sz w:val="22"/>
          <w:szCs w:val="22"/>
          <w:lang w:eastAsia="ko-KR"/>
        </w:rPr>
        <w:t xml:space="preserve">ach center will </w:t>
      </w:r>
      <w:r w:rsidR="00265414">
        <w:rPr>
          <w:rFonts w:ascii="Calibri" w:eastAsia="Batang" w:hAnsi="Calibri"/>
          <w:sz w:val="22"/>
          <w:szCs w:val="22"/>
          <w:lang w:eastAsia="ko-KR"/>
        </w:rPr>
        <w:t xml:space="preserve">prepare (if an FM manual does not exist) </w:t>
      </w:r>
      <w:r w:rsidR="00C22E27">
        <w:rPr>
          <w:rFonts w:ascii="Calibri" w:eastAsia="Batang" w:hAnsi="Calibri"/>
          <w:sz w:val="22"/>
          <w:szCs w:val="22"/>
          <w:lang w:eastAsia="ko-KR"/>
        </w:rPr>
        <w:t xml:space="preserve">or </w:t>
      </w:r>
      <w:r w:rsidRPr="00B81291">
        <w:rPr>
          <w:rFonts w:ascii="Calibri" w:eastAsia="Batang" w:hAnsi="Calibri"/>
          <w:sz w:val="22"/>
          <w:szCs w:val="22"/>
          <w:lang w:eastAsia="ko-KR"/>
        </w:rPr>
        <w:t xml:space="preserve">update its existing FM manual to include the proposed Second </w:t>
      </w:r>
      <w:r w:rsidR="00BB4A89">
        <w:rPr>
          <w:rFonts w:ascii="Calibri" w:eastAsia="Batang" w:hAnsi="Calibri"/>
          <w:sz w:val="22"/>
          <w:szCs w:val="22"/>
          <w:lang w:eastAsia="ko-KR"/>
        </w:rPr>
        <w:t>ACE Impact Project</w:t>
      </w:r>
      <w:r w:rsidRPr="00B81291">
        <w:rPr>
          <w:rFonts w:ascii="Calibri" w:eastAsia="Batang" w:hAnsi="Calibri"/>
          <w:sz w:val="22"/>
          <w:szCs w:val="22"/>
          <w:lang w:eastAsia="ko-KR"/>
        </w:rPr>
        <w:t xml:space="preserve">. </w:t>
      </w:r>
      <w:r w:rsidR="008C18AD">
        <w:rPr>
          <w:rFonts w:ascii="Calibri" w:eastAsia="Batang" w:hAnsi="Calibri"/>
          <w:sz w:val="22"/>
          <w:szCs w:val="22"/>
          <w:lang w:eastAsia="ko-KR"/>
        </w:rPr>
        <w:t xml:space="preserve">The FM manual is </w:t>
      </w:r>
      <w:r w:rsidR="00BD4605">
        <w:rPr>
          <w:rFonts w:ascii="Calibri" w:eastAsia="Batang" w:hAnsi="Calibri" w:cs="Calibri"/>
          <w:color w:val="auto"/>
          <w:sz w:val="22"/>
          <w:szCs w:val="22"/>
          <w:lang w:eastAsia="ko-KR"/>
        </w:rPr>
        <w:t xml:space="preserve">part of the requirements for achievement of DLI 1 </w:t>
      </w:r>
      <w:r w:rsidR="008C18AD">
        <w:rPr>
          <w:rFonts w:ascii="Calibri" w:eastAsia="Batang" w:hAnsi="Calibri" w:cs="Calibri"/>
          <w:color w:val="auto"/>
          <w:sz w:val="22"/>
          <w:szCs w:val="22"/>
          <w:lang w:eastAsia="ko-KR"/>
        </w:rPr>
        <w:t>under</w:t>
      </w:r>
      <w:r w:rsidR="00BD4605">
        <w:rPr>
          <w:rFonts w:ascii="Calibri" w:eastAsia="Batang" w:hAnsi="Calibri" w:cs="Calibri"/>
          <w:color w:val="auto"/>
          <w:sz w:val="22"/>
          <w:szCs w:val="22"/>
          <w:lang w:eastAsia="ko-KR"/>
        </w:rPr>
        <w:t xml:space="preserve"> Institutional readiness</w:t>
      </w:r>
      <w:r w:rsidR="00BD4605" w:rsidRPr="00B81291">
        <w:rPr>
          <w:rFonts w:ascii="Calibri" w:eastAsia="Batang" w:hAnsi="Calibri"/>
          <w:sz w:val="22"/>
          <w:szCs w:val="22"/>
          <w:lang w:eastAsia="ko-KR"/>
        </w:rPr>
        <w:t xml:space="preserve"> </w:t>
      </w:r>
      <w:r w:rsidRPr="00B81291">
        <w:rPr>
          <w:rFonts w:ascii="Calibri" w:eastAsia="Batang" w:hAnsi="Calibri"/>
          <w:sz w:val="22"/>
          <w:szCs w:val="22"/>
          <w:lang w:eastAsia="ko-KR"/>
        </w:rPr>
        <w:t>In Nigeria, it was noted that all the Universities have fully complied with the use of National Chart of Accounts</w:t>
      </w:r>
      <w:r w:rsidR="00966008" w:rsidRPr="00B81291">
        <w:rPr>
          <w:rFonts w:ascii="Calibri" w:eastAsia="Batang" w:hAnsi="Calibri"/>
          <w:sz w:val="22"/>
          <w:szCs w:val="22"/>
          <w:lang w:eastAsia="ko-KR"/>
        </w:rPr>
        <w:t>.</w:t>
      </w:r>
    </w:p>
    <w:p w14:paraId="2E0776C1" w14:textId="77777777" w:rsidR="00F42BC7" w:rsidRDefault="00B00100" w:rsidP="008E2709">
      <w:pPr>
        <w:pStyle w:val="ListParagraph"/>
        <w:widowControl/>
        <w:numPr>
          <w:ilvl w:val="0"/>
          <w:numId w:val="50"/>
        </w:numPr>
        <w:autoSpaceDE/>
        <w:autoSpaceDN/>
        <w:adjustRightInd/>
        <w:spacing w:after="120"/>
        <w:ind w:right="720"/>
        <w:jc w:val="both"/>
        <w:rPr>
          <w:rFonts w:ascii="Calibri" w:eastAsia="Batang" w:hAnsi="Calibri"/>
          <w:sz w:val="22"/>
          <w:szCs w:val="22"/>
          <w:lang w:eastAsia="ko-KR"/>
        </w:rPr>
      </w:pPr>
      <w:r w:rsidRPr="00B81291">
        <w:rPr>
          <w:rFonts w:ascii="Calibri" w:eastAsia="Batang" w:hAnsi="Calibri"/>
          <w:b/>
          <w:i/>
          <w:sz w:val="22"/>
          <w:szCs w:val="22"/>
          <w:lang w:eastAsia="ko-KR"/>
        </w:rPr>
        <w:t>Accounting staff:</w:t>
      </w:r>
      <w:r w:rsidRPr="00512541">
        <w:rPr>
          <w:rFonts w:ascii="Calibri" w:eastAsia="Batang" w:hAnsi="Calibri"/>
          <w:sz w:val="22"/>
          <w:szCs w:val="22"/>
          <w:lang w:eastAsia="ko-KR"/>
        </w:rPr>
        <w:t xml:space="preserve"> As implementing entities, </w:t>
      </w:r>
      <w:r w:rsidR="00851A9F">
        <w:rPr>
          <w:rFonts w:ascii="Calibri" w:eastAsia="Batang" w:hAnsi="Calibri"/>
          <w:sz w:val="22"/>
          <w:szCs w:val="22"/>
          <w:lang w:eastAsia="ko-KR"/>
        </w:rPr>
        <w:t xml:space="preserve">unless </w:t>
      </w:r>
      <w:r w:rsidR="00DC173A" w:rsidRPr="00512541">
        <w:rPr>
          <w:rFonts w:ascii="Calibri" w:eastAsia="Batang" w:hAnsi="Calibri"/>
          <w:sz w:val="22"/>
          <w:szCs w:val="22"/>
          <w:lang w:eastAsia="ko-KR"/>
        </w:rPr>
        <w:t xml:space="preserve">a qualified and experienced accountant </w:t>
      </w:r>
      <w:r w:rsidR="00DC173A">
        <w:rPr>
          <w:rFonts w:ascii="Calibri" w:eastAsia="Batang" w:hAnsi="Calibri"/>
          <w:sz w:val="22"/>
          <w:szCs w:val="22"/>
          <w:lang w:eastAsia="ko-KR"/>
        </w:rPr>
        <w:t xml:space="preserve">exists, </w:t>
      </w:r>
      <w:r w:rsidRPr="00512541">
        <w:rPr>
          <w:rFonts w:ascii="Calibri" w:eastAsia="Batang" w:hAnsi="Calibri"/>
          <w:sz w:val="22"/>
          <w:szCs w:val="22"/>
          <w:lang w:eastAsia="ko-KR"/>
        </w:rPr>
        <w:t>each center will be required to recruit or assign a qualified and experienced accountant to the project</w:t>
      </w:r>
      <w:r w:rsidR="00922147">
        <w:rPr>
          <w:rFonts w:ascii="Calibri" w:eastAsia="Batang" w:hAnsi="Calibri"/>
          <w:sz w:val="22"/>
          <w:szCs w:val="22"/>
          <w:lang w:eastAsia="ko-KR"/>
        </w:rPr>
        <w:t xml:space="preserve"> within 3 months after effectiveness</w:t>
      </w:r>
    </w:p>
    <w:p w14:paraId="6F639244" w14:textId="77777777" w:rsidR="002E1A3F" w:rsidRDefault="00B00100" w:rsidP="008E2709">
      <w:pPr>
        <w:pStyle w:val="ListParagraph"/>
        <w:widowControl/>
        <w:numPr>
          <w:ilvl w:val="0"/>
          <w:numId w:val="50"/>
        </w:numPr>
        <w:autoSpaceDE/>
        <w:autoSpaceDN/>
        <w:adjustRightInd/>
        <w:spacing w:after="120"/>
        <w:ind w:right="720"/>
        <w:jc w:val="both"/>
        <w:rPr>
          <w:rFonts w:ascii="Calibri" w:eastAsia="Batang" w:hAnsi="Calibri"/>
          <w:sz w:val="22"/>
          <w:szCs w:val="22"/>
          <w:lang w:eastAsia="ko-KR"/>
        </w:rPr>
      </w:pPr>
      <w:r w:rsidRPr="00B81291">
        <w:rPr>
          <w:rFonts w:ascii="Calibri" w:eastAsia="Batang" w:hAnsi="Calibri"/>
          <w:b/>
          <w:i/>
          <w:sz w:val="22"/>
          <w:szCs w:val="22"/>
          <w:lang w:eastAsia="ko-KR"/>
        </w:rPr>
        <w:t>Accounting Information systems</w:t>
      </w:r>
      <w:r w:rsidRPr="00512541">
        <w:rPr>
          <w:rFonts w:ascii="Calibri" w:eastAsia="Batang" w:hAnsi="Calibri"/>
          <w:sz w:val="22"/>
          <w:szCs w:val="22"/>
          <w:lang w:eastAsia="ko-KR"/>
        </w:rPr>
        <w:t xml:space="preserve">: Computerized accounting information systems are essential as they ensure efficiency in the preparation of accounts and avoid errors associated with manual systems and will facilitate (i) the budget preparation and monitoring; </w:t>
      </w:r>
      <w:r w:rsidR="003F4E58">
        <w:rPr>
          <w:rFonts w:ascii="Calibri" w:eastAsia="Batang" w:hAnsi="Calibri"/>
          <w:sz w:val="22"/>
          <w:szCs w:val="22"/>
          <w:lang w:eastAsia="ko-KR"/>
        </w:rPr>
        <w:t xml:space="preserve">and </w:t>
      </w:r>
      <w:r w:rsidRPr="00512541">
        <w:rPr>
          <w:rFonts w:ascii="Calibri" w:eastAsia="Batang" w:hAnsi="Calibri"/>
          <w:sz w:val="22"/>
          <w:szCs w:val="22"/>
          <w:lang w:eastAsia="ko-KR"/>
        </w:rPr>
        <w:t xml:space="preserve">(ii) the preparation of interim bi-annual financial statements and annual financial statements under a format acceptable to the World Bank. For Nigeria, almost all the centers now have computerized accounting system using different accounting software except for the </w:t>
      </w:r>
      <w:r w:rsidRPr="00512541">
        <w:rPr>
          <w:rFonts w:ascii="Calibri" w:eastAsia="Batang" w:hAnsi="Calibri"/>
          <w:i/>
          <w:sz w:val="22"/>
          <w:szCs w:val="22"/>
          <w:lang w:eastAsia="ko-KR"/>
        </w:rPr>
        <w:t>R</w:t>
      </w:r>
      <w:r w:rsidR="00D42BB5">
        <w:rPr>
          <w:rFonts w:ascii="Calibri" w:eastAsia="Batang" w:hAnsi="Calibri"/>
          <w:i/>
          <w:sz w:val="22"/>
          <w:szCs w:val="22"/>
          <w:lang w:eastAsia="ko-KR"/>
        </w:rPr>
        <w:t>edeemer</w:t>
      </w:r>
      <w:r w:rsidRPr="00512541">
        <w:rPr>
          <w:rFonts w:ascii="Calibri" w:eastAsia="Batang" w:hAnsi="Calibri"/>
          <w:i/>
          <w:sz w:val="22"/>
          <w:szCs w:val="22"/>
          <w:lang w:eastAsia="ko-KR"/>
        </w:rPr>
        <w:t>’s, Ahmadu Bello universities</w:t>
      </w:r>
      <w:r w:rsidRPr="00512541">
        <w:rPr>
          <w:rFonts w:ascii="Calibri" w:eastAsia="Batang" w:hAnsi="Calibri"/>
          <w:sz w:val="22"/>
          <w:szCs w:val="22"/>
          <w:lang w:eastAsia="ko-KR"/>
        </w:rPr>
        <w:t xml:space="preserve"> who are at various stages in the computerization process. However, </w:t>
      </w:r>
      <w:r w:rsidRPr="00512541">
        <w:rPr>
          <w:rFonts w:ascii="Calibri" w:eastAsia="Batang" w:hAnsi="Calibri"/>
          <w:i/>
          <w:sz w:val="22"/>
          <w:szCs w:val="22"/>
          <w:lang w:eastAsia="ko-KR"/>
        </w:rPr>
        <w:t>NOUN</w:t>
      </w:r>
      <w:r w:rsidR="00C262A4">
        <w:rPr>
          <w:rFonts w:ascii="Calibri" w:eastAsia="Batang" w:hAnsi="Calibri"/>
          <w:i/>
          <w:sz w:val="22"/>
          <w:szCs w:val="22"/>
          <w:lang w:eastAsia="ko-KR"/>
        </w:rPr>
        <w:t xml:space="preserve"> and</w:t>
      </w:r>
      <w:r w:rsidRPr="00512541">
        <w:rPr>
          <w:rFonts w:ascii="Calibri" w:eastAsia="Batang" w:hAnsi="Calibri"/>
          <w:i/>
          <w:sz w:val="22"/>
          <w:szCs w:val="22"/>
          <w:lang w:eastAsia="ko-KR"/>
        </w:rPr>
        <w:t xml:space="preserve"> FUTMIN</w:t>
      </w:r>
      <w:r w:rsidR="003F7847">
        <w:rPr>
          <w:rFonts w:ascii="Calibri" w:eastAsia="Batang" w:hAnsi="Calibri"/>
          <w:sz w:val="22"/>
          <w:szCs w:val="22"/>
          <w:lang w:eastAsia="ko-KR"/>
        </w:rPr>
        <w:t xml:space="preserve"> </w:t>
      </w:r>
      <w:r w:rsidRPr="00512541">
        <w:rPr>
          <w:rFonts w:ascii="Calibri" w:eastAsia="Batang" w:hAnsi="Calibri"/>
          <w:sz w:val="22"/>
          <w:szCs w:val="22"/>
          <w:lang w:eastAsia="ko-KR"/>
        </w:rPr>
        <w:t xml:space="preserve">rely on manual accounting systems. </w:t>
      </w:r>
      <w:r w:rsidR="00B561E6" w:rsidRPr="00B561E6">
        <w:rPr>
          <w:rFonts w:ascii="Calibri" w:eastAsia="Batang" w:hAnsi="Calibri"/>
          <w:sz w:val="22"/>
          <w:szCs w:val="22"/>
          <w:lang w:eastAsia="ko-KR"/>
        </w:rPr>
        <w:t>Covenant university,</w:t>
      </w:r>
      <w:r w:rsidR="00B561E6">
        <w:rPr>
          <w:rFonts w:ascii="Calibri" w:eastAsia="Batang" w:hAnsi="Calibri"/>
          <w:sz w:val="22"/>
          <w:szCs w:val="22"/>
          <w:lang w:eastAsia="ko-KR"/>
        </w:rPr>
        <w:t xml:space="preserve"> </w:t>
      </w:r>
      <w:r w:rsidR="00B561E6" w:rsidRPr="00B561E6">
        <w:rPr>
          <w:rFonts w:ascii="Calibri" w:eastAsia="Batang" w:hAnsi="Calibri"/>
          <w:sz w:val="22"/>
          <w:szCs w:val="22"/>
          <w:lang w:eastAsia="ko-KR"/>
        </w:rPr>
        <w:t>FUTO,</w:t>
      </w:r>
      <w:r w:rsidR="00B561E6">
        <w:rPr>
          <w:rFonts w:ascii="Calibri" w:eastAsia="Batang" w:hAnsi="Calibri"/>
          <w:sz w:val="22"/>
          <w:szCs w:val="22"/>
          <w:lang w:eastAsia="ko-KR"/>
        </w:rPr>
        <w:t xml:space="preserve"> </w:t>
      </w:r>
      <w:r w:rsidR="00B561E6" w:rsidRPr="00B561E6">
        <w:rPr>
          <w:rFonts w:ascii="Calibri" w:eastAsia="Batang" w:hAnsi="Calibri"/>
          <w:sz w:val="22"/>
          <w:szCs w:val="22"/>
          <w:lang w:eastAsia="ko-KR"/>
        </w:rPr>
        <w:t xml:space="preserve">Uniport, UniLag, LASU and UNN </w:t>
      </w:r>
      <w:r w:rsidR="00B561E6">
        <w:rPr>
          <w:rFonts w:ascii="Calibri" w:eastAsia="Batang" w:hAnsi="Calibri"/>
          <w:sz w:val="22"/>
          <w:szCs w:val="22"/>
          <w:lang w:eastAsia="ko-KR"/>
        </w:rPr>
        <w:t xml:space="preserve">need to </w:t>
      </w:r>
      <w:r w:rsidR="00307EF8" w:rsidRPr="00307EF8">
        <w:rPr>
          <w:rFonts w:ascii="Calibri" w:eastAsia="Batang" w:hAnsi="Calibri"/>
          <w:sz w:val="22"/>
          <w:szCs w:val="22"/>
          <w:lang w:eastAsia="ko-KR"/>
        </w:rPr>
        <w:t>upgrade the university accounting software to capture the</w:t>
      </w:r>
      <w:r w:rsidR="00643CFC">
        <w:rPr>
          <w:rFonts w:ascii="Calibri" w:eastAsia="Batang" w:hAnsi="Calibri"/>
          <w:sz w:val="22"/>
          <w:szCs w:val="22"/>
          <w:lang w:eastAsia="ko-KR"/>
        </w:rPr>
        <w:t>ir</w:t>
      </w:r>
      <w:r w:rsidR="00307EF8" w:rsidRPr="00307EF8">
        <w:rPr>
          <w:rFonts w:ascii="Calibri" w:eastAsia="Batang" w:hAnsi="Calibri"/>
          <w:sz w:val="22"/>
          <w:szCs w:val="22"/>
          <w:lang w:eastAsia="ko-KR"/>
        </w:rPr>
        <w:t xml:space="preserve"> cent</w:t>
      </w:r>
      <w:r w:rsidR="00B561E6">
        <w:rPr>
          <w:rFonts w:ascii="Calibri" w:eastAsia="Batang" w:hAnsi="Calibri"/>
          <w:sz w:val="22"/>
          <w:szCs w:val="22"/>
          <w:lang w:eastAsia="ko-KR"/>
        </w:rPr>
        <w:t>er</w:t>
      </w:r>
      <w:r w:rsidR="00307EF8" w:rsidRPr="00307EF8">
        <w:rPr>
          <w:rFonts w:ascii="Calibri" w:eastAsia="Batang" w:hAnsi="Calibri"/>
          <w:sz w:val="22"/>
          <w:szCs w:val="22"/>
          <w:lang w:eastAsia="ko-KR"/>
        </w:rPr>
        <w:t xml:space="preserve"> </w:t>
      </w:r>
      <w:r w:rsidR="00643CFC" w:rsidRPr="00307EF8">
        <w:rPr>
          <w:rFonts w:ascii="Calibri" w:eastAsia="Batang" w:hAnsi="Calibri"/>
          <w:sz w:val="22"/>
          <w:szCs w:val="22"/>
          <w:lang w:eastAsia="ko-KR"/>
        </w:rPr>
        <w:t>activities</w:t>
      </w:r>
    </w:p>
    <w:p w14:paraId="59EF37D5" w14:textId="77777777" w:rsidR="00645355" w:rsidRDefault="00B00100" w:rsidP="006C70A5">
      <w:pPr>
        <w:widowControl/>
        <w:numPr>
          <w:ilvl w:val="0"/>
          <w:numId w:val="30"/>
        </w:numPr>
        <w:autoSpaceDE/>
        <w:autoSpaceDN/>
        <w:adjustRightInd/>
        <w:ind w:left="270" w:right="720" w:firstLine="0"/>
        <w:jc w:val="both"/>
        <w:rPr>
          <w:rFonts w:ascii="Batang" w:eastAsia="Batang" w:hAnsi="Batang" w:cs="Batang"/>
          <w:b/>
          <w:color w:val="auto"/>
          <w:sz w:val="22"/>
          <w:szCs w:val="22"/>
          <w:lang w:eastAsia="ko-KR"/>
        </w:rPr>
      </w:pPr>
      <w:r w:rsidRPr="002E1A3F">
        <w:rPr>
          <w:rFonts w:ascii="Calibri" w:eastAsia="Batang" w:hAnsi="Calibri" w:cs="Calibri"/>
          <w:b/>
          <w:i/>
          <w:color w:val="auto"/>
          <w:sz w:val="22"/>
          <w:szCs w:val="22"/>
          <w:lang w:eastAsia="ko-KR"/>
        </w:rPr>
        <w:t>In Togo</w:t>
      </w:r>
      <w:r w:rsidR="001564EA">
        <w:rPr>
          <w:rFonts w:ascii="Batang" w:eastAsia="Batang" w:hAnsi="Batang" w:cs="Batang"/>
          <w:b/>
          <w:color w:val="auto"/>
          <w:sz w:val="22"/>
          <w:szCs w:val="22"/>
          <w:lang w:eastAsia="ko-KR"/>
        </w:rPr>
        <w:t>:</w:t>
      </w:r>
    </w:p>
    <w:p w14:paraId="493DCD68" w14:textId="77777777" w:rsidR="00C35DF9" w:rsidRDefault="00C35DF9" w:rsidP="00F463C2">
      <w:pPr>
        <w:widowControl/>
        <w:autoSpaceDE/>
        <w:autoSpaceDN/>
        <w:adjustRightInd/>
        <w:ind w:right="720"/>
        <w:jc w:val="both"/>
        <w:rPr>
          <w:rFonts w:ascii="Batang" w:eastAsia="Batang" w:hAnsi="Batang" w:cs="Batang"/>
          <w:b/>
          <w:color w:val="auto"/>
          <w:sz w:val="22"/>
          <w:szCs w:val="22"/>
          <w:lang w:eastAsia="ko-KR"/>
        </w:rPr>
      </w:pPr>
    </w:p>
    <w:p w14:paraId="62FDDF41" w14:textId="77777777" w:rsidR="00645355" w:rsidRDefault="00B00100" w:rsidP="008E2709">
      <w:pPr>
        <w:pStyle w:val="ListParagraph"/>
        <w:widowControl/>
        <w:numPr>
          <w:ilvl w:val="0"/>
          <w:numId w:val="50"/>
        </w:numPr>
        <w:autoSpaceDE/>
        <w:autoSpaceDN/>
        <w:adjustRightInd/>
        <w:ind w:right="720"/>
        <w:contextualSpacing w:val="0"/>
        <w:jc w:val="both"/>
        <w:rPr>
          <w:rFonts w:ascii="Calibri" w:eastAsia="Batang" w:hAnsi="Calibri"/>
          <w:sz w:val="22"/>
          <w:szCs w:val="22"/>
          <w:lang w:eastAsia="ko-KR"/>
        </w:rPr>
      </w:pPr>
      <w:r w:rsidRPr="00345CFE">
        <w:rPr>
          <w:rFonts w:ascii="Calibri" w:eastAsia="Batang" w:hAnsi="Calibri"/>
          <w:b/>
          <w:bCs/>
          <w:sz w:val="22"/>
          <w:szCs w:val="22"/>
          <w:lang w:eastAsia="ko-KR"/>
        </w:rPr>
        <w:t xml:space="preserve">Financial Management Manual: </w:t>
      </w:r>
      <w:r w:rsidRPr="00345CFE">
        <w:rPr>
          <w:rFonts w:ascii="Calibri" w:eastAsia="Batang" w:hAnsi="Calibri"/>
          <w:sz w:val="22"/>
          <w:szCs w:val="22"/>
          <w:lang w:eastAsia="ko-KR"/>
        </w:rPr>
        <w:t xml:space="preserve">CERSA’s existing FM manual will be updated to include the proposed project and will be adapted to CERME, and ACE-DOUNEDON </w:t>
      </w:r>
      <w:r w:rsidR="0074236B">
        <w:rPr>
          <w:rFonts w:ascii="Calibri" w:eastAsia="Batang" w:hAnsi="Calibri" w:cs="Calibri"/>
          <w:color w:val="auto"/>
          <w:sz w:val="22"/>
          <w:szCs w:val="22"/>
          <w:lang w:eastAsia="ko-KR"/>
        </w:rPr>
        <w:t>as part of the requirements for achievement of DLI 1 on Institutional readiness</w:t>
      </w:r>
      <w:r w:rsidRPr="00345CFE">
        <w:rPr>
          <w:rFonts w:ascii="Calibri" w:eastAsia="Batang" w:hAnsi="Calibri"/>
          <w:sz w:val="22"/>
          <w:szCs w:val="22"/>
          <w:lang w:eastAsia="ko-KR"/>
        </w:rPr>
        <w:t xml:space="preserve">. </w:t>
      </w:r>
    </w:p>
    <w:p w14:paraId="406A9D99" w14:textId="77777777" w:rsidR="00645355" w:rsidRDefault="00B00100" w:rsidP="008E2709">
      <w:pPr>
        <w:pStyle w:val="ListParagraph"/>
        <w:widowControl/>
        <w:numPr>
          <w:ilvl w:val="0"/>
          <w:numId w:val="50"/>
        </w:numPr>
        <w:autoSpaceDE/>
        <w:autoSpaceDN/>
        <w:adjustRightInd/>
        <w:spacing w:after="120"/>
        <w:ind w:right="720"/>
        <w:jc w:val="both"/>
        <w:rPr>
          <w:rFonts w:ascii="Calibri" w:eastAsia="Batang" w:hAnsi="Calibri"/>
          <w:sz w:val="22"/>
          <w:szCs w:val="22"/>
          <w:lang w:eastAsia="ko-KR"/>
        </w:rPr>
      </w:pPr>
      <w:r w:rsidRPr="00345CFE">
        <w:rPr>
          <w:rFonts w:ascii="Calibri" w:eastAsia="Batang" w:hAnsi="Calibri"/>
          <w:b/>
          <w:bCs/>
          <w:sz w:val="22"/>
          <w:szCs w:val="22"/>
          <w:lang w:eastAsia="ko-KR"/>
        </w:rPr>
        <w:t>Accounting staff</w:t>
      </w:r>
      <w:r w:rsidRPr="00345CFE">
        <w:rPr>
          <w:rFonts w:ascii="Calibri" w:eastAsia="Batang" w:hAnsi="Calibri"/>
          <w:sz w:val="22"/>
          <w:szCs w:val="22"/>
          <w:lang w:eastAsia="ko-KR"/>
        </w:rPr>
        <w:t xml:space="preserve">:  Within three months after effectiveness, </w:t>
      </w:r>
      <w:r w:rsidR="0062075A">
        <w:rPr>
          <w:rFonts w:ascii="Calibri" w:eastAsia="Batang" w:hAnsi="Calibri"/>
          <w:sz w:val="22"/>
          <w:szCs w:val="22"/>
          <w:lang w:eastAsia="ko-KR"/>
        </w:rPr>
        <w:t xml:space="preserve">each of the New centers: </w:t>
      </w:r>
      <w:r w:rsidRPr="00345CFE">
        <w:rPr>
          <w:rFonts w:ascii="Calibri" w:eastAsia="Batang" w:hAnsi="Calibri"/>
          <w:sz w:val="22"/>
          <w:szCs w:val="22"/>
          <w:lang w:eastAsia="ko-KR"/>
        </w:rPr>
        <w:t xml:space="preserve">CERME, and the ACE-DOUNEDON will recruit a qualified and experienced FMS, and the </w:t>
      </w:r>
      <w:r w:rsidR="00423ED0">
        <w:rPr>
          <w:rFonts w:ascii="Calibri" w:eastAsia="Batang" w:hAnsi="Calibri"/>
          <w:sz w:val="22"/>
          <w:szCs w:val="22"/>
          <w:lang w:eastAsia="ko-KR"/>
        </w:rPr>
        <w:t>UL</w:t>
      </w:r>
      <w:r w:rsidRPr="00345CFE">
        <w:rPr>
          <w:rFonts w:ascii="Calibri" w:eastAsia="Batang" w:hAnsi="Calibri"/>
          <w:sz w:val="22"/>
          <w:szCs w:val="22"/>
          <w:lang w:eastAsia="ko-KR"/>
        </w:rPr>
        <w:t xml:space="preserve"> will assign</w:t>
      </w:r>
      <w:r w:rsidR="008C0899">
        <w:rPr>
          <w:rFonts w:ascii="Calibri" w:eastAsia="Batang" w:hAnsi="Calibri"/>
          <w:sz w:val="22"/>
          <w:szCs w:val="22"/>
          <w:lang w:eastAsia="ko-KR"/>
        </w:rPr>
        <w:t>,</w:t>
      </w:r>
      <w:r w:rsidRPr="00345CFE">
        <w:rPr>
          <w:rFonts w:ascii="Calibri" w:eastAsia="Batang" w:hAnsi="Calibri"/>
          <w:sz w:val="22"/>
          <w:szCs w:val="22"/>
          <w:lang w:eastAsia="ko-KR"/>
        </w:rPr>
        <w:t xml:space="preserve"> within three months after effectiveness</w:t>
      </w:r>
      <w:r w:rsidR="008C0899">
        <w:rPr>
          <w:rFonts w:ascii="Calibri" w:eastAsia="Batang" w:hAnsi="Calibri"/>
          <w:sz w:val="22"/>
          <w:szCs w:val="22"/>
          <w:lang w:eastAsia="ko-KR"/>
        </w:rPr>
        <w:t>,</w:t>
      </w:r>
      <w:r w:rsidRPr="00345CFE">
        <w:rPr>
          <w:rFonts w:ascii="Calibri" w:eastAsia="Batang" w:hAnsi="Calibri"/>
          <w:sz w:val="22"/>
          <w:szCs w:val="22"/>
          <w:lang w:eastAsia="ko-KR"/>
        </w:rPr>
        <w:t xml:space="preserve"> two qualified and experienced civil servants as Accountants for each </w:t>
      </w:r>
      <w:r w:rsidR="00FC3CAE">
        <w:rPr>
          <w:rFonts w:ascii="Calibri" w:eastAsia="Batang" w:hAnsi="Calibri"/>
          <w:sz w:val="22"/>
          <w:szCs w:val="22"/>
          <w:lang w:eastAsia="ko-KR"/>
        </w:rPr>
        <w:t>center</w:t>
      </w:r>
      <w:r w:rsidRPr="00345CFE">
        <w:rPr>
          <w:rFonts w:ascii="Calibri" w:eastAsia="Batang" w:hAnsi="Calibri"/>
          <w:sz w:val="22"/>
          <w:szCs w:val="22"/>
          <w:lang w:eastAsia="ko-KR"/>
        </w:rPr>
        <w:t xml:space="preserve">, fully dedicated to the Project accounting and disbursement tasks. </w:t>
      </w:r>
    </w:p>
    <w:p w14:paraId="552CE061" w14:textId="77777777" w:rsidR="00645355" w:rsidRPr="00345CFE" w:rsidRDefault="00B00100" w:rsidP="008E2709">
      <w:pPr>
        <w:pStyle w:val="ListParagraph"/>
        <w:widowControl/>
        <w:numPr>
          <w:ilvl w:val="0"/>
          <w:numId w:val="50"/>
        </w:numPr>
        <w:autoSpaceDE/>
        <w:autoSpaceDN/>
        <w:adjustRightInd/>
        <w:spacing w:after="120"/>
        <w:ind w:right="720"/>
        <w:jc w:val="both"/>
        <w:rPr>
          <w:rFonts w:ascii="Calibri" w:eastAsia="Batang" w:hAnsi="Calibri"/>
          <w:sz w:val="22"/>
          <w:szCs w:val="22"/>
          <w:lang w:eastAsia="ko-KR"/>
        </w:rPr>
      </w:pPr>
      <w:r w:rsidRPr="00345CFE">
        <w:rPr>
          <w:rFonts w:ascii="Calibri" w:eastAsia="Batang" w:hAnsi="Calibri"/>
          <w:b/>
          <w:sz w:val="22"/>
          <w:szCs w:val="22"/>
          <w:lang w:eastAsia="ko-KR"/>
        </w:rPr>
        <w:t>Accounting information systems:</w:t>
      </w:r>
      <w:r w:rsidRPr="00345CFE">
        <w:rPr>
          <w:rFonts w:ascii="Calibri" w:eastAsia="Batang" w:hAnsi="Calibri"/>
          <w:sz w:val="22"/>
          <w:szCs w:val="22"/>
          <w:lang w:eastAsia="ko-KR"/>
        </w:rPr>
        <w:t xml:space="preserve"> CERSA’s current accounting software TOM2PRO with mono-project features which is acceptable for the World Bank will be replaced by TOM2PRO software with multi-projects, multi-sites, and multi-donor characteristics and will be deployed within three months after effectiveness at each </w:t>
      </w:r>
      <w:r w:rsidR="001A38C7">
        <w:rPr>
          <w:rFonts w:ascii="Calibri" w:eastAsia="Batang" w:hAnsi="Calibri"/>
          <w:sz w:val="22"/>
          <w:szCs w:val="22"/>
          <w:lang w:eastAsia="ko-KR"/>
        </w:rPr>
        <w:t>center</w:t>
      </w:r>
      <w:r w:rsidRPr="00345CFE">
        <w:rPr>
          <w:rFonts w:ascii="Calibri" w:eastAsia="Batang" w:hAnsi="Calibri"/>
          <w:sz w:val="22"/>
          <w:szCs w:val="22"/>
          <w:lang w:eastAsia="ko-KR"/>
        </w:rPr>
        <w:t xml:space="preserve"> level. </w:t>
      </w:r>
    </w:p>
    <w:p w14:paraId="35A8D55C" w14:textId="77777777" w:rsidR="00645355" w:rsidRDefault="00B00100" w:rsidP="008E2709">
      <w:pPr>
        <w:pStyle w:val="ListParagraph"/>
        <w:widowControl/>
        <w:numPr>
          <w:ilvl w:val="0"/>
          <w:numId w:val="50"/>
        </w:numPr>
        <w:autoSpaceDE/>
        <w:autoSpaceDN/>
        <w:adjustRightInd/>
        <w:spacing w:after="120"/>
        <w:ind w:right="720"/>
        <w:jc w:val="both"/>
        <w:rPr>
          <w:rFonts w:ascii="Calibri" w:eastAsia="Batang" w:hAnsi="Calibri"/>
          <w:sz w:val="22"/>
          <w:szCs w:val="22"/>
          <w:lang w:eastAsia="ko-KR"/>
        </w:rPr>
      </w:pPr>
      <w:r w:rsidRPr="00345CFE">
        <w:rPr>
          <w:rFonts w:ascii="Calibri" w:eastAsia="Batang" w:hAnsi="Calibri"/>
          <w:b/>
          <w:sz w:val="22"/>
          <w:szCs w:val="22"/>
          <w:lang w:eastAsia="ko-KR"/>
        </w:rPr>
        <w:t>Accounting standards:</w:t>
      </w:r>
      <w:r w:rsidRPr="00345CFE">
        <w:rPr>
          <w:rFonts w:ascii="Calibri" w:eastAsia="Batang" w:hAnsi="Calibri"/>
          <w:sz w:val="22"/>
          <w:szCs w:val="22"/>
          <w:lang w:eastAsia="ko-KR"/>
        </w:rPr>
        <w:t xml:space="preserve"> Each </w:t>
      </w:r>
      <w:r w:rsidR="00FC3CAE">
        <w:rPr>
          <w:rFonts w:ascii="Calibri" w:eastAsia="Batang" w:hAnsi="Calibri"/>
          <w:sz w:val="22"/>
          <w:szCs w:val="22"/>
          <w:lang w:eastAsia="ko-KR"/>
        </w:rPr>
        <w:t>center</w:t>
      </w:r>
      <w:r w:rsidRPr="00345CFE">
        <w:rPr>
          <w:rFonts w:ascii="Calibri" w:eastAsia="Batang" w:hAnsi="Calibri"/>
          <w:sz w:val="22"/>
          <w:szCs w:val="22"/>
          <w:lang w:eastAsia="ko-KR"/>
        </w:rPr>
        <w:t xml:space="preserve"> will use </w:t>
      </w:r>
      <w:r w:rsidR="004244FC">
        <w:rPr>
          <w:rFonts w:ascii="Calibri" w:eastAsia="Batang" w:hAnsi="Calibri"/>
          <w:sz w:val="22"/>
          <w:szCs w:val="22"/>
          <w:lang w:eastAsia="ko-KR"/>
        </w:rPr>
        <w:t xml:space="preserve">the </w:t>
      </w:r>
      <w:r w:rsidRPr="00345CFE">
        <w:rPr>
          <w:rFonts w:ascii="Calibri" w:eastAsia="Batang" w:hAnsi="Calibri"/>
          <w:sz w:val="22"/>
          <w:szCs w:val="22"/>
          <w:lang w:eastAsia="ko-KR"/>
        </w:rPr>
        <w:t>SYSCOHADA accounting standard</w:t>
      </w:r>
      <w:r w:rsidR="00895A08">
        <w:rPr>
          <w:rFonts w:ascii="Calibri" w:eastAsia="Batang" w:hAnsi="Calibri"/>
          <w:sz w:val="22"/>
          <w:szCs w:val="22"/>
          <w:lang w:eastAsia="ko-KR"/>
        </w:rPr>
        <w:t>.</w:t>
      </w:r>
    </w:p>
    <w:bookmarkEnd w:id="409"/>
    <w:p w14:paraId="1A6468E7" w14:textId="77777777" w:rsidR="002E1A3F" w:rsidRDefault="00B00100" w:rsidP="006C70A5">
      <w:pPr>
        <w:keepNext/>
        <w:keepLines/>
        <w:spacing w:after="240"/>
        <w:ind w:left="360"/>
        <w:contextualSpacing/>
        <w:jc w:val="both"/>
        <w:rPr>
          <w:rFonts w:ascii="Calibri" w:eastAsia="Times New Roman" w:hAnsi="Calibri" w:cs="Calibri"/>
          <w:b/>
          <w:i/>
          <w:color w:val="0070C0"/>
          <w:sz w:val="22"/>
          <w:szCs w:val="22"/>
          <w:lang w:eastAsia="ko-KR"/>
        </w:rPr>
      </w:pPr>
      <w:r w:rsidRPr="002E1A3F">
        <w:rPr>
          <w:rFonts w:ascii="Calibri" w:eastAsia="Times New Roman" w:hAnsi="Calibri" w:cs="Calibri"/>
          <w:b/>
          <w:i/>
          <w:color w:val="0070C0"/>
          <w:sz w:val="22"/>
          <w:szCs w:val="22"/>
          <w:lang w:eastAsia="ko-KR"/>
        </w:rPr>
        <w:lastRenderedPageBreak/>
        <w:t>Internal Control and Internal Unit Arrangements</w:t>
      </w:r>
    </w:p>
    <w:p w14:paraId="19191C78" w14:textId="77777777" w:rsidR="00990694" w:rsidRPr="002E1A3F" w:rsidRDefault="00990694" w:rsidP="006C70A5">
      <w:pPr>
        <w:keepNext/>
        <w:keepLines/>
        <w:spacing w:after="240"/>
        <w:ind w:left="360"/>
        <w:contextualSpacing/>
        <w:jc w:val="both"/>
        <w:rPr>
          <w:rFonts w:ascii="Calibri" w:eastAsia="Times New Roman" w:hAnsi="Calibri" w:cs="Calibri"/>
          <w:b/>
          <w:i/>
          <w:color w:val="0070C0"/>
          <w:sz w:val="22"/>
          <w:szCs w:val="22"/>
          <w:lang w:eastAsia="ko-KR"/>
        </w:rPr>
      </w:pPr>
    </w:p>
    <w:p w14:paraId="7365E40F" w14:textId="77777777" w:rsidR="002E1A3F" w:rsidRPr="002E1A3F" w:rsidRDefault="00B00100" w:rsidP="006C70A5">
      <w:pPr>
        <w:keepNext/>
        <w:keepLines/>
        <w:widowControl/>
        <w:autoSpaceDE/>
        <w:autoSpaceDN/>
        <w:adjustRightInd/>
        <w:spacing w:after="120"/>
        <w:ind w:left="360"/>
        <w:jc w:val="both"/>
        <w:rPr>
          <w:rFonts w:ascii="Calibri" w:eastAsia="Batang" w:hAnsi="Calibri" w:cs="Times New Roman"/>
          <w:b/>
          <w:color w:val="auto"/>
          <w:sz w:val="22"/>
          <w:szCs w:val="22"/>
          <w:lang w:eastAsia="ko-KR"/>
        </w:rPr>
      </w:pPr>
      <w:r w:rsidRPr="002E1A3F">
        <w:rPr>
          <w:rFonts w:ascii="Calibri" w:eastAsia="Calibri" w:hAnsi="Calibri" w:cs="Times New Roman"/>
          <w:b/>
          <w:color w:val="auto"/>
          <w:sz w:val="22"/>
          <w:szCs w:val="22"/>
        </w:rPr>
        <w:t>Internal Control and Audit</w:t>
      </w:r>
    </w:p>
    <w:p w14:paraId="26EB03B2" w14:textId="77777777" w:rsidR="00761FF6" w:rsidRPr="002E1A3F" w:rsidRDefault="00B00100" w:rsidP="006C70A5">
      <w:pPr>
        <w:widowControl/>
        <w:numPr>
          <w:ilvl w:val="0"/>
          <w:numId w:val="37"/>
        </w:numPr>
        <w:autoSpaceDE/>
        <w:autoSpaceDN/>
        <w:adjustRightInd/>
        <w:spacing w:after="120"/>
        <w:ind w:left="360" w:firstLine="0"/>
        <w:jc w:val="both"/>
        <w:rPr>
          <w:rFonts w:ascii="Calibri" w:eastAsia="Batang" w:hAnsi="Calibri" w:cs="Times New Roman"/>
          <w:b/>
          <w:i/>
          <w:color w:val="auto"/>
          <w:sz w:val="22"/>
          <w:szCs w:val="22"/>
          <w:lang w:eastAsia="ko-KR"/>
        </w:rPr>
      </w:pPr>
      <w:r w:rsidRPr="002E1A3F">
        <w:rPr>
          <w:rFonts w:ascii="Calibri" w:eastAsia="Batang" w:hAnsi="Calibri" w:cs="Times New Roman"/>
          <w:b/>
          <w:i/>
          <w:color w:val="auto"/>
          <w:sz w:val="22"/>
          <w:szCs w:val="22"/>
          <w:lang w:eastAsia="ko-KR"/>
        </w:rPr>
        <w:t>NUC</w:t>
      </w:r>
    </w:p>
    <w:p w14:paraId="20F97B0A" w14:textId="77777777" w:rsidR="00761FF6" w:rsidRPr="00B7172D" w:rsidRDefault="00B00100" w:rsidP="006C70A5">
      <w:pPr>
        <w:widowControl/>
        <w:numPr>
          <w:ilvl w:val="0"/>
          <w:numId w:val="30"/>
        </w:numPr>
        <w:autoSpaceDE/>
        <w:autoSpaceDN/>
        <w:adjustRightInd/>
        <w:ind w:right="720" w:firstLine="0"/>
        <w:jc w:val="both"/>
        <w:rPr>
          <w:rFonts w:ascii="Calibri" w:eastAsia="Batang" w:hAnsi="Calibri"/>
          <w:iCs/>
          <w:sz w:val="22"/>
          <w:szCs w:val="22"/>
          <w:lang w:eastAsia="ko-KR"/>
        </w:rPr>
      </w:pPr>
      <w:r>
        <w:rPr>
          <w:rFonts w:ascii="Calibri" w:eastAsia="Batang" w:hAnsi="Calibri"/>
          <w:iCs/>
          <w:sz w:val="22"/>
          <w:szCs w:val="22"/>
          <w:lang w:eastAsia="ko-KR"/>
        </w:rPr>
        <w:t>The NUC</w:t>
      </w:r>
      <w:r w:rsidRPr="00B7172D">
        <w:rPr>
          <w:rFonts w:ascii="Calibri" w:eastAsia="Batang" w:hAnsi="Calibri"/>
          <w:iCs/>
          <w:sz w:val="22"/>
          <w:szCs w:val="22"/>
          <w:lang w:eastAsia="ko-KR"/>
        </w:rPr>
        <w:t xml:space="preserve"> has detailed accounting policy and procedures manual</w:t>
      </w:r>
      <w:r>
        <w:rPr>
          <w:rFonts w:ascii="Calibri" w:eastAsia="Batang" w:hAnsi="Calibri"/>
          <w:iCs/>
          <w:sz w:val="22"/>
          <w:szCs w:val="22"/>
          <w:lang w:eastAsia="ko-KR"/>
        </w:rPr>
        <w:t xml:space="preserve"> (Financial Procedures Manual) </w:t>
      </w:r>
      <w:r w:rsidRPr="00B7172D">
        <w:rPr>
          <w:rFonts w:ascii="Calibri" w:eastAsia="Batang" w:hAnsi="Calibri"/>
          <w:iCs/>
          <w:sz w:val="22"/>
          <w:szCs w:val="22"/>
          <w:lang w:eastAsia="ko-KR"/>
        </w:rPr>
        <w:t>in place coupled with an Internal Audit Manual. The internal auditors have attended trainings on Risk based Audit</w:t>
      </w:r>
      <w:r>
        <w:rPr>
          <w:rFonts w:ascii="Calibri" w:eastAsia="Batang" w:hAnsi="Calibri"/>
          <w:iCs/>
          <w:sz w:val="22"/>
          <w:szCs w:val="22"/>
          <w:lang w:eastAsia="ko-KR"/>
        </w:rPr>
        <w:t xml:space="preserve">, however, </w:t>
      </w:r>
      <w:r w:rsidRPr="00B7172D">
        <w:rPr>
          <w:rFonts w:ascii="Calibri" w:eastAsia="Batang" w:hAnsi="Calibri"/>
          <w:iCs/>
          <w:sz w:val="22"/>
          <w:szCs w:val="22"/>
          <w:lang w:eastAsia="ko-KR"/>
        </w:rPr>
        <w:t xml:space="preserve">an additional training is recommended as part of continuing professional education. The project has a </w:t>
      </w:r>
      <w:r w:rsidR="00E854BC">
        <w:rPr>
          <w:rFonts w:ascii="Calibri" w:eastAsia="Batang" w:hAnsi="Calibri"/>
          <w:iCs/>
          <w:sz w:val="22"/>
          <w:szCs w:val="22"/>
          <w:lang w:eastAsia="ko-KR"/>
        </w:rPr>
        <w:t>NSC</w:t>
      </w:r>
      <w:r w:rsidRPr="00B7172D">
        <w:rPr>
          <w:rFonts w:ascii="Calibri" w:eastAsia="Batang" w:hAnsi="Calibri"/>
          <w:iCs/>
          <w:sz w:val="22"/>
          <w:szCs w:val="22"/>
          <w:lang w:eastAsia="ko-KR"/>
        </w:rPr>
        <w:t xml:space="preserve"> </w:t>
      </w:r>
      <w:r>
        <w:rPr>
          <w:rFonts w:ascii="Calibri" w:eastAsia="Batang" w:hAnsi="Calibri"/>
          <w:iCs/>
          <w:sz w:val="22"/>
          <w:szCs w:val="22"/>
          <w:lang w:eastAsia="ko-KR"/>
        </w:rPr>
        <w:t>that</w:t>
      </w:r>
      <w:r w:rsidRPr="00B7172D">
        <w:rPr>
          <w:rFonts w:ascii="Calibri" w:eastAsia="Batang" w:hAnsi="Calibri"/>
          <w:iCs/>
          <w:sz w:val="22"/>
          <w:szCs w:val="22"/>
          <w:lang w:eastAsia="ko-KR"/>
        </w:rPr>
        <w:t xml:space="preserve"> is </w:t>
      </w:r>
      <w:r>
        <w:rPr>
          <w:rFonts w:ascii="Calibri" w:eastAsia="Batang" w:hAnsi="Calibri"/>
          <w:iCs/>
          <w:sz w:val="22"/>
          <w:szCs w:val="22"/>
          <w:lang w:eastAsia="ko-KR"/>
        </w:rPr>
        <w:t>expected</w:t>
      </w:r>
      <w:r w:rsidRPr="00B7172D">
        <w:rPr>
          <w:rFonts w:ascii="Calibri" w:eastAsia="Batang" w:hAnsi="Calibri"/>
          <w:iCs/>
          <w:sz w:val="22"/>
          <w:szCs w:val="22"/>
          <w:lang w:eastAsia="ko-KR"/>
        </w:rPr>
        <w:t xml:space="preserve"> to </w:t>
      </w:r>
      <w:r>
        <w:rPr>
          <w:rFonts w:ascii="Calibri" w:eastAsia="Batang" w:hAnsi="Calibri"/>
          <w:iCs/>
          <w:sz w:val="22"/>
          <w:szCs w:val="22"/>
          <w:lang w:eastAsia="ko-KR"/>
        </w:rPr>
        <w:t>have a fiduciary</w:t>
      </w:r>
      <w:r w:rsidRPr="00B7172D">
        <w:rPr>
          <w:rFonts w:ascii="Calibri" w:eastAsia="Batang" w:hAnsi="Calibri"/>
          <w:iCs/>
          <w:sz w:val="22"/>
          <w:szCs w:val="22"/>
          <w:lang w:eastAsia="ko-KR"/>
        </w:rPr>
        <w:t xml:space="preserve"> oversight function. There is proper segregation of duties. Adequate internal controls are in place. </w:t>
      </w:r>
    </w:p>
    <w:p w14:paraId="1DF1EB07" w14:textId="77777777" w:rsidR="00761FF6" w:rsidRPr="002E1A3F" w:rsidRDefault="00761FF6" w:rsidP="006C70A5">
      <w:pPr>
        <w:keepNext/>
        <w:keepLines/>
        <w:widowControl/>
        <w:autoSpaceDE/>
        <w:autoSpaceDN/>
        <w:adjustRightInd/>
        <w:spacing w:after="120"/>
        <w:ind w:left="360"/>
        <w:jc w:val="both"/>
        <w:rPr>
          <w:rFonts w:ascii="Calibri" w:eastAsia="Batang" w:hAnsi="Calibri" w:cs="Times New Roman"/>
          <w:b/>
          <w:i/>
          <w:color w:val="auto"/>
          <w:sz w:val="22"/>
          <w:szCs w:val="22"/>
          <w:lang w:eastAsia="ko-KR"/>
        </w:rPr>
      </w:pPr>
    </w:p>
    <w:p w14:paraId="64D22E74" w14:textId="77777777" w:rsidR="002E1A3F" w:rsidRPr="002E1A3F" w:rsidRDefault="00B00100" w:rsidP="006C70A5">
      <w:pPr>
        <w:widowControl/>
        <w:numPr>
          <w:ilvl w:val="0"/>
          <w:numId w:val="37"/>
        </w:numPr>
        <w:autoSpaceDE/>
        <w:autoSpaceDN/>
        <w:adjustRightInd/>
        <w:spacing w:after="120"/>
        <w:ind w:left="360" w:firstLine="0"/>
        <w:jc w:val="both"/>
        <w:rPr>
          <w:rFonts w:ascii="Calibri" w:eastAsia="Batang" w:hAnsi="Calibri" w:cs="Times New Roman"/>
          <w:b/>
          <w:i/>
          <w:color w:val="auto"/>
          <w:sz w:val="22"/>
          <w:szCs w:val="22"/>
          <w:lang w:eastAsia="ko-KR"/>
        </w:rPr>
      </w:pPr>
      <w:r>
        <w:rPr>
          <w:rFonts w:ascii="Calibri" w:eastAsia="Batang" w:hAnsi="Calibri" w:cs="Times New Roman"/>
          <w:b/>
          <w:i/>
          <w:color w:val="auto"/>
          <w:sz w:val="22"/>
          <w:szCs w:val="22"/>
          <w:lang w:eastAsia="ko-KR"/>
        </w:rPr>
        <w:t>PCU-Gambia</w:t>
      </w:r>
    </w:p>
    <w:p w14:paraId="6E4CF9D8" w14:textId="77777777" w:rsidR="002E1A3F" w:rsidRPr="00B81291" w:rsidRDefault="00B00100" w:rsidP="006C70A5">
      <w:pPr>
        <w:widowControl/>
        <w:numPr>
          <w:ilvl w:val="0"/>
          <w:numId w:val="30"/>
        </w:numPr>
        <w:autoSpaceDE/>
        <w:autoSpaceDN/>
        <w:adjustRightInd/>
        <w:spacing w:after="240"/>
        <w:ind w:right="720" w:firstLine="0"/>
        <w:jc w:val="both"/>
        <w:rPr>
          <w:rFonts w:ascii="Calibri" w:eastAsia="Batang" w:hAnsi="Calibri"/>
          <w:iCs/>
          <w:sz w:val="22"/>
          <w:szCs w:val="22"/>
          <w:lang w:eastAsia="ko-KR"/>
        </w:rPr>
      </w:pPr>
      <w:r w:rsidRPr="00CB05A0">
        <w:rPr>
          <w:rFonts w:ascii="Calibri" w:eastAsia="Batang" w:hAnsi="Calibri"/>
          <w:iCs/>
          <w:sz w:val="22"/>
          <w:szCs w:val="22"/>
          <w:lang w:eastAsia="ko-KR"/>
        </w:rPr>
        <w:t xml:space="preserve">The </w:t>
      </w:r>
      <w:r w:rsidR="008863C8">
        <w:rPr>
          <w:rFonts w:ascii="Calibri" w:eastAsia="Batang" w:hAnsi="Calibri"/>
          <w:iCs/>
          <w:sz w:val="22"/>
          <w:szCs w:val="22"/>
          <w:lang w:eastAsia="ko-KR"/>
        </w:rPr>
        <w:t>Education sector</w:t>
      </w:r>
      <w:r w:rsidRPr="00CB05A0">
        <w:rPr>
          <w:rFonts w:ascii="Calibri" w:eastAsia="Batang" w:hAnsi="Calibri"/>
          <w:iCs/>
          <w:sz w:val="22"/>
          <w:szCs w:val="22"/>
          <w:lang w:eastAsia="ko-KR"/>
        </w:rPr>
        <w:t xml:space="preserve"> has an Internal Audit Unit staffed with an internal auditor from the Internal Audit Directorate of the </w:t>
      </w:r>
      <w:r w:rsidR="00E854BC">
        <w:rPr>
          <w:rFonts w:ascii="Calibri" w:eastAsia="Batang" w:hAnsi="Calibri"/>
          <w:iCs/>
          <w:sz w:val="22"/>
          <w:szCs w:val="22"/>
          <w:lang w:eastAsia="ko-KR"/>
        </w:rPr>
        <w:t>MoF</w:t>
      </w:r>
      <w:r w:rsidRPr="00CB05A0">
        <w:rPr>
          <w:rFonts w:ascii="Calibri" w:eastAsia="Batang" w:hAnsi="Calibri"/>
          <w:iCs/>
          <w:sz w:val="22"/>
          <w:szCs w:val="22"/>
          <w:lang w:eastAsia="ko-KR"/>
        </w:rPr>
        <w:t xml:space="preserve"> who is responsible for ensuring compliance to internal controls. The daily operations of the project will be guided by the </w:t>
      </w:r>
      <w:r w:rsidR="008863C8">
        <w:rPr>
          <w:rFonts w:ascii="Calibri" w:eastAsia="Batang" w:hAnsi="Calibri"/>
          <w:iCs/>
          <w:sz w:val="22"/>
          <w:szCs w:val="22"/>
          <w:lang w:eastAsia="ko-KR"/>
        </w:rPr>
        <w:t>POM</w:t>
      </w:r>
      <w:r w:rsidRPr="00CB05A0">
        <w:rPr>
          <w:rFonts w:ascii="Calibri" w:eastAsia="Batang" w:hAnsi="Calibri"/>
          <w:iCs/>
          <w:sz w:val="22"/>
          <w:szCs w:val="22"/>
          <w:lang w:eastAsia="ko-KR"/>
        </w:rPr>
        <w:t xml:space="preserve">, which will incorporate the </w:t>
      </w:r>
      <w:r w:rsidR="00864D46">
        <w:rPr>
          <w:rFonts w:ascii="Calibri" w:eastAsia="Batang" w:hAnsi="Calibri"/>
          <w:iCs/>
          <w:sz w:val="22"/>
          <w:szCs w:val="22"/>
          <w:lang w:eastAsia="ko-KR"/>
        </w:rPr>
        <w:t>FM</w:t>
      </w:r>
      <w:r w:rsidRPr="00CB05A0">
        <w:rPr>
          <w:rFonts w:ascii="Calibri" w:eastAsia="Batang" w:hAnsi="Calibri"/>
          <w:iCs/>
          <w:sz w:val="22"/>
          <w:szCs w:val="22"/>
          <w:lang w:eastAsia="ko-KR"/>
        </w:rPr>
        <w:t xml:space="preserve"> procedures and the specificities of the project including the result-based financing. The Administrative and Accounting Procedures Manual of the University include a division of roles and responsibilities between stakeholders, a clear description of the approval and authorization processes in respect of the rule of segregation of duties. The PCU</w:t>
      </w:r>
      <w:r w:rsidR="008863C8">
        <w:rPr>
          <w:rFonts w:ascii="Calibri" w:eastAsia="Batang" w:hAnsi="Calibri"/>
          <w:iCs/>
          <w:sz w:val="22"/>
          <w:szCs w:val="22"/>
          <w:lang w:eastAsia="ko-KR"/>
        </w:rPr>
        <w:t>-Gambia</w:t>
      </w:r>
      <w:r w:rsidRPr="00CB05A0">
        <w:rPr>
          <w:rFonts w:ascii="Calibri" w:eastAsia="Batang" w:hAnsi="Calibri"/>
          <w:iCs/>
          <w:sz w:val="22"/>
          <w:szCs w:val="22"/>
          <w:lang w:eastAsia="ko-KR"/>
        </w:rPr>
        <w:t xml:space="preserve"> does not have its own dedicated internal auditor and as part of the FM action plan, it is re</w:t>
      </w:r>
      <w:r w:rsidR="000F5849">
        <w:rPr>
          <w:rFonts w:ascii="Calibri" w:eastAsia="Batang" w:hAnsi="Calibri"/>
          <w:iCs/>
          <w:sz w:val="22"/>
          <w:szCs w:val="22"/>
          <w:lang w:eastAsia="ko-KR"/>
        </w:rPr>
        <w:t>quired</w:t>
      </w:r>
      <w:r w:rsidRPr="00CB05A0">
        <w:rPr>
          <w:rFonts w:ascii="Calibri" w:eastAsia="Batang" w:hAnsi="Calibri"/>
          <w:iCs/>
          <w:sz w:val="22"/>
          <w:szCs w:val="22"/>
          <w:lang w:eastAsia="ko-KR"/>
        </w:rPr>
        <w:t xml:space="preserve"> that no later than three months after effectiveness</w:t>
      </w:r>
      <w:r w:rsidR="008863C8">
        <w:rPr>
          <w:rFonts w:ascii="Calibri" w:eastAsia="Batang" w:hAnsi="Calibri"/>
          <w:iCs/>
          <w:sz w:val="22"/>
          <w:szCs w:val="22"/>
          <w:lang w:eastAsia="ko-KR"/>
        </w:rPr>
        <w:t>,</w:t>
      </w:r>
      <w:r w:rsidRPr="00CB05A0">
        <w:rPr>
          <w:rFonts w:ascii="Calibri" w:eastAsia="Batang" w:hAnsi="Calibri"/>
          <w:iCs/>
          <w:sz w:val="22"/>
          <w:szCs w:val="22"/>
          <w:lang w:eastAsia="ko-KR"/>
        </w:rPr>
        <w:t xml:space="preserve"> the Project shall recruit an internal auditor on terms acceptable to the World Bank.</w:t>
      </w:r>
      <w:r w:rsidR="00CE56CB">
        <w:rPr>
          <w:rFonts w:ascii="Calibri" w:eastAsia="Batang" w:hAnsi="Calibri"/>
          <w:iCs/>
          <w:sz w:val="22"/>
          <w:szCs w:val="22"/>
          <w:lang w:eastAsia="ko-KR"/>
        </w:rPr>
        <w:t xml:space="preserve"> The </w:t>
      </w:r>
      <w:r w:rsidRPr="00816CFA">
        <w:rPr>
          <w:rFonts w:ascii="Calibri" w:eastAsia="Batang" w:hAnsi="Calibri"/>
          <w:sz w:val="22"/>
          <w:szCs w:val="22"/>
          <w:lang w:eastAsia="ko-KR"/>
        </w:rPr>
        <w:t>assessments indicated that the internal audit and control environment for the respective ACEs is of varying degrees of efficiency; the role of the internal audit will be regularly assessed during supervision missions by the respective Country office FMS through reviewing their reports and management responsiveness to their findings. This is to ensure that the role is not limited to transactional reviews (pre-auditing) but adds value to the overall control environment through risk assessment. As part of the fiduciary responsib</w:t>
      </w:r>
      <w:r w:rsidR="008863C8" w:rsidRPr="00816CFA">
        <w:rPr>
          <w:rFonts w:ascii="Calibri" w:eastAsia="Batang" w:hAnsi="Calibri"/>
          <w:sz w:val="22"/>
          <w:szCs w:val="22"/>
          <w:lang w:eastAsia="ko-KR"/>
        </w:rPr>
        <w:t>i</w:t>
      </w:r>
      <w:r w:rsidR="00816CFA" w:rsidRPr="00816CFA">
        <w:rPr>
          <w:rFonts w:ascii="Calibri" w:eastAsia="Batang" w:hAnsi="Calibri"/>
          <w:sz w:val="22"/>
          <w:szCs w:val="22"/>
          <w:lang w:eastAsia="ko-KR"/>
        </w:rPr>
        <w:t>l</w:t>
      </w:r>
      <w:r w:rsidRPr="00816CFA">
        <w:rPr>
          <w:rFonts w:ascii="Calibri" w:eastAsia="Batang" w:hAnsi="Calibri"/>
          <w:sz w:val="22"/>
          <w:szCs w:val="22"/>
          <w:lang w:eastAsia="ko-KR"/>
        </w:rPr>
        <w:t>ities during implementation, the respective internal auditors will be expected to undertake period risk assessment</w:t>
      </w:r>
      <w:r w:rsidR="008C0899">
        <w:rPr>
          <w:rFonts w:ascii="Calibri" w:eastAsia="Batang" w:hAnsi="Calibri"/>
          <w:sz w:val="22"/>
          <w:szCs w:val="22"/>
          <w:lang w:eastAsia="ko-KR"/>
        </w:rPr>
        <w:t>s</w:t>
      </w:r>
      <w:r w:rsidRPr="00816CFA">
        <w:rPr>
          <w:rFonts w:ascii="Calibri" w:eastAsia="Batang" w:hAnsi="Calibri"/>
          <w:sz w:val="22"/>
          <w:szCs w:val="22"/>
          <w:lang w:eastAsia="ko-KR"/>
        </w:rPr>
        <w:t xml:space="preserve"> and process and transactions reviews and share such reports with the </w:t>
      </w:r>
      <w:r w:rsidR="00C00B64">
        <w:rPr>
          <w:rFonts w:asciiTheme="minorHAnsi" w:eastAsiaTheme="minorHAnsi" w:hAnsiTheme="minorHAnsi" w:cstheme="minorHAnsi"/>
          <w:color w:val="auto"/>
          <w:sz w:val="22"/>
          <w:szCs w:val="22"/>
        </w:rPr>
        <w:t>World</w:t>
      </w:r>
      <w:r w:rsidR="00C00B64" w:rsidRPr="00816CFA">
        <w:rPr>
          <w:rFonts w:ascii="Calibri" w:eastAsia="Batang" w:hAnsi="Calibri"/>
          <w:sz w:val="22"/>
          <w:szCs w:val="22"/>
          <w:lang w:eastAsia="ko-KR"/>
        </w:rPr>
        <w:t xml:space="preserve"> </w:t>
      </w:r>
      <w:r w:rsidRPr="00816CFA">
        <w:rPr>
          <w:rFonts w:ascii="Calibri" w:eastAsia="Batang" w:hAnsi="Calibri"/>
          <w:sz w:val="22"/>
          <w:szCs w:val="22"/>
          <w:lang w:eastAsia="ko-KR"/>
        </w:rPr>
        <w:t>Bank during missions.</w:t>
      </w:r>
    </w:p>
    <w:p w14:paraId="1A19CE47" w14:textId="77777777" w:rsidR="002E1A3F" w:rsidRPr="002E1A3F" w:rsidRDefault="00B00100" w:rsidP="006C70A5">
      <w:pPr>
        <w:widowControl/>
        <w:numPr>
          <w:ilvl w:val="0"/>
          <w:numId w:val="37"/>
        </w:numPr>
        <w:autoSpaceDE/>
        <w:autoSpaceDN/>
        <w:adjustRightInd/>
        <w:spacing w:after="120"/>
        <w:ind w:left="360" w:firstLine="0"/>
        <w:jc w:val="both"/>
        <w:rPr>
          <w:rFonts w:ascii="Calibri" w:eastAsia="Batang" w:hAnsi="Calibri" w:cs="Times New Roman"/>
          <w:b/>
          <w:i/>
          <w:color w:val="auto"/>
          <w:sz w:val="22"/>
          <w:szCs w:val="22"/>
          <w:lang w:eastAsia="ko-KR"/>
        </w:rPr>
      </w:pPr>
      <w:r w:rsidRPr="002E1A3F">
        <w:rPr>
          <w:rFonts w:ascii="Calibri" w:eastAsia="Batang" w:hAnsi="Calibri" w:cs="Times New Roman"/>
          <w:b/>
          <w:i/>
          <w:color w:val="auto"/>
          <w:sz w:val="22"/>
          <w:szCs w:val="22"/>
          <w:lang w:eastAsia="ko-KR"/>
        </w:rPr>
        <w:t xml:space="preserve">Selected Centers </w:t>
      </w:r>
    </w:p>
    <w:p w14:paraId="6B0B488A" w14:textId="77777777" w:rsidR="000060CB" w:rsidRPr="00B81291" w:rsidRDefault="00B00100" w:rsidP="006C70A5">
      <w:pPr>
        <w:widowControl/>
        <w:numPr>
          <w:ilvl w:val="0"/>
          <w:numId w:val="30"/>
        </w:numPr>
        <w:autoSpaceDE/>
        <w:autoSpaceDN/>
        <w:adjustRightInd/>
        <w:spacing w:after="240"/>
        <w:ind w:right="720" w:firstLine="0"/>
        <w:jc w:val="both"/>
        <w:rPr>
          <w:rFonts w:ascii="Calibri" w:eastAsia="Batang" w:hAnsi="Calibri"/>
          <w:sz w:val="22"/>
          <w:szCs w:val="22"/>
          <w:lang w:eastAsia="ko-KR"/>
        </w:rPr>
      </w:pPr>
      <w:r w:rsidRPr="00B81291">
        <w:rPr>
          <w:rFonts w:ascii="Calibri" w:eastAsia="Batang" w:hAnsi="Calibri"/>
          <w:b/>
          <w:i/>
          <w:sz w:val="22"/>
          <w:szCs w:val="22"/>
          <w:lang w:eastAsia="ko-KR"/>
        </w:rPr>
        <w:t>In Benin</w:t>
      </w:r>
      <w:r w:rsidR="007E3A81" w:rsidRPr="00B81291">
        <w:rPr>
          <w:rFonts w:ascii="Calibri" w:eastAsia="Batang" w:hAnsi="Calibri"/>
          <w:b/>
          <w:i/>
          <w:sz w:val="22"/>
          <w:szCs w:val="22"/>
          <w:lang w:eastAsia="ko-KR"/>
        </w:rPr>
        <w:t>:</w:t>
      </w:r>
      <w:r w:rsidRPr="00B81291">
        <w:rPr>
          <w:rFonts w:ascii="Calibri" w:eastAsia="Batang" w:hAnsi="Calibri"/>
          <w:b/>
          <w:sz w:val="22"/>
          <w:szCs w:val="22"/>
          <w:lang w:eastAsia="ko-KR"/>
        </w:rPr>
        <w:t xml:space="preserve"> </w:t>
      </w:r>
      <w:r w:rsidR="007E3A81" w:rsidRPr="00B81291">
        <w:rPr>
          <w:rFonts w:ascii="Calibri" w:eastAsia="Batang" w:hAnsi="Calibri"/>
          <w:sz w:val="22"/>
          <w:szCs w:val="22"/>
          <w:lang w:eastAsia="ko-KR"/>
        </w:rPr>
        <w:t>The internal control policies and procedures for C2EA, and CoE-</w:t>
      </w:r>
      <w:r w:rsidR="00EA38EA" w:rsidRPr="00B81291">
        <w:rPr>
          <w:rFonts w:ascii="Calibri" w:eastAsia="Batang" w:hAnsi="Calibri"/>
          <w:sz w:val="22"/>
          <w:szCs w:val="22"/>
          <w:lang w:eastAsia="ko-KR"/>
        </w:rPr>
        <w:t>E</w:t>
      </w:r>
      <w:r w:rsidR="00EA38EA">
        <w:rPr>
          <w:rFonts w:ascii="Calibri" w:eastAsia="Batang" w:hAnsi="Calibri"/>
          <w:sz w:val="22"/>
          <w:szCs w:val="22"/>
          <w:lang w:eastAsia="ko-KR"/>
        </w:rPr>
        <w:t>IE</w:t>
      </w:r>
      <w:r w:rsidR="00EA38EA" w:rsidRPr="00B81291">
        <w:rPr>
          <w:rFonts w:ascii="Calibri" w:eastAsia="Batang" w:hAnsi="Calibri"/>
          <w:sz w:val="22"/>
          <w:szCs w:val="22"/>
          <w:lang w:eastAsia="ko-KR"/>
        </w:rPr>
        <w:t xml:space="preserve"> </w:t>
      </w:r>
      <w:r w:rsidR="007E3A81" w:rsidRPr="00B81291">
        <w:rPr>
          <w:rFonts w:ascii="Calibri" w:eastAsia="Batang" w:hAnsi="Calibri"/>
          <w:sz w:val="22"/>
          <w:szCs w:val="22"/>
          <w:lang w:eastAsia="ko-KR"/>
        </w:rPr>
        <w:t xml:space="preserve">will be documented in the updated version of </w:t>
      </w:r>
      <w:r w:rsidR="00DE4A61">
        <w:rPr>
          <w:rFonts w:ascii="Calibri" w:eastAsia="Batang" w:hAnsi="Calibri"/>
          <w:sz w:val="22"/>
          <w:szCs w:val="22"/>
          <w:lang w:eastAsia="ko-KR"/>
        </w:rPr>
        <w:t>CEA-SMIA</w:t>
      </w:r>
      <w:r w:rsidR="007E3A81" w:rsidRPr="00B81291">
        <w:rPr>
          <w:rFonts w:ascii="Calibri" w:eastAsia="Batang" w:hAnsi="Calibri"/>
          <w:sz w:val="22"/>
          <w:szCs w:val="22"/>
          <w:lang w:eastAsia="ko-KR"/>
        </w:rPr>
        <w:t>’s current FM Manual. Th</w:t>
      </w:r>
      <w:r w:rsidR="00085C46">
        <w:rPr>
          <w:rFonts w:ascii="Calibri" w:eastAsia="Batang" w:hAnsi="Calibri"/>
          <w:sz w:val="22"/>
          <w:szCs w:val="22"/>
          <w:lang w:eastAsia="ko-KR"/>
        </w:rPr>
        <w:t>is approach</w:t>
      </w:r>
      <w:r w:rsidR="007E3A81" w:rsidRPr="00B81291">
        <w:rPr>
          <w:rFonts w:ascii="Calibri" w:eastAsia="Batang" w:hAnsi="Calibri"/>
          <w:sz w:val="22"/>
          <w:szCs w:val="22"/>
          <w:lang w:eastAsia="ko-KR"/>
        </w:rPr>
        <w:t xml:space="preserve"> </w:t>
      </w:r>
      <w:r w:rsidR="00085C46">
        <w:rPr>
          <w:rFonts w:ascii="Calibri" w:eastAsia="Batang" w:hAnsi="Calibri"/>
          <w:sz w:val="22"/>
          <w:szCs w:val="22"/>
          <w:lang w:eastAsia="ko-KR"/>
        </w:rPr>
        <w:t>is</w:t>
      </w:r>
      <w:r w:rsidR="007E3A81" w:rsidRPr="00B81291">
        <w:rPr>
          <w:rFonts w:ascii="Calibri" w:eastAsia="Batang" w:hAnsi="Calibri"/>
          <w:sz w:val="22"/>
          <w:szCs w:val="22"/>
          <w:lang w:eastAsia="ko-KR"/>
        </w:rPr>
        <w:t xml:space="preserve"> </w:t>
      </w:r>
      <w:r w:rsidR="00085C46">
        <w:rPr>
          <w:rFonts w:ascii="Calibri" w:eastAsia="Batang" w:hAnsi="Calibri"/>
          <w:sz w:val="22"/>
          <w:szCs w:val="22"/>
          <w:lang w:eastAsia="ko-KR"/>
        </w:rPr>
        <w:t xml:space="preserve">acceptable under </w:t>
      </w:r>
      <w:r w:rsidR="007E3A81" w:rsidRPr="00B81291">
        <w:rPr>
          <w:rFonts w:ascii="Calibri" w:eastAsia="Batang" w:hAnsi="Calibri"/>
          <w:sz w:val="22"/>
          <w:szCs w:val="22"/>
          <w:lang w:eastAsia="ko-KR"/>
        </w:rPr>
        <w:t xml:space="preserve">the project. </w:t>
      </w:r>
      <w:r w:rsidR="00B916E1" w:rsidRPr="00B916E1">
        <w:rPr>
          <w:rFonts w:ascii="Calibri" w:eastAsia="Batang" w:hAnsi="Calibri"/>
          <w:sz w:val="22"/>
          <w:szCs w:val="22"/>
          <w:lang w:eastAsia="ko-KR"/>
        </w:rPr>
        <w:t>The University of Abomey-Calavi will recruit within three months after effectiveness, an internal auditor, with experience and qualifications acceptable to the World Bank, fully dedicated to the CEA-SM</w:t>
      </w:r>
      <w:r w:rsidR="00BD5706">
        <w:rPr>
          <w:rFonts w:ascii="Calibri" w:eastAsia="Batang" w:hAnsi="Calibri"/>
          <w:sz w:val="22"/>
          <w:szCs w:val="22"/>
          <w:lang w:eastAsia="ko-KR"/>
        </w:rPr>
        <w:t>I</w:t>
      </w:r>
      <w:r w:rsidR="00B916E1" w:rsidRPr="00B916E1">
        <w:rPr>
          <w:rFonts w:ascii="Calibri" w:eastAsia="Batang" w:hAnsi="Calibri"/>
          <w:sz w:val="22"/>
          <w:szCs w:val="22"/>
          <w:lang w:eastAsia="ko-KR"/>
        </w:rPr>
        <w:t>A, C2EA, and CoE-E</w:t>
      </w:r>
      <w:r w:rsidR="00B916E1">
        <w:rPr>
          <w:rFonts w:ascii="Calibri" w:eastAsia="Batang" w:hAnsi="Calibri"/>
          <w:sz w:val="22"/>
          <w:szCs w:val="22"/>
          <w:lang w:eastAsia="ko-KR"/>
        </w:rPr>
        <w:t>IE</w:t>
      </w:r>
      <w:r w:rsidR="00B916E1" w:rsidRPr="00B916E1">
        <w:rPr>
          <w:rFonts w:ascii="Calibri" w:eastAsia="Batang" w:hAnsi="Calibri"/>
          <w:sz w:val="22"/>
          <w:szCs w:val="22"/>
          <w:lang w:eastAsia="ko-KR"/>
        </w:rPr>
        <w:t xml:space="preserve"> internal audit tasks. The </w:t>
      </w:r>
      <w:r w:rsidR="006533ED" w:rsidRPr="006533ED">
        <w:rPr>
          <w:rFonts w:ascii="Calibri" w:eastAsia="Batang" w:hAnsi="Calibri"/>
          <w:sz w:val="22"/>
          <w:szCs w:val="22"/>
          <w:lang w:eastAsia="ko-KR"/>
        </w:rPr>
        <w:t xml:space="preserve">Inspectorate General of Finances </w:t>
      </w:r>
      <w:r w:rsidR="006533ED">
        <w:rPr>
          <w:rFonts w:ascii="Calibri" w:eastAsia="Batang" w:hAnsi="Calibri"/>
          <w:sz w:val="22"/>
          <w:szCs w:val="22"/>
          <w:lang w:eastAsia="ko-KR"/>
        </w:rPr>
        <w:t>(</w:t>
      </w:r>
      <w:r w:rsidR="00B916E1" w:rsidRPr="00DA01D5">
        <w:rPr>
          <w:rFonts w:ascii="Calibri" w:eastAsia="Batang" w:hAnsi="Calibri"/>
          <w:i/>
          <w:sz w:val="22"/>
          <w:szCs w:val="22"/>
          <w:lang w:eastAsia="ko-KR"/>
        </w:rPr>
        <w:t>Inspection Générale des Finances</w:t>
      </w:r>
      <w:r w:rsidR="001B7D2E">
        <w:rPr>
          <w:rFonts w:ascii="Calibri" w:eastAsia="Batang" w:hAnsi="Calibri"/>
          <w:sz w:val="22"/>
          <w:szCs w:val="22"/>
          <w:lang w:eastAsia="ko-KR"/>
        </w:rPr>
        <w:t xml:space="preserve">- </w:t>
      </w:r>
      <w:r w:rsidR="00B916E1" w:rsidRPr="00B916E1">
        <w:rPr>
          <w:rFonts w:ascii="Calibri" w:eastAsia="Batang" w:hAnsi="Calibri"/>
          <w:sz w:val="22"/>
          <w:szCs w:val="22"/>
          <w:lang w:eastAsia="ko-KR"/>
        </w:rPr>
        <w:t>IGF) should provide internal audit oversight based on the internal audit arrangements designed for CEA-SM</w:t>
      </w:r>
      <w:r w:rsidR="00BD5706">
        <w:rPr>
          <w:rFonts w:ascii="Calibri" w:eastAsia="Batang" w:hAnsi="Calibri"/>
          <w:sz w:val="22"/>
          <w:szCs w:val="22"/>
          <w:lang w:eastAsia="ko-KR"/>
        </w:rPr>
        <w:t>I</w:t>
      </w:r>
      <w:r w:rsidR="00B916E1" w:rsidRPr="00B916E1">
        <w:rPr>
          <w:rFonts w:ascii="Calibri" w:eastAsia="Batang" w:hAnsi="Calibri"/>
          <w:sz w:val="22"/>
          <w:szCs w:val="22"/>
          <w:lang w:eastAsia="ko-KR"/>
        </w:rPr>
        <w:t xml:space="preserve">A under the </w:t>
      </w:r>
      <w:r w:rsidR="00BB4A89">
        <w:rPr>
          <w:rFonts w:ascii="Calibri" w:eastAsia="Batang" w:hAnsi="Calibri"/>
          <w:sz w:val="22"/>
          <w:szCs w:val="22"/>
          <w:lang w:eastAsia="ko-KR"/>
        </w:rPr>
        <w:t>ACE I Project</w:t>
      </w:r>
      <w:r w:rsidR="00B916E1" w:rsidRPr="00B916E1">
        <w:rPr>
          <w:rFonts w:ascii="Calibri" w:eastAsia="Batang" w:hAnsi="Calibri"/>
          <w:sz w:val="22"/>
          <w:szCs w:val="22"/>
          <w:lang w:eastAsia="ko-KR"/>
        </w:rPr>
        <w:t xml:space="preserve"> and its legal mandate.</w:t>
      </w:r>
      <w:r w:rsidR="00C451E9">
        <w:rPr>
          <w:rFonts w:ascii="Calibri" w:eastAsia="Batang" w:hAnsi="Calibri"/>
          <w:sz w:val="22"/>
          <w:szCs w:val="22"/>
          <w:lang w:eastAsia="ko-KR"/>
        </w:rPr>
        <w:t xml:space="preserve"> </w:t>
      </w:r>
      <w:r w:rsidR="007E3A81" w:rsidRPr="00B81291">
        <w:rPr>
          <w:rFonts w:ascii="Calibri" w:eastAsia="Batang" w:hAnsi="Calibri"/>
          <w:sz w:val="22"/>
          <w:szCs w:val="22"/>
          <w:lang w:eastAsia="ko-KR"/>
        </w:rPr>
        <w:t xml:space="preserve">However, each </w:t>
      </w:r>
      <w:r w:rsidRPr="00B81291">
        <w:rPr>
          <w:rFonts w:ascii="Calibri" w:eastAsia="Batang" w:hAnsi="Calibri"/>
          <w:sz w:val="22"/>
          <w:szCs w:val="22"/>
          <w:lang w:eastAsia="ko-KR"/>
        </w:rPr>
        <w:t>implementing entity</w:t>
      </w:r>
      <w:r w:rsidR="007E3A81" w:rsidRPr="00B81291">
        <w:rPr>
          <w:rFonts w:ascii="Calibri" w:eastAsia="Batang" w:hAnsi="Calibri"/>
          <w:sz w:val="22"/>
          <w:szCs w:val="22"/>
          <w:lang w:eastAsia="ko-KR"/>
        </w:rPr>
        <w:t xml:space="preserve"> will adopt an internal audit charter and internal audit manual as well as an institutional risk mapping to ensure that the audits are done semi-annually using a risk-based approach. These semi-annual internal audit reports will be reviewed by the </w:t>
      </w:r>
      <w:r w:rsidR="00C00B64">
        <w:rPr>
          <w:rFonts w:asciiTheme="minorHAnsi" w:eastAsiaTheme="minorHAnsi" w:hAnsiTheme="minorHAnsi" w:cstheme="minorHAnsi"/>
          <w:color w:val="auto"/>
          <w:sz w:val="22"/>
          <w:szCs w:val="22"/>
        </w:rPr>
        <w:t>World</w:t>
      </w:r>
      <w:r w:rsidR="00C00B64" w:rsidRPr="00B81291">
        <w:rPr>
          <w:rFonts w:ascii="Calibri" w:eastAsia="Batang" w:hAnsi="Calibri"/>
          <w:sz w:val="22"/>
          <w:szCs w:val="22"/>
          <w:lang w:eastAsia="ko-KR"/>
        </w:rPr>
        <w:t xml:space="preserve"> </w:t>
      </w:r>
      <w:r w:rsidR="007E3A81" w:rsidRPr="00B81291">
        <w:rPr>
          <w:rFonts w:ascii="Calibri" w:eastAsia="Batang" w:hAnsi="Calibri"/>
          <w:sz w:val="22"/>
          <w:szCs w:val="22"/>
          <w:lang w:eastAsia="ko-KR"/>
        </w:rPr>
        <w:t xml:space="preserve">Bank during FM </w:t>
      </w:r>
      <w:r w:rsidR="007E3A81" w:rsidRPr="00B81291">
        <w:rPr>
          <w:rFonts w:ascii="Calibri" w:eastAsia="Batang" w:hAnsi="Calibri"/>
          <w:sz w:val="22"/>
          <w:szCs w:val="22"/>
          <w:lang w:eastAsia="ko-KR"/>
        </w:rPr>
        <w:lastRenderedPageBreak/>
        <w:t>supervision mission to ensure the adequacy of the control environment and note any risk identified by the auditors.</w:t>
      </w:r>
    </w:p>
    <w:p w14:paraId="2AEAD2AA" w14:textId="77777777" w:rsidR="002E1A3F" w:rsidRPr="00B81291" w:rsidRDefault="00B00100" w:rsidP="006C70A5">
      <w:pPr>
        <w:widowControl/>
        <w:numPr>
          <w:ilvl w:val="0"/>
          <w:numId w:val="30"/>
        </w:numPr>
        <w:autoSpaceDE/>
        <w:autoSpaceDN/>
        <w:adjustRightInd/>
        <w:spacing w:after="240"/>
        <w:ind w:right="720" w:firstLine="0"/>
        <w:jc w:val="both"/>
        <w:rPr>
          <w:rFonts w:ascii="Calibri" w:eastAsia="Batang" w:hAnsi="Calibri"/>
          <w:b/>
          <w:i/>
          <w:sz w:val="22"/>
          <w:szCs w:val="22"/>
          <w:lang w:eastAsia="ko-KR"/>
        </w:rPr>
      </w:pPr>
      <w:r w:rsidRPr="00B81291">
        <w:rPr>
          <w:rFonts w:ascii="Calibri" w:eastAsia="Batang" w:hAnsi="Calibri"/>
          <w:b/>
          <w:i/>
          <w:sz w:val="22"/>
          <w:szCs w:val="22"/>
          <w:lang w:eastAsia="ko-KR"/>
        </w:rPr>
        <w:t>In Niger</w:t>
      </w:r>
      <w:r w:rsidR="00D55983" w:rsidRPr="00B81291">
        <w:rPr>
          <w:rFonts w:ascii="Calibri" w:eastAsia="Batang" w:hAnsi="Calibri"/>
          <w:sz w:val="22"/>
          <w:szCs w:val="22"/>
          <w:lang w:eastAsia="ko-KR"/>
        </w:rPr>
        <w:t>:</w:t>
      </w:r>
      <w:r w:rsidRPr="00B81291">
        <w:rPr>
          <w:rFonts w:ascii="Calibri" w:eastAsia="Batang" w:hAnsi="Calibri"/>
          <w:sz w:val="22"/>
          <w:szCs w:val="22"/>
          <w:lang w:eastAsia="ko-KR"/>
        </w:rPr>
        <w:t xml:space="preserve"> </w:t>
      </w:r>
      <w:r w:rsidR="00732448" w:rsidRPr="00B81291">
        <w:rPr>
          <w:rFonts w:ascii="Calibri" w:eastAsia="Batang" w:hAnsi="Calibri"/>
          <w:sz w:val="22"/>
          <w:szCs w:val="22"/>
          <w:lang w:eastAsia="ko-KR"/>
        </w:rPr>
        <w:t xml:space="preserve">All the participating centers will be required to develop or update their existing Financial Procedures Manual to reflect their specific Second </w:t>
      </w:r>
      <w:r w:rsidR="00BB4A89">
        <w:rPr>
          <w:rFonts w:ascii="Calibri" w:eastAsia="Batang" w:hAnsi="Calibri"/>
          <w:sz w:val="22"/>
          <w:szCs w:val="22"/>
          <w:lang w:eastAsia="ko-KR"/>
        </w:rPr>
        <w:t>ACE Impact Project</w:t>
      </w:r>
      <w:r w:rsidR="00732448" w:rsidRPr="00B81291">
        <w:rPr>
          <w:rFonts w:ascii="Calibri" w:eastAsia="Batang" w:hAnsi="Calibri"/>
          <w:sz w:val="22"/>
          <w:szCs w:val="22"/>
          <w:lang w:eastAsia="ko-KR"/>
        </w:rPr>
        <w:t xml:space="preserve">. For UAM, an FM manual will be developed and adopted for both CERPP and MS4SSA as part </w:t>
      </w:r>
      <w:r w:rsidR="00990686">
        <w:rPr>
          <w:rFonts w:ascii="Calibri" w:eastAsia="Batang" w:hAnsi="Calibri" w:cs="Calibri"/>
          <w:color w:val="auto"/>
          <w:sz w:val="22"/>
          <w:szCs w:val="22"/>
          <w:lang w:eastAsia="ko-KR"/>
        </w:rPr>
        <w:t>of the requirements for achievement of DLI 1 on Institutional readiness</w:t>
      </w:r>
      <w:r w:rsidR="00732448" w:rsidRPr="00B81291">
        <w:rPr>
          <w:rFonts w:ascii="Calibri" w:eastAsia="Batang" w:hAnsi="Calibri"/>
          <w:sz w:val="22"/>
          <w:szCs w:val="22"/>
          <w:lang w:eastAsia="ko-KR"/>
        </w:rPr>
        <w:t>. The manual will include FM procedures for the project and will document, explain and describe work processes, information flow, authorization and delegation of authority, timing, segregations of duties, auto and sequential controls, compliance with project objectives, micro and macro rules and regulations.  In addition, as part of enhancing the control environment, an internal auditor will be recruited with ToRs acceptable to the World Bank and will provide support to both CERPP and MS4SSA. The internal auditor will be recruited within three (3) months of effectiveness.</w:t>
      </w:r>
      <w:r w:rsidR="00C908F6" w:rsidRPr="00D55983">
        <w:rPr>
          <w:rFonts w:ascii="Calibri" w:eastAsia="Batang" w:hAnsi="Calibri"/>
          <w:sz w:val="22"/>
          <w:szCs w:val="22"/>
          <w:lang w:eastAsia="ko-KR"/>
        </w:rPr>
        <w:t xml:space="preserve"> </w:t>
      </w:r>
      <w:r w:rsidR="00732448" w:rsidRPr="00B81291">
        <w:rPr>
          <w:rFonts w:ascii="Calibri" w:eastAsia="Batang" w:hAnsi="Calibri"/>
          <w:sz w:val="22"/>
          <w:szCs w:val="22"/>
          <w:lang w:eastAsia="ko-KR"/>
        </w:rPr>
        <w:t xml:space="preserve">UAM which is hosting CERPP and MS4SSA does not have an internal audit unit within its organizational structure and neither does EMIG. Given the size of the activities to be managed by EMIG, the recruitment of an internal auditor is not required. Internal audit reports will be submitted to the World Bank every semester </w:t>
      </w:r>
      <w:r w:rsidR="009D450D">
        <w:rPr>
          <w:rFonts w:ascii="Calibri" w:eastAsia="Batang" w:hAnsi="Calibri"/>
          <w:sz w:val="22"/>
          <w:szCs w:val="22"/>
          <w:lang w:eastAsia="ko-KR"/>
        </w:rPr>
        <w:t>indicating</w:t>
      </w:r>
      <w:r w:rsidR="00732448" w:rsidRPr="00B81291">
        <w:rPr>
          <w:rFonts w:ascii="Calibri" w:eastAsia="Batang" w:hAnsi="Calibri"/>
          <w:sz w:val="22"/>
          <w:szCs w:val="22"/>
          <w:lang w:eastAsia="ko-KR"/>
        </w:rPr>
        <w:t xml:space="preserve"> risk</w:t>
      </w:r>
      <w:r w:rsidR="009D450D">
        <w:rPr>
          <w:rFonts w:ascii="Calibri" w:eastAsia="Batang" w:hAnsi="Calibri"/>
          <w:sz w:val="22"/>
          <w:szCs w:val="22"/>
          <w:lang w:eastAsia="ko-KR"/>
        </w:rPr>
        <w:t>s</w:t>
      </w:r>
      <w:r w:rsidR="00732448" w:rsidRPr="00B81291">
        <w:rPr>
          <w:rFonts w:ascii="Calibri" w:eastAsia="Batang" w:hAnsi="Calibri"/>
          <w:sz w:val="22"/>
          <w:szCs w:val="22"/>
          <w:lang w:eastAsia="ko-KR"/>
        </w:rPr>
        <w:t xml:space="preserve"> and proposing recommendations to enhance project operational efficiency</w:t>
      </w:r>
      <w:r w:rsidR="00D55983">
        <w:rPr>
          <w:rFonts w:ascii="Calibri" w:eastAsia="Batang" w:hAnsi="Calibri"/>
          <w:b/>
          <w:i/>
          <w:sz w:val="22"/>
          <w:szCs w:val="22"/>
          <w:lang w:eastAsia="ko-KR"/>
        </w:rPr>
        <w:t>.</w:t>
      </w:r>
    </w:p>
    <w:p w14:paraId="0DA09967" w14:textId="77777777" w:rsidR="002E1A3F" w:rsidRPr="0072646C" w:rsidRDefault="00B00100" w:rsidP="006C70A5">
      <w:pPr>
        <w:widowControl/>
        <w:numPr>
          <w:ilvl w:val="0"/>
          <w:numId w:val="30"/>
        </w:numPr>
        <w:autoSpaceDE/>
        <w:autoSpaceDN/>
        <w:adjustRightInd/>
        <w:spacing w:after="240"/>
        <w:ind w:right="720" w:firstLine="0"/>
        <w:jc w:val="both"/>
        <w:rPr>
          <w:rFonts w:ascii="Calibri" w:eastAsia="Batang" w:hAnsi="Calibri"/>
          <w:sz w:val="22"/>
          <w:szCs w:val="22"/>
          <w:lang w:eastAsia="ko-KR"/>
        </w:rPr>
      </w:pPr>
      <w:r w:rsidRPr="0072646C">
        <w:rPr>
          <w:rFonts w:ascii="Calibri" w:eastAsia="Batang" w:hAnsi="Calibri"/>
          <w:b/>
          <w:i/>
          <w:sz w:val="22"/>
          <w:szCs w:val="22"/>
          <w:lang w:eastAsia="ko-KR"/>
        </w:rPr>
        <w:t>In Nigeria</w:t>
      </w:r>
      <w:r w:rsidR="00DB3FE5" w:rsidRPr="0072646C">
        <w:rPr>
          <w:rFonts w:ascii="Calibri" w:eastAsia="Batang" w:hAnsi="Calibri"/>
          <w:b/>
          <w:i/>
          <w:sz w:val="22"/>
          <w:szCs w:val="22"/>
          <w:lang w:eastAsia="ko-KR"/>
        </w:rPr>
        <w:t>:</w:t>
      </w:r>
      <w:r w:rsidR="00DB3FE5" w:rsidRPr="0072646C">
        <w:rPr>
          <w:rFonts w:ascii="Calibri" w:eastAsia="Batang" w:hAnsi="Calibri"/>
          <w:b/>
          <w:sz w:val="22"/>
          <w:szCs w:val="22"/>
          <w:lang w:eastAsia="ko-KR"/>
        </w:rPr>
        <w:t xml:space="preserve"> </w:t>
      </w:r>
      <w:r w:rsidR="00DB3FE5" w:rsidRPr="0072646C">
        <w:rPr>
          <w:rFonts w:ascii="Calibri" w:eastAsia="Batang" w:hAnsi="Calibri"/>
          <w:sz w:val="22"/>
          <w:szCs w:val="22"/>
          <w:lang w:eastAsia="ko-KR"/>
        </w:rPr>
        <w:t xml:space="preserve">Each ACE has detailed accounting policies and procedures manual along with an Internal Audit Manual. There is </w:t>
      </w:r>
      <w:r w:rsidR="00FC0923" w:rsidRPr="0072646C">
        <w:rPr>
          <w:rFonts w:ascii="Calibri" w:eastAsia="Batang" w:hAnsi="Calibri"/>
          <w:sz w:val="22"/>
          <w:szCs w:val="22"/>
          <w:lang w:eastAsia="ko-KR"/>
        </w:rPr>
        <w:t>adequate segregation of duties. Most centers now have functional audit committees except for CERHI Benin, O</w:t>
      </w:r>
      <w:r w:rsidR="00013AD7" w:rsidRPr="00375F20">
        <w:rPr>
          <w:rFonts w:ascii="Calibri" w:eastAsia="Batang" w:hAnsi="Calibri"/>
          <w:sz w:val="22"/>
          <w:szCs w:val="22"/>
          <w:lang w:eastAsia="ko-KR"/>
        </w:rPr>
        <w:t>AU</w:t>
      </w:r>
      <w:r w:rsidR="00FC0923" w:rsidRPr="00375F20">
        <w:rPr>
          <w:rFonts w:ascii="Calibri" w:eastAsia="Batang" w:hAnsi="Calibri"/>
          <w:sz w:val="22"/>
          <w:szCs w:val="22"/>
          <w:lang w:eastAsia="ko-KR"/>
        </w:rPr>
        <w:t xml:space="preserve"> ILE IFE and ACENTDFB that are still in progress</w:t>
      </w:r>
      <w:r w:rsidR="00E0604E" w:rsidRPr="00375F20">
        <w:rPr>
          <w:rFonts w:ascii="Calibri" w:eastAsia="Batang" w:hAnsi="Calibri"/>
          <w:sz w:val="22"/>
          <w:szCs w:val="22"/>
          <w:lang w:eastAsia="ko-KR"/>
        </w:rPr>
        <w:t xml:space="preserve"> of being set-up</w:t>
      </w:r>
      <w:r w:rsidR="00FC0923" w:rsidRPr="00375F20">
        <w:rPr>
          <w:rFonts w:ascii="Calibri" w:eastAsia="Batang" w:hAnsi="Calibri"/>
          <w:sz w:val="22"/>
          <w:szCs w:val="22"/>
          <w:lang w:eastAsia="ko-KR"/>
        </w:rPr>
        <w:t>.  The internal auditors have been trained on the risk-based audit, though additional training could still be provided. Each of the participating universities has tried to constitute anti-corr</w:t>
      </w:r>
      <w:r w:rsidR="00FC0923" w:rsidRPr="0072646C">
        <w:rPr>
          <w:rFonts w:ascii="Calibri" w:eastAsia="Batang" w:hAnsi="Calibri"/>
          <w:sz w:val="22"/>
          <w:szCs w:val="22"/>
          <w:lang w:eastAsia="ko-KR"/>
        </w:rPr>
        <w:t xml:space="preserve">uption and disciplinary committees to institute discipline and mitigate risk of fraud and corruption in the university, including the centers.  All the </w:t>
      </w:r>
      <w:r w:rsidR="003A535F" w:rsidRPr="0072646C">
        <w:rPr>
          <w:rFonts w:ascii="Calibri" w:eastAsia="Batang" w:hAnsi="Calibri"/>
          <w:sz w:val="22"/>
          <w:szCs w:val="22"/>
          <w:lang w:eastAsia="ko-KR"/>
        </w:rPr>
        <w:t>N</w:t>
      </w:r>
      <w:r w:rsidR="00FC0923" w:rsidRPr="0072646C">
        <w:rPr>
          <w:rFonts w:ascii="Calibri" w:eastAsia="Batang" w:hAnsi="Calibri"/>
          <w:sz w:val="22"/>
          <w:szCs w:val="22"/>
          <w:lang w:eastAsia="ko-KR"/>
        </w:rPr>
        <w:t xml:space="preserve">ew centers have accounting policies and procedures manuals as well as the Internal Audit Manuals.  A review of these manuals indicated they are adequate and there is adequate segregation of duties. The universities also have Audit Committees except for </w:t>
      </w:r>
      <w:r w:rsidR="008B46CE">
        <w:rPr>
          <w:rFonts w:ascii="Calibri" w:eastAsia="Batang" w:hAnsi="Calibri"/>
          <w:sz w:val="22"/>
          <w:szCs w:val="22"/>
          <w:lang w:eastAsia="ko-KR"/>
        </w:rPr>
        <w:t>CU</w:t>
      </w:r>
      <w:r w:rsidR="00FC0923" w:rsidRPr="0072646C">
        <w:rPr>
          <w:rFonts w:ascii="Calibri" w:eastAsia="Batang" w:hAnsi="Calibri"/>
          <w:sz w:val="22"/>
          <w:szCs w:val="22"/>
          <w:lang w:eastAsia="ko-KR"/>
        </w:rPr>
        <w:t>, FUTO and NOUN</w:t>
      </w:r>
      <w:r w:rsidR="00013AD7" w:rsidRPr="0072646C">
        <w:rPr>
          <w:rFonts w:ascii="Calibri" w:eastAsia="Batang" w:hAnsi="Calibri"/>
          <w:sz w:val="22"/>
          <w:szCs w:val="22"/>
          <w:lang w:eastAsia="ko-KR"/>
        </w:rPr>
        <w:t>.</w:t>
      </w:r>
      <w:r w:rsidR="00FA7A8A" w:rsidRPr="0072646C">
        <w:rPr>
          <w:rFonts w:ascii="Calibri" w:eastAsia="Batang" w:hAnsi="Calibri"/>
          <w:sz w:val="22"/>
          <w:szCs w:val="22"/>
          <w:lang w:eastAsia="ko-KR"/>
        </w:rPr>
        <w:t xml:space="preserve"> </w:t>
      </w:r>
      <w:r w:rsidR="00172DA3">
        <w:rPr>
          <w:rFonts w:ascii="Calibri" w:eastAsia="Batang" w:hAnsi="Calibri"/>
          <w:sz w:val="22"/>
          <w:szCs w:val="22"/>
          <w:lang w:eastAsia="ko-KR"/>
        </w:rPr>
        <w:t xml:space="preserve">Centers </w:t>
      </w:r>
      <w:r w:rsidR="0072646C" w:rsidRPr="0072646C">
        <w:rPr>
          <w:rFonts w:ascii="Calibri" w:eastAsia="Batang" w:hAnsi="Calibri"/>
          <w:sz w:val="22"/>
          <w:szCs w:val="22"/>
          <w:lang w:eastAsia="ko-KR"/>
        </w:rPr>
        <w:t>will adopt</w:t>
      </w:r>
      <w:r w:rsidR="0072646C">
        <w:rPr>
          <w:rFonts w:ascii="Calibri" w:eastAsia="Batang" w:hAnsi="Calibri"/>
          <w:sz w:val="22"/>
          <w:szCs w:val="22"/>
          <w:lang w:eastAsia="ko-KR"/>
        </w:rPr>
        <w:t xml:space="preserve"> </w:t>
      </w:r>
      <w:r w:rsidR="00FA7A8A" w:rsidRPr="0072646C">
        <w:rPr>
          <w:rFonts w:ascii="Calibri" w:eastAsia="Batang" w:hAnsi="Calibri"/>
          <w:sz w:val="22"/>
          <w:szCs w:val="22"/>
          <w:lang w:eastAsia="ko-KR"/>
        </w:rPr>
        <w:t>internal reforms aimed at ensuring timely submission of IFRs and Internal audit Report</w:t>
      </w:r>
      <w:r w:rsidR="00172DA3">
        <w:rPr>
          <w:rFonts w:ascii="Calibri" w:eastAsia="Batang" w:hAnsi="Calibri"/>
          <w:sz w:val="22"/>
          <w:szCs w:val="22"/>
          <w:lang w:eastAsia="ko-KR"/>
        </w:rPr>
        <w:t xml:space="preserve">, particularly </w:t>
      </w:r>
      <w:r w:rsidR="00172DA3" w:rsidRPr="0072646C">
        <w:rPr>
          <w:rFonts w:ascii="Calibri" w:eastAsia="Batang" w:hAnsi="Calibri"/>
          <w:sz w:val="22"/>
          <w:szCs w:val="22"/>
          <w:lang w:eastAsia="ko-KR"/>
        </w:rPr>
        <w:t xml:space="preserve">Ahmadu Bello and </w:t>
      </w:r>
      <w:r w:rsidR="00970C07">
        <w:rPr>
          <w:rFonts w:ascii="Calibri" w:eastAsia="Batang" w:hAnsi="Calibri"/>
          <w:sz w:val="22"/>
          <w:szCs w:val="22"/>
          <w:lang w:eastAsia="ko-KR"/>
        </w:rPr>
        <w:t>BSU</w:t>
      </w:r>
      <w:r w:rsidR="00172DA3">
        <w:rPr>
          <w:rFonts w:ascii="Calibri" w:eastAsia="Batang" w:hAnsi="Calibri"/>
          <w:sz w:val="22"/>
          <w:szCs w:val="22"/>
          <w:lang w:eastAsia="ko-KR"/>
        </w:rPr>
        <w:t>.</w:t>
      </w:r>
    </w:p>
    <w:p w14:paraId="6529CF7F" w14:textId="77777777" w:rsidR="00B24043" w:rsidRPr="00B81291" w:rsidRDefault="00B00100" w:rsidP="006C70A5">
      <w:pPr>
        <w:widowControl/>
        <w:numPr>
          <w:ilvl w:val="0"/>
          <w:numId w:val="30"/>
        </w:numPr>
        <w:autoSpaceDE/>
        <w:autoSpaceDN/>
        <w:adjustRightInd/>
        <w:spacing w:after="240"/>
        <w:ind w:right="720" w:firstLine="0"/>
        <w:jc w:val="both"/>
        <w:rPr>
          <w:rFonts w:ascii="Calibri" w:eastAsia="Batang" w:hAnsi="Calibri"/>
          <w:sz w:val="22"/>
          <w:szCs w:val="22"/>
          <w:lang w:eastAsia="ko-KR"/>
        </w:rPr>
      </w:pPr>
      <w:r w:rsidRPr="00B81291">
        <w:rPr>
          <w:rFonts w:ascii="Calibri" w:eastAsia="Batang" w:hAnsi="Calibri"/>
          <w:b/>
          <w:i/>
          <w:sz w:val="22"/>
          <w:szCs w:val="22"/>
          <w:lang w:eastAsia="ko-KR"/>
        </w:rPr>
        <w:t>In Togo</w:t>
      </w:r>
      <w:r w:rsidR="000060CB">
        <w:rPr>
          <w:rFonts w:ascii="Calibri" w:eastAsia="Batang" w:hAnsi="Calibri"/>
          <w:sz w:val="22"/>
          <w:szCs w:val="22"/>
          <w:lang w:eastAsia="ko-KR"/>
        </w:rPr>
        <w:t xml:space="preserve">: </w:t>
      </w:r>
      <w:r w:rsidRPr="00B81291">
        <w:rPr>
          <w:rFonts w:ascii="Calibri" w:eastAsia="Batang" w:hAnsi="Calibri"/>
          <w:sz w:val="22"/>
          <w:szCs w:val="22"/>
          <w:lang w:eastAsia="ko-KR"/>
        </w:rPr>
        <w:t>The internal control policies and procedures for CERME, and the ACE-DOUNEDON will be documented in the updated version of CERSA’s current FM Manual. These will be adequate for the project. The internal audit arrangements designed for CERSA under the ACE I Project should adequately be extended for CERME, and the ACE-DOUNEDON</w:t>
      </w:r>
      <w:r w:rsidR="00881E9A">
        <w:rPr>
          <w:rFonts w:ascii="Calibri" w:eastAsia="Batang" w:hAnsi="Calibri"/>
          <w:sz w:val="22"/>
          <w:szCs w:val="22"/>
          <w:lang w:eastAsia="ko-KR"/>
        </w:rPr>
        <w:t xml:space="preserve"> within </w:t>
      </w:r>
      <w:r w:rsidR="00741F70">
        <w:rPr>
          <w:rFonts w:ascii="Calibri" w:eastAsia="Batang" w:hAnsi="Calibri"/>
          <w:sz w:val="22"/>
          <w:szCs w:val="22"/>
          <w:lang w:eastAsia="ko-KR"/>
        </w:rPr>
        <w:t>three (</w:t>
      </w:r>
      <w:r w:rsidR="00881E9A">
        <w:rPr>
          <w:rFonts w:ascii="Calibri" w:eastAsia="Batang" w:hAnsi="Calibri"/>
          <w:sz w:val="22"/>
          <w:szCs w:val="22"/>
          <w:lang w:eastAsia="ko-KR"/>
        </w:rPr>
        <w:t>3</w:t>
      </w:r>
      <w:r w:rsidR="00741F70">
        <w:rPr>
          <w:rFonts w:ascii="Calibri" w:eastAsia="Batang" w:hAnsi="Calibri"/>
          <w:sz w:val="22"/>
          <w:szCs w:val="22"/>
          <w:lang w:eastAsia="ko-KR"/>
        </w:rPr>
        <w:t>)</w:t>
      </w:r>
      <w:r w:rsidR="00881E9A">
        <w:rPr>
          <w:rFonts w:ascii="Calibri" w:eastAsia="Batang" w:hAnsi="Calibri"/>
          <w:sz w:val="22"/>
          <w:szCs w:val="22"/>
          <w:lang w:eastAsia="ko-KR"/>
        </w:rPr>
        <w:t xml:space="preserve"> months after effectiveness</w:t>
      </w:r>
      <w:r w:rsidRPr="00B81291">
        <w:rPr>
          <w:rFonts w:ascii="Calibri" w:eastAsia="Batang" w:hAnsi="Calibri"/>
          <w:sz w:val="22"/>
          <w:szCs w:val="22"/>
          <w:lang w:eastAsia="ko-KR"/>
        </w:rPr>
        <w:t xml:space="preserve">. However, each </w:t>
      </w:r>
      <w:r w:rsidR="009F62C6" w:rsidRPr="00B81291">
        <w:rPr>
          <w:rFonts w:ascii="Calibri" w:eastAsia="Batang" w:hAnsi="Calibri"/>
          <w:sz w:val="22"/>
          <w:szCs w:val="22"/>
          <w:lang w:eastAsia="ko-KR"/>
        </w:rPr>
        <w:t xml:space="preserve">center </w:t>
      </w:r>
      <w:r w:rsidRPr="00B81291">
        <w:rPr>
          <w:rFonts w:ascii="Calibri" w:eastAsia="Batang" w:hAnsi="Calibri"/>
          <w:sz w:val="22"/>
          <w:szCs w:val="22"/>
          <w:lang w:eastAsia="ko-KR"/>
        </w:rPr>
        <w:t>will adopt an internal audit charter and internal audit manual as well as an institutional risk mapping to ensure that the audits are done semi-annually using a risk-based approach. These semi-annual internal audit reports need to be submitted to the World Bank within 45 days after the end of the semi-annual period.</w:t>
      </w:r>
    </w:p>
    <w:p w14:paraId="100A1521" w14:textId="77777777" w:rsidR="002E1A3F" w:rsidRDefault="00B00100" w:rsidP="006C70A5">
      <w:pPr>
        <w:spacing w:after="240"/>
        <w:ind w:left="360"/>
        <w:contextualSpacing/>
        <w:jc w:val="both"/>
        <w:rPr>
          <w:rFonts w:ascii="Calibri" w:eastAsia="Times New Roman" w:hAnsi="Calibri" w:cs="Calibri"/>
          <w:b/>
          <w:i/>
          <w:color w:val="0070C0"/>
          <w:sz w:val="22"/>
          <w:szCs w:val="22"/>
          <w:lang w:eastAsia="ko-KR"/>
        </w:rPr>
      </w:pPr>
      <w:bookmarkStart w:id="410" w:name="_Hlk534921805"/>
      <w:r w:rsidRPr="002E1A3F">
        <w:rPr>
          <w:rFonts w:ascii="Calibri" w:eastAsia="Times New Roman" w:hAnsi="Calibri" w:cs="Calibri"/>
          <w:b/>
          <w:i/>
          <w:color w:val="0070C0"/>
          <w:sz w:val="22"/>
          <w:szCs w:val="22"/>
          <w:lang w:eastAsia="ko-KR"/>
        </w:rPr>
        <w:t>Audit Committees</w:t>
      </w:r>
    </w:p>
    <w:p w14:paraId="6DD94C3B" w14:textId="77777777" w:rsidR="00C35DF9" w:rsidRPr="002E1A3F" w:rsidRDefault="00C35DF9" w:rsidP="006C70A5">
      <w:pPr>
        <w:spacing w:after="240"/>
        <w:ind w:left="360"/>
        <w:contextualSpacing/>
        <w:jc w:val="both"/>
        <w:rPr>
          <w:rFonts w:ascii="Calibri" w:eastAsia="Times New Roman" w:hAnsi="Calibri" w:cs="Calibri"/>
          <w:b/>
          <w:i/>
          <w:color w:val="0070C0"/>
          <w:sz w:val="22"/>
          <w:szCs w:val="22"/>
          <w:lang w:eastAsia="ko-KR"/>
        </w:rPr>
      </w:pPr>
    </w:p>
    <w:bookmarkEnd w:id="410"/>
    <w:p w14:paraId="444E6AF2" w14:textId="77777777" w:rsidR="002E1A3F" w:rsidRPr="002E1A3F" w:rsidRDefault="00B00100" w:rsidP="006C70A5">
      <w:pPr>
        <w:widowControl/>
        <w:numPr>
          <w:ilvl w:val="0"/>
          <w:numId w:val="30"/>
        </w:numPr>
        <w:autoSpaceDE/>
        <w:autoSpaceDN/>
        <w:adjustRightInd/>
        <w:spacing w:after="240"/>
        <w:ind w:right="72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Audit committees are essential to ensure that </w:t>
      </w:r>
      <w:bookmarkStart w:id="411" w:name="_Hlk18752807"/>
      <w:r w:rsidRPr="002E1A3F">
        <w:rPr>
          <w:rFonts w:ascii="Calibri" w:eastAsia="Calibri" w:hAnsi="Calibri" w:cs="Times New Roman"/>
          <w:color w:val="auto"/>
          <w:sz w:val="22"/>
          <w:szCs w:val="22"/>
        </w:rPr>
        <w:t>audit issues are brought to high level attention and addressed</w:t>
      </w:r>
      <w:bookmarkEnd w:id="411"/>
      <w:r w:rsidRPr="002E1A3F">
        <w:rPr>
          <w:rFonts w:ascii="Calibri" w:eastAsia="Calibri" w:hAnsi="Calibri" w:cs="Times New Roman"/>
          <w:color w:val="auto"/>
          <w:sz w:val="22"/>
          <w:szCs w:val="22"/>
        </w:rPr>
        <w:t>. The committees are made up of non-executive members, including University Council member</w:t>
      </w:r>
      <w:r w:rsidR="00FF5305">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Based on the ACE I implementation experience and the results of the FM DLI#3.3 in that project, some implementing entities have yet to have a fully functional audit committee.  The </w:t>
      </w:r>
      <w:r w:rsidRPr="002E1A3F">
        <w:rPr>
          <w:rFonts w:ascii="Calibri" w:eastAsia="Calibri" w:hAnsi="Calibri" w:cs="Times New Roman"/>
          <w:color w:val="auto"/>
          <w:sz w:val="22"/>
          <w:szCs w:val="22"/>
        </w:rPr>
        <w:lastRenderedPageBreak/>
        <w:t>existence of Audit Committees, or a formally constituted sub-group of the University Council with Council members to examine audits, is an element of good corporate governance to ensure management addresses audit issues. Therefore, this will be a DL</w:t>
      </w:r>
      <w:r w:rsidR="00635A34">
        <w:rPr>
          <w:rFonts w:ascii="Calibri" w:eastAsia="Calibri" w:hAnsi="Calibri" w:cs="Times New Roman"/>
          <w:color w:val="auto"/>
          <w:sz w:val="22"/>
          <w:szCs w:val="22"/>
        </w:rPr>
        <w:t xml:space="preserve">R </w:t>
      </w:r>
      <w:r w:rsidR="0025237D">
        <w:rPr>
          <w:rFonts w:ascii="Calibri" w:eastAsia="Calibri" w:hAnsi="Calibri" w:cs="Times New Roman"/>
          <w:color w:val="auto"/>
          <w:sz w:val="22"/>
          <w:szCs w:val="22"/>
        </w:rPr>
        <w:t>(within DLI 6)</w:t>
      </w:r>
      <w:r w:rsidRPr="002E1A3F">
        <w:rPr>
          <w:rFonts w:ascii="Calibri" w:eastAsia="Calibri" w:hAnsi="Calibri" w:cs="Times New Roman"/>
          <w:color w:val="auto"/>
          <w:sz w:val="22"/>
          <w:szCs w:val="22"/>
        </w:rPr>
        <w:t xml:space="preserve"> for the </w:t>
      </w:r>
      <w:r w:rsidR="0025237D">
        <w:rPr>
          <w:rFonts w:ascii="Calibri" w:eastAsia="Calibri" w:hAnsi="Calibri" w:cs="Times New Roman"/>
          <w:color w:val="auto"/>
          <w:sz w:val="22"/>
          <w:szCs w:val="22"/>
        </w:rPr>
        <w:t>centers,</w:t>
      </w:r>
      <w:r w:rsidR="0025237D" w:rsidRPr="002E1A3F">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 xml:space="preserve">to encourage them to improve on their governance arrangements. Internal auditors will be expected to report to them functionally and report administratively to the Head of the Institution e.g., Vice Chancellor or the Rector for the ACEs. A summary of the status of audit committees in </w:t>
      </w:r>
      <w:r w:rsidR="002838B7">
        <w:rPr>
          <w:rFonts w:ascii="Calibri" w:eastAsia="Calibri" w:hAnsi="Calibri" w:cs="Times New Roman"/>
          <w:color w:val="auto"/>
          <w:sz w:val="22"/>
          <w:szCs w:val="22"/>
        </w:rPr>
        <w:t xml:space="preserve">the </w:t>
      </w:r>
      <w:r w:rsidRPr="002E1A3F">
        <w:rPr>
          <w:rFonts w:ascii="Calibri" w:eastAsia="Calibri" w:hAnsi="Calibri" w:cs="Times New Roman"/>
          <w:color w:val="auto"/>
          <w:sz w:val="22"/>
          <w:szCs w:val="22"/>
        </w:rPr>
        <w:t xml:space="preserve">participating </w:t>
      </w:r>
      <w:r w:rsidR="00CF1C7F">
        <w:rPr>
          <w:rFonts w:ascii="Calibri" w:eastAsia="Calibri" w:hAnsi="Calibri" w:cs="Times New Roman"/>
          <w:color w:val="auto"/>
          <w:sz w:val="22"/>
          <w:szCs w:val="22"/>
        </w:rPr>
        <w:t>centers</w:t>
      </w:r>
      <w:r w:rsidRPr="002E1A3F">
        <w:rPr>
          <w:rFonts w:ascii="Calibri" w:eastAsia="Calibri" w:hAnsi="Calibri" w:cs="Times New Roman"/>
          <w:color w:val="auto"/>
          <w:sz w:val="22"/>
          <w:szCs w:val="22"/>
        </w:rPr>
        <w:t xml:space="preserve"> is provided below:</w:t>
      </w:r>
    </w:p>
    <w:p w14:paraId="0F6994F7" w14:textId="77777777" w:rsidR="00E646DA" w:rsidRPr="00A75C3F" w:rsidRDefault="00B00100" w:rsidP="006C70A5">
      <w:pPr>
        <w:widowControl/>
        <w:numPr>
          <w:ilvl w:val="0"/>
          <w:numId w:val="30"/>
        </w:numPr>
        <w:autoSpaceDE/>
        <w:autoSpaceDN/>
        <w:adjustRightInd/>
        <w:spacing w:after="240"/>
        <w:ind w:right="720" w:firstLine="0"/>
        <w:jc w:val="both"/>
        <w:rPr>
          <w:rFonts w:asciiTheme="minorHAnsi" w:hAnsiTheme="minorHAnsi" w:cstheme="minorHAnsi"/>
          <w:b/>
          <w:sz w:val="22"/>
          <w:szCs w:val="22"/>
        </w:rPr>
      </w:pPr>
      <w:r w:rsidRPr="002E1A3F">
        <w:rPr>
          <w:rFonts w:ascii="Calibri" w:eastAsia="Batang" w:hAnsi="Calibri" w:cs="Calibri"/>
          <w:b/>
          <w:i/>
          <w:color w:val="auto"/>
          <w:sz w:val="22"/>
          <w:szCs w:val="22"/>
          <w:lang w:eastAsia="ko-KR"/>
        </w:rPr>
        <w:t>In Beni</w:t>
      </w:r>
      <w:r>
        <w:rPr>
          <w:rFonts w:ascii="Calibri" w:eastAsia="Batang" w:hAnsi="Calibri" w:cs="Calibri"/>
          <w:b/>
          <w:i/>
          <w:color w:val="auto"/>
          <w:sz w:val="22"/>
          <w:szCs w:val="22"/>
          <w:lang w:eastAsia="ko-KR"/>
        </w:rPr>
        <w:t xml:space="preserve">n: </w:t>
      </w:r>
      <w:r w:rsidR="00DE4A61">
        <w:rPr>
          <w:rFonts w:asciiTheme="minorHAnsi" w:hAnsiTheme="minorHAnsi" w:cstheme="minorHAnsi"/>
          <w:sz w:val="22"/>
          <w:szCs w:val="22"/>
        </w:rPr>
        <w:t>CEA-SMIA</w:t>
      </w:r>
      <w:r w:rsidRPr="00A75C3F">
        <w:rPr>
          <w:rFonts w:asciiTheme="minorHAnsi" w:hAnsiTheme="minorHAnsi" w:cstheme="minorHAnsi"/>
          <w:sz w:val="22"/>
          <w:szCs w:val="22"/>
        </w:rPr>
        <w:t xml:space="preserve"> has an audit committee which is essential in ensuring that management addresses issues raised by both internal and external auditors. It also provides independence to the Internal Auditor who can report to it from a functional perspective while reporting to management from an administrative perspective. </w:t>
      </w:r>
      <w:r w:rsidR="00DE4A61">
        <w:rPr>
          <w:rFonts w:asciiTheme="minorHAnsi" w:hAnsiTheme="minorHAnsi" w:cstheme="minorHAnsi"/>
          <w:sz w:val="22"/>
          <w:szCs w:val="22"/>
        </w:rPr>
        <w:t>CEA-SMIA</w:t>
      </w:r>
      <w:r w:rsidRPr="00A75C3F">
        <w:rPr>
          <w:rFonts w:asciiTheme="minorHAnsi" w:hAnsiTheme="minorHAnsi" w:cstheme="minorHAnsi"/>
          <w:sz w:val="22"/>
          <w:szCs w:val="22"/>
        </w:rPr>
        <w:t>’s audit committee arrangements will be reinforced and extended to C2EA, and CoE-</w:t>
      </w:r>
      <w:r w:rsidR="00A42251" w:rsidRPr="00A75C3F">
        <w:rPr>
          <w:rFonts w:asciiTheme="minorHAnsi" w:hAnsiTheme="minorHAnsi" w:cstheme="minorHAnsi"/>
          <w:sz w:val="22"/>
          <w:szCs w:val="22"/>
        </w:rPr>
        <w:t>E</w:t>
      </w:r>
      <w:r w:rsidR="00A42251">
        <w:rPr>
          <w:rFonts w:asciiTheme="minorHAnsi" w:hAnsiTheme="minorHAnsi" w:cstheme="minorHAnsi"/>
          <w:sz w:val="22"/>
          <w:szCs w:val="22"/>
        </w:rPr>
        <w:t>IE</w:t>
      </w:r>
      <w:r w:rsidR="00A42251" w:rsidRPr="00A75C3F">
        <w:rPr>
          <w:rFonts w:asciiTheme="minorHAnsi" w:hAnsiTheme="minorHAnsi" w:cstheme="minorHAnsi"/>
          <w:sz w:val="22"/>
          <w:szCs w:val="22"/>
        </w:rPr>
        <w:t xml:space="preserve"> </w:t>
      </w:r>
      <w:r w:rsidRPr="00A75C3F">
        <w:rPr>
          <w:rFonts w:asciiTheme="minorHAnsi" w:hAnsiTheme="minorHAnsi" w:cstheme="minorHAnsi"/>
          <w:sz w:val="22"/>
          <w:szCs w:val="22"/>
        </w:rPr>
        <w:t>within three months after effectiveness.</w:t>
      </w:r>
    </w:p>
    <w:p w14:paraId="60849368" w14:textId="77777777" w:rsidR="00374660"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374660">
        <w:rPr>
          <w:rFonts w:ascii="Calibri" w:eastAsia="Batang" w:hAnsi="Calibri" w:cs="Calibri"/>
          <w:b/>
          <w:i/>
          <w:color w:val="auto"/>
          <w:sz w:val="22"/>
          <w:szCs w:val="22"/>
          <w:lang w:eastAsia="ko-KR"/>
        </w:rPr>
        <w:t>In The Gambia</w:t>
      </w:r>
      <w:r>
        <w:rPr>
          <w:rFonts w:ascii="Calibri" w:eastAsia="Batang" w:hAnsi="Calibri" w:cs="Calibri"/>
          <w:b/>
          <w:i/>
          <w:color w:val="auto"/>
          <w:sz w:val="22"/>
          <w:szCs w:val="22"/>
          <w:lang w:eastAsia="ko-KR"/>
        </w:rPr>
        <w:t xml:space="preserve">: </w:t>
      </w:r>
      <w:r w:rsidRPr="00B81291">
        <w:rPr>
          <w:rFonts w:ascii="Calibri" w:eastAsia="Batang" w:hAnsi="Calibri" w:cs="Calibri"/>
          <w:color w:val="auto"/>
          <w:sz w:val="22"/>
          <w:szCs w:val="22"/>
          <w:lang w:eastAsia="ko-KR"/>
        </w:rPr>
        <w:t>The</w:t>
      </w:r>
      <w:r w:rsidRPr="00374660">
        <w:rPr>
          <w:rFonts w:asciiTheme="minorHAnsi" w:hAnsiTheme="minorHAnsi" w:cstheme="minorHAnsi"/>
          <w:sz w:val="22"/>
          <w:szCs w:val="22"/>
        </w:rPr>
        <w:t xml:space="preserve"> a</w:t>
      </w:r>
      <w:r>
        <w:rPr>
          <w:rFonts w:asciiTheme="minorHAnsi" w:hAnsiTheme="minorHAnsi" w:cstheme="minorHAnsi"/>
          <w:sz w:val="22"/>
          <w:szCs w:val="22"/>
        </w:rPr>
        <w:t xml:space="preserve">ssessment indicated that presently there is no functional audit committee within the GTTI and so as part of fiduciary strengthening it is proposed that the GTTI should establish a functional audit committee. </w:t>
      </w:r>
    </w:p>
    <w:p w14:paraId="5917E827" w14:textId="77777777" w:rsidR="002E1A3F" w:rsidRPr="00B81291"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374660">
        <w:rPr>
          <w:rFonts w:ascii="Calibri" w:eastAsia="Batang" w:hAnsi="Calibri" w:cs="Calibri"/>
          <w:b/>
          <w:i/>
          <w:color w:val="auto"/>
          <w:sz w:val="22"/>
          <w:szCs w:val="22"/>
          <w:lang w:eastAsia="ko-KR"/>
        </w:rPr>
        <w:t>In Niger</w:t>
      </w:r>
      <w:r w:rsidR="001F2F7F" w:rsidRPr="00374660">
        <w:rPr>
          <w:rFonts w:ascii="Calibri" w:eastAsia="Batang" w:hAnsi="Calibri" w:cs="Calibri"/>
          <w:b/>
          <w:i/>
          <w:color w:val="auto"/>
          <w:sz w:val="22"/>
          <w:szCs w:val="22"/>
          <w:lang w:eastAsia="ko-KR"/>
        </w:rPr>
        <w:t xml:space="preserve">: </w:t>
      </w:r>
      <w:r w:rsidR="0073621F" w:rsidRPr="00797B7A">
        <w:rPr>
          <w:rFonts w:ascii="Calibri" w:eastAsia="Batang" w:hAnsi="Calibri" w:cs="Calibri"/>
          <w:color w:val="auto"/>
          <w:sz w:val="22"/>
          <w:szCs w:val="22"/>
          <w:lang w:eastAsia="ko-KR"/>
        </w:rPr>
        <w:t xml:space="preserve">Neither </w:t>
      </w:r>
      <w:r w:rsidR="007A607F" w:rsidRPr="00797B7A">
        <w:rPr>
          <w:rFonts w:ascii="Calibri" w:eastAsia="Batang" w:hAnsi="Calibri" w:cs="Calibri"/>
          <w:color w:val="auto"/>
          <w:sz w:val="22"/>
          <w:szCs w:val="22"/>
          <w:lang w:eastAsia="ko-KR"/>
        </w:rPr>
        <w:t xml:space="preserve">UAM </w:t>
      </w:r>
      <w:r w:rsidR="0073621F" w:rsidRPr="00797B7A">
        <w:rPr>
          <w:rFonts w:ascii="Calibri" w:eastAsia="Batang" w:hAnsi="Calibri" w:cs="Calibri"/>
          <w:color w:val="auto"/>
          <w:sz w:val="22"/>
          <w:szCs w:val="22"/>
          <w:lang w:eastAsia="ko-KR"/>
        </w:rPr>
        <w:t>nor</w:t>
      </w:r>
      <w:r w:rsidR="007A607F" w:rsidRPr="00797B7A">
        <w:rPr>
          <w:rFonts w:ascii="Calibri" w:eastAsia="Batang" w:hAnsi="Calibri" w:cs="Calibri"/>
          <w:color w:val="auto"/>
          <w:sz w:val="22"/>
          <w:szCs w:val="22"/>
          <w:lang w:eastAsia="ko-KR"/>
        </w:rPr>
        <w:t xml:space="preserve"> EMIG </w:t>
      </w:r>
      <w:r w:rsidR="0073621F" w:rsidRPr="00797B7A">
        <w:rPr>
          <w:rFonts w:ascii="Calibri" w:eastAsia="Batang" w:hAnsi="Calibri" w:cs="Calibri"/>
          <w:color w:val="auto"/>
          <w:sz w:val="22"/>
          <w:szCs w:val="22"/>
          <w:lang w:eastAsia="ko-KR"/>
        </w:rPr>
        <w:t>has an audit committee</w:t>
      </w:r>
      <w:r w:rsidR="0073621F">
        <w:rPr>
          <w:rFonts w:ascii="Calibri" w:eastAsia="Batang" w:hAnsi="Calibri" w:cs="Calibri"/>
          <w:color w:val="auto"/>
          <w:sz w:val="22"/>
          <w:szCs w:val="22"/>
          <w:lang w:eastAsia="ko-KR"/>
        </w:rPr>
        <w:t xml:space="preserve"> and so will need to set up such a committee.</w:t>
      </w:r>
    </w:p>
    <w:p w14:paraId="0532052D" w14:textId="77777777" w:rsidR="00374660" w:rsidRPr="007A6F32"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374660">
        <w:rPr>
          <w:rFonts w:ascii="Calibri" w:eastAsia="Batang" w:hAnsi="Calibri" w:cs="Calibri"/>
          <w:b/>
          <w:i/>
          <w:color w:val="auto"/>
          <w:sz w:val="22"/>
          <w:szCs w:val="22"/>
          <w:lang w:eastAsia="ko-KR"/>
        </w:rPr>
        <w:t>In Nigeria</w:t>
      </w:r>
      <w:r w:rsidR="0077391B">
        <w:rPr>
          <w:rFonts w:ascii="Calibri" w:eastAsia="Batang" w:hAnsi="Calibri" w:cs="Calibri"/>
          <w:b/>
          <w:i/>
          <w:color w:val="auto"/>
          <w:sz w:val="22"/>
          <w:szCs w:val="22"/>
          <w:lang w:eastAsia="ko-KR"/>
        </w:rPr>
        <w:t>:</w:t>
      </w:r>
      <w:r w:rsidRPr="00374660">
        <w:rPr>
          <w:rFonts w:ascii="Calibri" w:eastAsia="Batang" w:hAnsi="Calibri" w:cs="Calibri"/>
          <w:b/>
          <w:i/>
          <w:color w:val="auto"/>
          <w:sz w:val="22"/>
          <w:szCs w:val="22"/>
          <w:lang w:eastAsia="ko-KR"/>
        </w:rPr>
        <w:t xml:space="preserve"> </w:t>
      </w:r>
      <w:r w:rsidRPr="007A6F32">
        <w:rPr>
          <w:rFonts w:ascii="Calibri" w:eastAsia="Batang" w:hAnsi="Calibri" w:cs="Calibri"/>
          <w:color w:val="auto"/>
          <w:sz w:val="22"/>
          <w:szCs w:val="22"/>
          <w:lang w:eastAsia="ko-KR"/>
        </w:rPr>
        <w:t>All of the participating universities have Audit Committees except for</w:t>
      </w:r>
      <w:r w:rsidR="00106D85">
        <w:rPr>
          <w:rFonts w:ascii="Calibri" w:eastAsia="Batang" w:hAnsi="Calibri" w:cs="Calibri"/>
          <w:color w:val="auto"/>
          <w:sz w:val="22"/>
          <w:szCs w:val="22"/>
          <w:lang w:eastAsia="ko-KR"/>
        </w:rPr>
        <w:t xml:space="preserve"> </w:t>
      </w:r>
      <w:r w:rsidR="007B0E25">
        <w:rPr>
          <w:rFonts w:ascii="Calibri" w:eastAsia="Batang" w:hAnsi="Calibri" w:cs="Calibri"/>
          <w:color w:val="auto"/>
          <w:sz w:val="22"/>
          <w:szCs w:val="22"/>
          <w:lang w:eastAsia="ko-KR"/>
        </w:rPr>
        <w:t>UniBen</w:t>
      </w:r>
      <w:r w:rsidR="002C7210">
        <w:rPr>
          <w:rFonts w:ascii="Calibri" w:eastAsia="Batang" w:hAnsi="Calibri" w:cs="Calibri"/>
          <w:color w:val="auto"/>
          <w:sz w:val="22"/>
          <w:szCs w:val="22"/>
          <w:lang w:eastAsia="ko-KR"/>
        </w:rPr>
        <w:t>,</w:t>
      </w:r>
      <w:r w:rsidR="002C7210" w:rsidRPr="002C7210">
        <w:rPr>
          <w:rFonts w:ascii="Calibri" w:eastAsia="Batang" w:hAnsi="Calibri" w:cs="Calibri"/>
          <w:color w:val="auto"/>
          <w:sz w:val="22"/>
          <w:szCs w:val="22"/>
          <w:lang w:eastAsia="ko-KR"/>
        </w:rPr>
        <w:t xml:space="preserve"> </w:t>
      </w:r>
      <w:r w:rsidR="00970C07">
        <w:rPr>
          <w:rFonts w:ascii="Calibri" w:eastAsia="Batang" w:hAnsi="Calibri" w:cs="Calibri"/>
          <w:color w:val="auto"/>
          <w:sz w:val="22"/>
          <w:szCs w:val="22"/>
          <w:lang w:eastAsia="ko-KR"/>
        </w:rPr>
        <w:t>BSU</w:t>
      </w:r>
      <w:r w:rsidR="00106D85" w:rsidRPr="00106D85">
        <w:rPr>
          <w:rFonts w:ascii="Calibri" w:eastAsia="Batang" w:hAnsi="Calibri" w:cs="Calibri"/>
          <w:color w:val="auto"/>
          <w:sz w:val="22"/>
          <w:szCs w:val="22"/>
          <w:lang w:eastAsia="ko-KR"/>
        </w:rPr>
        <w:t xml:space="preserve">, UniPort, Ahmadu Bello University, </w:t>
      </w:r>
      <w:r w:rsidR="008B46CE">
        <w:rPr>
          <w:rFonts w:ascii="Calibri" w:eastAsia="Batang" w:hAnsi="Calibri" w:cs="Calibri"/>
          <w:color w:val="auto"/>
          <w:sz w:val="22"/>
          <w:szCs w:val="22"/>
          <w:lang w:eastAsia="ko-KR"/>
        </w:rPr>
        <w:t>CU</w:t>
      </w:r>
      <w:r w:rsidR="00106D85" w:rsidRPr="00106D85">
        <w:rPr>
          <w:rFonts w:ascii="Calibri" w:eastAsia="Batang" w:hAnsi="Calibri" w:cs="Calibri"/>
          <w:color w:val="auto"/>
          <w:sz w:val="22"/>
          <w:szCs w:val="22"/>
          <w:lang w:eastAsia="ko-KR"/>
        </w:rPr>
        <w:t xml:space="preserve">, FUTO, NOUN, </w:t>
      </w:r>
      <w:r w:rsidR="00106D85">
        <w:rPr>
          <w:rFonts w:ascii="Calibri" w:eastAsia="Batang" w:hAnsi="Calibri" w:cs="Calibri"/>
          <w:color w:val="auto"/>
          <w:sz w:val="22"/>
          <w:szCs w:val="22"/>
          <w:lang w:eastAsia="ko-KR"/>
        </w:rPr>
        <w:t xml:space="preserve">FUTMIN </w:t>
      </w:r>
      <w:r w:rsidR="00106D85" w:rsidRPr="00106D85">
        <w:rPr>
          <w:rFonts w:ascii="Calibri" w:eastAsia="Batang" w:hAnsi="Calibri" w:cs="Calibri"/>
          <w:color w:val="auto"/>
          <w:sz w:val="22"/>
          <w:szCs w:val="22"/>
          <w:lang w:eastAsia="ko-KR"/>
        </w:rPr>
        <w:t xml:space="preserve">and OAU </w:t>
      </w:r>
      <w:r w:rsidR="006D5278">
        <w:rPr>
          <w:rFonts w:ascii="Calibri" w:eastAsia="Batang" w:hAnsi="Calibri" w:cs="Calibri"/>
          <w:color w:val="auto"/>
          <w:sz w:val="22"/>
          <w:szCs w:val="22"/>
          <w:lang w:eastAsia="ko-KR"/>
        </w:rPr>
        <w:t xml:space="preserve"> that</w:t>
      </w:r>
      <w:r w:rsidR="00106D85">
        <w:rPr>
          <w:rFonts w:ascii="Calibri" w:eastAsia="Batang" w:hAnsi="Calibri" w:cs="Calibri"/>
          <w:color w:val="auto"/>
          <w:sz w:val="22"/>
          <w:szCs w:val="22"/>
          <w:lang w:eastAsia="ko-KR"/>
        </w:rPr>
        <w:t xml:space="preserve"> </w:t>
      </w:r>
      <w:r w:rsidRPr="007A6F32">
        <w:rPr>
          <w:rFonts w:ascii="Calibri" w:eastAsia="Batang" w:hAnsi="Calibri" w:cs="Calibri"/>
          <w:color w:val="auto"/>
          <w:sz w:val="22"/>
          <w:szCs w:val="22"/>
          <w:lang w:eastAsia="ko-KR"/>
        </w:rPr>
        <w:t>do not have Audit committees</w:t>
      </w:r>
      <w:r w:rsidR="006D5278">
        <w:rPr>
          <w:rFonts w:ascii="Calibri" w:eastAsia="Batang" w:hAnsi="Calibri" w:cs="Calibri"/>
          <w:color w:val="auto"/>
          <w:sz w:val="22"/>
          <w:szCs w:val="22"/>
          <w:lang w:eastAsia="ko-KR"/>
        </w:rPr>
        <w:t xml:space="preserve"> and so would need to set </w:t>
      </w:r>
      <w:r w:rsidR="00CD1426">
        <w:rPr>
          <w:rFonts w:ascii="Calibri" w:eastAsia="Batang" w:hAnsi="Calibri" w:cs="Calibri"/>
          <w:color w:val="auto"/>
          <w:sz w:val="22"/>
          <w:szCs w:val="22"/>
          <w:lang w:eastAsia="ko-KR"/>
        </w:rPr>
        <w:t xml:space="preserve">up </w:t>
      </w:r>
      <w:r w:rsidR="006D5278">
        <w:rPr>
          <w:rFonts w:ascii="Calibri" w:eastAsia="Batang" w:hAnsi="Calibri" w:cs="Calibri"/>
          <w:color w:val="auto"/>
          <w:sz w:val="22"/>
          <w:szCs w:val="22"/>
          <w:lang w:eastAsia="ko-KR"/>
        </w:rPr>
        <w:t>Audit Commit</w:t>
      </w:r>
      <w:r w:rsidR="00DF7D32">
        <w:rPr>
          <w:rFonts w:ascii="Calibri" w:eastAsia="Batang" w:hAnsi="Calibri" w:cs="Calibri"/>
          <w:color w:val="auto"/>
          <w:sz w:val="22"/>
          <w:szCs w:val="22"/>
          <w:lang w:eastAsia="ko-KR"/>
        </w:rPr>
        <w:t>t</w:t>
      </w:r>
      <w:r w:rsidR="006D5278">
        <w:rPr>
          <w:rFonts w:ascii="Calibri" w:eastAsia="Batang" w:hAnsi="Calibri" w:cs="Calibri"/>
          <w:color w:val="auto"/>
          <w:sz w:val="22"/>
          <w:szCs w:val="22"/>
          <w:lang w:eastAsia="ko-KR"/>
        </w:rPr>
        <w:t xml:space="preserve">ees </w:t>
      </w:r>
      <w:r w:rsidR="00DF7D32">
        <w:rPr>
          <w:rFonts w:ascii="Calibri" w:eastAsia="Batang" w:hAnsi="Calibri" w:cs="Calibri"/>
          <w:color w:val="auto"/>
          <w:sz w:val="22"/>
          <w:szCs w:val="22"/>
          <w:lang w:eastAsia="ko-KR"/>
        </w:rPr>
        <w:t>w</w:t>
      </w:r>
      <w:r w:rsidR="00DF7D32" w:rsidRPr="00DF7D32">
        <w:rPr>
          <w:rFonts w:ascii="Calibri" w:eastAsia="Batang" w:hAnsi="Calibri" w:cs="Calibri"/>
          <w:color w:val="auto"/>
          <w:sz w:val="22"/>
          <w:szCs w:val="22"/>
          <w:lang w:eastAsia="ko-KR"/>
        </w:rPr>
        <w:t>ithin three months</w:t>
      </w:r>
      <w:r w:rsidR="00CD1426">
        <w:rPr>
          <w:rFonts w:ascii="Calibri" w:eastAsia="Batang" w:hAnsi="Calibri" w:cs="Calibri"/>
          <w:color w:val="auto"/>
          <w:sz w:val="22"/>
          <w:szCs w:val="22"/>
          <w:lang w:eastAsia="ko-KR"/>
        </w:rPr>
        <w:t xml:space="preserve"> of effectiveness</w:t>
      </w:r>
      <w:r w:rsidRPr="00374660">
        <w:rPr>
          <w:rFonts w:ascii="Calibri" w:eastAsia="Batang" w:hAnsi="Calibri" w:cs="Calibri"/>
          <w:color w:val="auto"/>
          <w:sz w:val="22"/>
          <w:szCs w:val="22"/>
          <w:lang w:eastAsia="ko-KR"/>
        </w:rPr>
        <w:t>.</w:t>
      </w:r>
    </w:p>
    <w:p w14:paraId="6AFD3D20" w14:textId="77777777" w:rsidR="0077391B" w:rsidRPr="00B81291"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77391B">
        <w:rPr>
          <w:rFonts w:ascii="Calibri" w:eastAsia="Batang" w:hAnsi="Calibri" w:cs="Calibri"/>
          <w:b/>
          <w:i/>
          <w:color w:val="auto"/>
          <w:sz w:val="22"/>
          <w:szCs w:val="22"/>
          <w:lang w:eastAsia="ko-KR"/>
        </w:rPr>
        <w:t>In Togo</w:t>
      </w:r>
      <w:r w:rsidR="00FB4CA6">
        <w:rPr>
          <w:rFonts w:ascii="Calibri" w:eastAsia="Batang" w:hAnsi="Calibri" w:cs="Calibri"/>
          <w:b/>
          <w:i/>
          <w:color w:val="auto"/>
          <w:sz w:val="22"/>
          <w:szCs w:val="22"/>
          <w:lang w:eastAsia="ko-KR"/>
        </w:rPr>
        <w:t>:</w:t>
      </w:r>
      <w:r w:rsidRPr="00B81291">
        <w:rPr>
          <w:rFonts w:ascii="Calibri" w:eastAsia="Batang" w:hAnsi="Calibri" w:cs="Calibri"/>
          <w:b/>
          <w:i/>
          <w:color w:val="auto"/>
          <w:sz w:val="22"/>
          <w:szCs w:val="22"/>
          <w:lang w:eastAsia="ko-KR"/>
        </w:rPr>
        <w:t xml:space="preserve"> </w:t>
      </w:r>
      <w:r w:rsidR="00FB4CA6" w:rsidRPr="00B81291">
        <w:rPr>
          <w:rFonts w:ascii="Calibri" w:eastAsia="Batang" w:hAnsi="Calibri" w:cs="Calibri"/>
          <w:color w:val="auto"/>
          <w:sz w:val="22"/>
          <w:szCs w:val="22"/>
          <w:lang w:eastAsia="ko-KR"/>
        </w:rPr>
        <w:t>CERSA has a functional audit committee which is essential in ensuring that management addresses issues raised by both internal and external auditors. It also provides independence to the Internal Auditor who can report to it from a functional perspective while reporting to management from an administrative perspective. CERSA’s audit committee arrangements will be extended to CERME, and ACE-DOUNEDON within three months after effectiveness.</w:t>
      </w:r>
    </w:p>
    <w:p w14:paraId="101EF428" w14:textId="77777777" w:rsidR="002E1A3F" w:rsidRPr="002E1A3F" w:rsidRDefault="00B00100" w:rsidP="006C70A5">
      <w:pPr>
        <w:spacing w:after="240"/>
        <w:ind w:left="360"/>
        <w:jc w:val="both"/>
        <w:rPr>
          <w:rFonts w:ascii="Calibri" w:eastAsia="Times New Roman" w:hAnsi="Calibri" w:cs="Calibri"/>
          <w:b/>
          <w:i/>
          <w:color w:val="0070C0"/>
          <w:sz w:val="22"/>
          <w:szCs w:val="22"/>
          <w:lang w:eastAsia="ko-KR"/>
        </w:rPr>
      </w:pPr>
      <w:r w:rsidRPr="002E1A3F">
        <w:rPr>
          <w:rFonts w:ascii="Calibri" w:eastAsia="Times New Roman" w:hAnsi="Calibri" w:cs="Calibri"/>
          <w:b/>
          <w:i/>
          <w:color w:val="0070C0"/>
          <w:sz w:val="22"/>
          <w:szCs w:val="22"/>
          <w:lang w:eastAsia="ko-KR"/>
        </w:rPr>
        <w:t xml:space="preserve">Governance and Anti-Corruption Arrangements </w:t>
      </w:r>
    </w:p>
    <w:p w14:paraId="0E895C01" w14:textId="77777777" w:rsidR="00C15B2E" w:rsidRPr="00C15B2E"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C15B2E">
        <w:rPr>
          <w:rFonts w:asciiTheme="minorHAnsi" w:hAnsiTheme="minorHAnsi" w:cstheme="minorHAnsi"/>
          <w:sz w:val="22"/>
          <w:szCs w:val="22"/>
        </w:rPr>
        <w:t>To enhance transparency and accountability, and improve the fiduciary oversight functions within the Universities, each participating center will be supported to improve its governance arrangements. The activities to be undertaken to improve governance, some of which will be part of the FM DLRs to be achieved include, but are not limited to:</w:t>
      </w:r>
    </w:p>
    <w:p w14:paraId="469B520D" w14:textId="77777777" w:rsidR="002E1A3F" w:rsidRPr="002E1A3F" w:rsidRDefault="00B00100" w:rsidP="00952EDF">
      <w:pPr>
        <w:widowControl/>
        <w:numPr>
          <w:ilvl w:val="0"/>
          <w:numId w:val="25"/>
        </w:numPr>
        <w:autoSpaceDE/>
        <w:autoSpaceDN/>
        <w:adjustRightInd/>
        <w:spacing w:after="120"/>
        <w:ind w:right="720"/>
        <w:jc w:val="both"/>
        <w:rPr>
          <w:rFonts w:ascii="Calibri" w:eastAsia="Calibri" w:hAnsi="Calibri" w:cs="Calibri"/>
          <w:spacing w:val="-1"/>
          <w:sz w:val="22"/>
          <w:szCs w:val="22"/>
        </w:rPr>
      </w:pPr>
      <w:r w:rsidRPr="002E1A3F">
        <w:rPr>
          <w:rFonts w:ascii="Calibri" w:eastAsia="Calibri" w:hAnsi="Calibri" w:cs="Calibri"/>
          <w:spacing w:val="-1"/>
          <w:sz w:val="22"/>
          <w:szCs w:val="22"/>
        </w:rPr>
        <w:t>Publish budgets, financial reports and audited financial statements related to the project and for the institution on the websites to enhance transparency and accountability. This will be encouraged through an annual disbursement (DLR#6.3) linked to the online publication of these FM reports.</w:t>
      </w:r>
    </w:p>
    <w:p w14:paraId="4FA7A5B2" w14:textId="77777777" w:rsidR="00E562B7" w:rsidRDefault="00B00100" w:rsidP="006C70A5">
      <w:pPr>
        <w:widowControl/>
        <w:numPr>
          <w:ilvl w:val="0"/>
          <w:numId w:val="25"/>
        </w:numPr>
        <w:autoSpaceDE/>
        <w:autoSpaceDN/>
        <w:adjustRightInd/>
        <w:spacing w:after="120"/>
        <w:ind w:right="720"/>
        <w:jc w:val="both"/>
        <w:rPr>
          <w:rFonts w:ascii="Calibri" w:eastAsia="Calibri" w:hAnsi="Calibri" w:cs="Calibri"/>
          <w:spacing w:val="-1"/>
          <w:sz w:val="22"/>
          <w:szCs w:val="22"/>
        </w:rPr>
      </w:pPr>
      <w:r>
        <w:rPr>
          <w:rFonts w:ascii="Calibri" w:eastAsia="Calibri" w:hAnsi="Calibri" w:cs="Calibri"/>
          <w:spacing w:val="-1"/>
          <w:sz w:val="22"/>
          <w:szCs w:val="22"/>
        </w:rPr>
        <w:t xml:space="preserve">Working with the Universities oversight institutions such as Audit Committee, and Governing Boards, put in place where appropriate an independent mechanism which will allow the reporting </w:t>
      </w:r>
      <w:r>
        <w:rPr>
          <w:rFonts w:ascii="Calibri" w:eastAsia="Calibri" w:hAnsi="Calibri" w:cs="Calibri"/>
          <w:spacing w:val="-1"/>
          <w:sz w:val="22"/>
          <w:szCs w:val="22"/>
        </w:rPr>
        <w:lastRenderedPageBreak/>
        <w:t>of issues related to suspected malfeasances, fraud, corruption, misprocur</w:t>
      </w:r>
      <w:r w:rsidR="00AD1D43">
        <w:rPr>
          <w:rFonts w:ascii="Calibri" w:eastAsia="Calibri" w:hAnsi="Calibri" w:cs="Calibri"/>
          <w:spacing w:val="-1"/>
          <w:sz w:val="22"/>
          <w:szCs w:val="22"/>
        </w:rPr>
        <w:t>e</w:t>
      </w:r>
      <w:r>
        <w:rPr>
          <w:rFonts w:ascii="Calibri" w:eastAsia="Calibri" w:hAnsi="Calibri" w:cs="Calibri"/>
          <w:spacing w:val="-1"/>
          <w:sz w:val="22"/>
          <w:szCs w:val="22"/>
        </w:rPr>
        <w:t xml:space="preserve">ment and other acts which pose a risk to the use of project funds for the intended purposes. </w:t>
      </w:r>
    </w:p>
    <w:p w14:paraId="6D8C89DC" w14:textId="321A2E46" w:rsidR="00D936A3" w:rsidRDefault="00D936A3" w:rsidP="006C70A5">
      <w:pPr>
        <w:spacing w:after="240"/>
        <w:ind w:left="360"/>
        <w:contextualSpacing/>
        <w:jc w:val="both"/>
        <w:rPr>
          <w:rFonts w:ascii="Calibri" w:eastAsia="Times New Roman" w:hAnsi="Calibri" w:cs="Calibri"/>
          <w:b/>
          <w:i/>
          <w:color w:val="0070C0"/>
          <w:sz w:val="22"/>
          <w:szCs w:val="22"/>
          <w:lang w:eastAsia="ko-KR"/>
        </w:rPr>
      </w:pPr>
    </w:p>
    <w:p w14:paraId="316E02C8" w14:textId="77777777" w:rsidR="00E30220" w:rsidRDefault="00E30220" w:rsidP="006C70A5">
      <w:pPr>
        <w:spacing w:after="240"/>
        <w:ind w:left="360"/>
        <w:contextualSpacing/>
        <w:jc w:val="both"/>
        <w:rPr>
          <w:rFonts w:ascii="Calibri" w:eastAsia="Times New Roman" w:hAnsi="Calibri" w:cs="Calibri"/>
          <w:b/>
          <w:i/>
          <w:color w:val="0070C0"/>
          <w:sz w:val="22"/>
          <w:szCs w:val="22"/>
          <w:lang w:eastAsia="ko-KR"/>
        </w:rPr>
      </w:pPr>
    </w:p>
    <w:p w14:paraId="4391A1DA" w14:textId="77777777" w:rsidR="003E66A9" w:rsidRPr="002E1A3F" w:rsidRDefault="00B00100" w:rsidP="006C70A5">
      <w:pPr>
        <w:spacing w:after="240"/>
        <w:ind w:left="360"/>
        <w:contextualSpacing/>
        <w:jc w:val="both"/>
        <w:rPr>
          <w:rFonts w:ascii="Batang" w:eastAsia="Batang" w:hAnsi="Batang" w:cs="Batang"/>
          <w:b/>
          <w:color w:val="auto"/>
          <w:sz w:val="22"/>
          <w:szCs w:val="22"/>
          <w:lang w:eastAsia="ko-KR"/>
        </w:rPr>
      </w:pPr>
      <w:r w:rsidRPr="002E1A3F">
        <w:rPr>
          <w:rFonts w:ascii="Calibri" w:eastAsia="Times New Roman" w:hAnsi="Calibri" w:cs="Calibri"/>
          <w:b/>
          <w:i/>
          <w:color w:val="0070C0"/>
          <w:sz w:val="22"/>
          <w:szCs w:val="22"/>
          <w:lang w:eastAsia="ko-KR"/>
        </w:rPr>
        <w:t>Disbursement Arrangements</w:t>
      </w:r>
      <w:r>
        <w:rPr>
          <w:rFonts w:ascii="Calibri" w:eastAsia="Times New Roman" w:hAnsi="Calibri" w:cs="Calibri"/>
          <w:b/>
          <w:i/>
          <w:color w:val="0070C0"/>
          <w:sz w:val="22"/>
          <w:szCs w:val="22"/>
          <w:lang w:eastAsia="ko-KR"/>
        </w:rPr>
        <w:t xml:space="preserve"> and use of funds</w:t>
      </w:r>
    </w:p>
    <w:p w14:paraId="44FAF572" w14:textId="77777777" w:rsidR="003E66A9" w:rsidRDefault="003E66A9" w:rsidP="006C70A5">
      <w:pPr>
        <w:keepNext/>
        <w:ind w:left="360"/>
        <w:jc w:val="both"/>
        <w:rPr>
          <w:rFonts w:asciiTheme="minorHAnsi" w:eastAsia="Arial Unicode MS" w:hAnsiTheme="minorHAnsi" w:cstheme="minorHAnsi"/>
          <w:b/>
          <w:bCs/>
          <w:iCs/>
          <w:sz w:val="22"/>
          <w:szCs w:val="22"/>
          <w:bdr w:val="none" w:sz="0" w:space="0" w:color="auto" w:frame="1"/>
        </w:rPr>
      </w:pPr>
    </w:p>
    <w:p w14:paraId="6AA6FAAA" w14:textId="77777777" w:rsidR="003E66A9" w:rsidRPr="00CE31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CE3132">
        <w:rPr>
          <w:rFonts w:asciiTheme="minorHAnsi" w:hAnsiTheme="minorHAnsi" w:cstheme="minorHAnsi"/>
          <w:bCs/>
          <w:sz w:val="22"/>
          <w:szCs w:val="22"/>
        </w:rPr>
        <w:t xml:space="preserve">Proceeds of the financing will follow the standard </w:t>
      </w:r>
      <w:r w:rsidR="00C00B64">
        <w:rPr>
          <w:rFonts w:asciiTheme="minorHAnsi" w:eastAsiaTheme="minorHAnsi" w:hAnsiTheme="minorHAnsi" w:cstheme="minorHAnsi"/>
          <w:color w:val="auto"/>
          <w:sz w:val="22"/>
          <w:szCs w:val="22"/>
        </w:rPr>
        <w:t>World</w:t>
      </w:r>
      <w:r w:rsidR="00C00B64" w:rsidRPr="00CE3132">
        <w:rPr>
          <w:rFonts w:asciiTheme="minorHAnsi" w:hAnsiTheme="minorHAnsi" w:cstheme="minorHAnsi"/>
          <w:bCs/>
          <w:sz w:val="22"/>
          <w:szCs w:val="22"/>
        </w:rPr>
        <w:t xml:space="preserve"> </w:t>
      </w:r>
      <w:r w:rsidRPr="00CE3132">
        <w:rPr>
          <w:rFonts w:asciiTheme="minorHAnsi" w:hAnsiTheme="minorHAnsi" w:cstheme="minorHAnsi"/>
          <w:bCs/>
          <w:sz w:val="22"/>
          <w:szCs w:val="22"/>
        </w:rPr>
        <w:t xml:space="preserve">Bank procedures for </w:t>
      </w:r>
      <w:r w:rsidR="00C00B64">
        <w:rPr>
          <w:rFonts w:asciiTheme="minorHAnsi" w:hAnsiTheme="minorHAnsi" w:cstheme="minorHAnsi"/>
          <w:bCs/>
          <w:sz w:val="22"/>
          <w:szCs w:val="22"/>
        </w:rPr>
        <w:t>IPF</w:t>
      </w:r>
      <w:r w:rsidRPr="00CE3132">
        <w:rPr>
          <w:rFonts w:asciiTheme="minorHAnsi" w:hAnsiTheme="minorHAnsi" w:cstheme="minorHAnsi"/>
          <w:bCs/>
          <w:sz w:val="22"/>
          <w:szCs w:val="22"/>
        </w:rPr>
        <w:t xml:space="preserve">, for use by the </w:t>
      </w:r>
      <w:r w:rsidR="002C321F">
        <w:rPr>
          <w:rFonts w:asciiTheme="minorHAnsi" w:hAnsiTheme="minorHAnsi" w:cstheme="minorHAnsi"/>
          <w:bCs/>
          <w:sz w:val="22"/>
          <w:szCs w:val="22"/>
        </w:rPr>
        <w:t>Recipient</w:t>
      </w:r>
      <w:r w:rsidRPr="00CE3132">
        <w:rPr>
          <w:rFonts w:asciiTheme="minorHAnsi" w:hAnsiTheme="minorHAnsi" w:cstheme="minorHAnsi"/>
          <w:bCs/>
          <w:sz w:val="22"/>
          <w:szCs w:val="22"/>
        </w:rPr>
        <w:t xml:space="preserve"> for eligible expenditures as defined in the </w:t>
      </w:r>
      <w:r w:rsidR="00864D46">
        <w:rPr>
          <w:rFonts w:asciiTheme="minorHAnsi" w:hAnsiTheme="minorHAnsi" w:cstheme="minorHAnsi"/>
          <w:bCs/>
          <w:sz w:val="22"/>
          <w:szCs w:val="22"/>
        </w:rPr>
        <w:t>FA</w:t>
      </w:r>
      <w:r w:rsidRPr="00CE3132">
        <w:rPr>
          <w:rFonts w:asciiTheme="minorHAnsi" w:hAnsiTheme="minorHAnsi" w:cstheme="minorHAnsi"/>
          <w:bCs/>
          <w:sz w:val="22"/>
          <w:szCs w:val="22"/>
        </w:rPr>
        <w:t xml:space="preserve">. The design features of the proposed project cater to the requirements of a </w:t>
      </w:r>
      <w:r w:rsidRPr="007A6F32">
        <w:rPr>
          <w:rFonts w:asciiTheme="minorHAnsi" w:hAnsiTheme="minorHAnsi" w:cstheme="minorHAnsi"/>
          <w:bCs/>
          <w:sz w:val="22"/>
          <w:szCs w:val="22"/>
        </w:rPr>
        <w:t>hybrid funding structure</w:t>
      </w:r>
      <w:r w:rsidRPr="00CE3132">
        <w:rPr>
          <w:rFonts w:asciiTheme="minorHAnsi" w:hAnsiTheme="minorHAnsi" w:cstheme="minorHAnsi"/>
          <w:bCs/>
          <w:sz w:val="22"/>
          <w:szCs w:val="22"/>
        </w:rPr>
        <w:t xml:space="preserve">, all within the </w:t>
      </w:r>
      <w:r w:rsidR="00C00B64">
        <w:rPr>
          <w:rFonts w:asciiTheme="minorHAnsi" w:hAnsiTheme="minorHAnsi" w:cstheme="minorHAnsi"/>
          <w:bCs/>
          <w:sz w:val="22"/>
          <w:szCs w:val="22"/>
        </w:rPr>
        <w:t>IPF</w:t>
      </w:r>
      <w:r w:rsidRPr="007A6F32">
        <w:rPr>
          <w:rFonts w:asciiTheme="minorHAnsi" w:hAnsiTheme="minorHAnsi" w:cstheme="minorHAnsi"/>
          <w:bCs/>
          <w:sz w:val="22"/>
          <w:szCs w:val="22"/>
        </w:rPr>
        <w:t xml:space="preserve"> instrument</w:t>
      </w:r>
      <w:r w:rsidRPr="00CE3132">
        <w:rPr>
          <w:rFonts w:asciiTheme="minorHAnsi" w:hAnsiTheme="minorHAnsi" w:cstheme="minorHAnsi"/>
          <w:bCs/>
          <w:sz w:val="22"/>
          <w:szCs w:val="22"/>
        </w:rPr>
        <w:t xml:space="preserve"> of the World Bank. This basically involves a results-based (DLI/DLR) financing approach for project financing across </w:t>
      </w:r>
      <w:r w:rsidR="00074E2A">
        <w:rPr>
          <w:rFonts w:asciiTheme="minorHAnsi" w:hAnsiTheme="minorHAnsi" w:cstheme="minorHAnsi"/>
          <w:bCs/>
          <w:sz w:val="22"/>
          <w:szCs w:val="22"/>
        </w:rPr>
        <w:t>C</w:t>
      </w:r>
      <w:r w:rsidRPr="00CE3132">
        <w:rPr>
          <w:rFonts w:asciiTheme="minorHAnsi" w:hAnsiTheme="minorHAnsi" w:cstheme="minorHAnsi"/>
          <w:bCs/>
          <w:sz w:val="22"/>
          <w:szCs w:val="22"/>
        </w:rPr>
        <w:t xml:space="preserve">omponents 1 and 2.1.  In addition, some funding will be provided to the coordinating agencies, that is, the </w:t>
      </w:r>
      <w:r w:rsidRPr="007A6F32">
        <w:rPr>
          <w:rFonts w:asciiTheme="minorHAnsi" w:hAnsiTheme="minorHAnsi" w:cstheme="minorHAnsi"/>
          <w:bCs/>
          <w:sz w:val="22"/>
          <w:szCs w:val="22"/>
        </w:rPr>
        <w:t>AAU</w:t>
      </w:r>
      <w:r>
        <w:rPr>
          <w:rFonts w:asciiTheme="minorHAnsi" w:hAnsiTheme="minorHAnsi" w:cstheme="minorHAnsi"/>
          <w:bCs/>
          <w:sz w:val="22"/>
          <w:szCs w:val="22"/>
        </w:rPr>
        <w:t xml:space="preserve">, </w:t>
      </w:r>
      <w:r w:rsidRPr="00CE3132">
        <w:rPr>
          <w:rFonts w:asciiTheme="minorHAnsi" w:hAnsiTheme="minorHAnsi" w:cstheme="minorHAnsi"/>
          <w:bCs/>
          <w:sz w:val="22"/>
          <w:szCs w:val="22"/>
        </w:rPr>
        <w:t xml:space="preserve">the </w:t>
      </w:r>
      <w:r w:rsidRPr="007A6F32">
        <w:rPr>
          <w:rFonts w:asciiTheme="minorHAnsi" w:hAnsiTheme="minorHAnsi" w:cstheme="minorHAnsi"/>
          <w:bCs/>
          <w:sz w:val="22"/>
          <w:szCs w:val="22"/>
        </w:rPr>
        <w:t>NUC</w:t>
      </w:r>
      <w:r w:rsidRPr="00CE3132">
        <w:rPr>
          <w:rFonts w:asciiTheme="minorHAnsi" w:hAnsiTheme="minorHAnsi" w:cstheme="minorHAnsi"/>
          <w:bCs/>
          <w:sz w:val="22"/>
          <w:szCs w:val="22"/>
        </w:rPr>
        <w:t xml:space="preserve"> and the </w:t>
      </w:r>
      <w:r>
        <w:rPr>
          <w:rFonts w:asciiTheme="minorHAnsi" w:hAnsiTheme="minorHAnsi" w:cstheme="minorHAnsi"/>
          <w:bCs/>
          <w:sz w:val="22"/>
          <w:szCs w:val="22"/>
        </w:rPr>
        <w:t>PCU-</w:t>
      </w:r>
      <w:r w:rsidRPr="007A6F32">
        <w:rPr>
          <w:rFonts w:asciiTheme="minorHAnsi" w:hAnsiTheme="minorHAnsi" w:cstheme="minorHAnsi"/>
          <w:bCs/>
          <w:sz w:val="22"/>
          <w:szCs w:val="22"/>
        </w:rPr>
        <w:t xml:space="preserve">Gambia </w:t>
      </w:r>
      <w:r w:rsidRPr="00CE3132">
        <w:rPr>
          <w:rFonts w:asciiTheme="minorHAnsi" w:hAnsiTheme="minorHAnsi" w:cstheme="minorHAnsi"/>
          <w:bCs/>
          <w:sz w:val="22"/>
          <w:szCs w:val="22"/>
        </w:rPr>
        <w:t xml:space="preserve">under </w:t>
      </w:r>
      <w:r w:rsidR="00074E2A">
        <w:rPr>
          <w:rFonts w:asciiTheme="minorHAnsi" w:hAnsiTheme="minorHAnsi" w:cstheme="minorHAnsi"/>
          <w:bCs/>
          <w:sz w:val="22"/>
          <w:szCs w:val="22"/>
        </w:rPr>
        <w:t>C</w:t>
      </w:r>
      <w:r w:rsidRPr="00CE3132">
        <w:rPr>
          <w:rFonts w:asciiTheme="minorHAnsi" w:hAnsiTheme="minorHAnsi" w:cstheme="minorHAnsi"/>
          <w:bCs/>
          <w:sz w:val="22"/>
          <w:szCs w:val="22"/>
        </w:rPr>
        <w:t>omponent 3, based on the traditional investment financing approach to support their activities.</w:t>
      </w:r>
    </w:p>
    <w:p w14:paraId="22EB4D50" w14:textId="77777777" w:rsidR="003E66A9" w:rsidRPr="00CE31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CE3132">
        <w:rPr>
          <w:rFonts w:asciiTheme="minorHAnsi" w:hAnsiTheme="minorHAnsi" w:cstheme="minorHAnsi"/>
          <w:bCs/>
          <w:sz w:val="22"/>
          <w:szCs w:val="22"/>
        </w:rPr>
        <w:t>The proposed operation will allocate to the respective countries and their selected implementing centers in the form of IDA credits and grants (</w:t>
      </w:r>
      <w:r w:rsidRPr="007A6F32">
        <w:rPr>
          <w:rFonts w:asciiTheme="minorHAnsi" w:hAnsiTheme="minorHAnsi" w:cstheme="minorHAnsi"/>
          <w:bCs/>
          <w:sz w:val="22"/>
          <w:szCs w:val="22"/>
        </w:rPr>
        <w:t>see Table 4 in the main text for the terms of the IDA funding by country</w:t>
      </w:r>
      <w:r w:rsidRPr="00CE3132">
        <w:rPr>
          <w:rFonts w:asciiTheme="minorHAnsi" w:hAnsiTheme="minorHAnsi" w:cstheme="minorHAnsi"/>
          <w:bCs/>
          <w:sz w:val="22"/>
          <w:szCs w:val="22"/>
        </w:rPr>
        <w:t xml:space="preserve">). Proceeds of the financing will be used by the centers for payments of eligible expenditures as defined in the </w:t>
      </w:r>
      <w:r w:rsidR="00864D46">
        <w:rPr>
          <w:rFonts w:asciiTheme="minorHAnsi" w:hAnsiTheme="minorHAnsi" w:cstheme="minorHAnsi"/>
          <w:bCs/>
          <w:sz w:val="22"/>
          <w:szCs w:val="22"/>
        </w:rPr>
        <w:t>FA</w:t>
      </w:r>
      <w:r w:rsidRPr="00CE3132">
        <w:rPr>
          <w:rFonts w:asciiTheme="minorHAnsi" w:hAnsiTheme="minorHAnsi" w:cstheme="minorHAnsi"/>
          <w:bCs/>
          <w:sz w:val="22"/>
          <w:szCs w:val="22"/>
        </w:rPr>
        <w:t xml:space="preserve"> and further detailed in their respective Annual Work Plans &amp; Budgets and Procurement Plans. Disbursement arrangements have been designed in consultation with the respective </w:t>
      </w:r>
      <w:r w:rsidR="002C321F">
        <w:rPr>
          <w:rFonts w:asciiTheme="minorHAnsi" w:hAnsiTheme="minorHAnsi" w:cstheme="minorHAnsi"/>
          <w:bCs/>
          <w:sz w:val="22"/>
          <w:szCs w:val="22"/>
        </w:rPr>
        <w:t>Recipient</w:t>
      </w:r>
      <w:r w:rsidRPr="00CE3132">
        <w:rPr>
          <w:rFonts w:asciiTheme="minorHAnsi" w:hAnsiTheme="minorHAnsi" w:cstheme="minorHAnsi"/>
          <w:bCs/>
          <w:sz w:val="22"/>
          <w:szCs w:val="22"/>
        </w:rPr>
        <w:t>s after considering the assessments of the Implementing Agencies’ FM capacities and anticipated cash flow needs of the operation. It must be noted that for the RBF Components using DLI/DLR there will be no advances into any Designated Accounts</w:t>
      </w:r>
      <w:r w:rsidR="001578C3">
        <w:rPr>
          <w:rFonts w:asciiTheme="minorHAnsi" w:hAnsiTheme="minorHAnsi" w:cstheme="minorHAnsi"/>
          <w:bCs/>
          <w:sz w:val="22"/>
          <w:szCs w:val="22"/>
        </w:rPr>
        <w:t xml:space="preserve"> (DA)</w:t>
      </w:r>
      <w:r w:rsidRPr="00CE3132">
        <w:rPr>
          <w:rFonts w:asciiTheme="minorHAnsi" w:hAnsiTheme="minorHAnsi" w:cstheme="minorHAnsi"/>
          <w:bCs/>
          <w:sz w:val="22"/>
          <w:szCs w:val="22"/>
        </w:rPr>
        <w:t xml:space="preserve">. Centers will only receive funding on satisfactory achievement of results as verified by the RFU. In view of this, the Centers are not required to open </w:t>
      </w:r>
      <w:r w:rsidR="001578C3">
        <w:rPr>
          <w:rFonts w:asciiTheme="minorHAnsi" w:hAnsiTheme="minorHAnsi" w:cstheme="minorHAnsi"/>
          <w:bCs/>
          <w:sz w:val="22"/>
          <w:szCs w:val="22"/>
        </w:rPr>
        <w:t>DA</w:t>
      </w:r>
      <w:r w:rsidRPr="00CE3132">
        <w:rPr>
          <w:rFonts w:asciiTheme="minorHAnsi" w:hAnsiTheme="minorHAnsi" w:cstheme="minorHAnsi"/>
          <w:bCs/>
          <w:sz w:val="22"/>
          <w:szCs w:val="22"/>
        </w:rPr>
        <w:t xml:space="preserve">s to support implementation. </w:t>
      </w:r>
    </w:p>
    <w:p w14:paraId="3801ABB6" w14:textId="77777777" w:rsidR="003E66A9"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Pr>
          <w:rFonts w:asciiTheme="minorHAnsi" w:hAnsiTheme="minorHAnsi" w:cstheme="minorHAnsi"/>
          <w:b/>
          <w:i/>
          <w:color w:val="auto"/>
          <w:sz w:val="22"/>
          <w:szCs w:val="22"/>
        </w:rPr>
        <w:t xml:space="preserve">In </w:t>
      </w:r>
      <w:r w:rsidRPr="007A6F32">
        <w:rPr>
          <w:rFonts w:asciiTheme="minorHAnsi" w:hAnsiTheme="minorHAnsi" w:cstheme="minorHAnsi"/>
          <w:b/>
          <w:i/>
          <w:color w:val="auto"/>
          <w:sz w:val="22"/>
          <w:szCs w:val="22"/>
        </w:rPr>
        <w:t>Benin:</w:t>
      </w:r>
      <w:r>
        <w:rPr>
          <w:rFonts w:asciiTheme="minorHAnsi" w:hAnsiTheme="minorHAnsi" w:cstheme="minorHAnsi"/>
          <w:b/>
          <w:i/>
          <w:color w:val="auto"/>
          <w:sz w:val="22"/>
          <w:szCs w:val="22"/>
        </w:rPr>
        <w:t xml:space="preserve"> </w:t>
      </w:r>
      <w:r w:rsidR="00DE4A61">
        <w:rPr>
          <w:rFonts w:asciiTheme="minorHAnsi" w:hAnsiTheme="minorHAnsi" w:cstheme="minorHAnsi"/>
          <w:sz w:val="22"/>
          <w:szCs w:val="22"/>
        </w:rPr>
        <w:t>CEA-</w:t>
      </w:r>
      <w:r w:rsidR="00990694">
        <w:rPr>
          <w:rFonts w:asciiTheme="minorHAnsi" w:hAnsiTheme="minorHAnsi" w:cstheme="minorHAnsi"/>
          <w:sz w:val="22"/>
          <w:szCs w:val="22"/>
        </w:rPr>
        <w:t>SMIA,</w:t>
      </w:r>
      <w:r w:rsidR="00990694" w:rsidRPr="00674219">
        <w:rPr>
          <w:rFonts w:asciiTheme="minorHAnsi" w:hAnsiTheme="minorHAnsi" w:cstheme="minorHAnsi"/>
          <w:sz w:val="22"/>
          <w:szCs w:val="22"/>
        </w:rPr>
        <w:t xml:space="preserve"> C</w:t>
      </w:r>
      <w:r w:rsidRPr="00674219">
        <w:rPr>
          <w:rFonts w:asciiTheme="minorHAnsi" w:hAnsiTheme="minorHAnsi" w:cstheme="minorHAnsi"/>
          <w:sz w:val="22"/>
          <w:szCs w:val="22"/>
        </w:rPr>
        <w:t xml:space="preserve">2EA </w:t>
      </w:r>
      <w:r w:rsidR="00A76BF3">
        <w:rPr>
          <w:rFonts w:asciiTheme="minorHAnsi" w:hAnsiTheme="minorHAnsi" w:cstheme="minorHAnsi"/>
          <w:sz w:val="22"/>
          <w:szCs w:val="22"/>
        </w:rPr>
        <w:t xml:space="preserve">and CoE-EIE </w:t>
      </w:r>
      <w:r w:rsidRPr="00674219">
        <w:rPr>
          <w:rFonts w:asciiTheme="minorHAnsi" w:hAnsiTheme="minorHAnsi" w:cstheme="minorHAnsi"/>
          <w:sz w:val="22"/>
          <w:szCs w:val="22"/>
        </w:rPr>
        <w:t xml:space="preserve">will each open a </w:t>
      </w:r>
      <w:r w:rsidRPr="00674219">
        <w:rPr>
          <w:rFonts w:asciiTheme="minorHAnsi" w:hAnsiTheme="minorHAnsi" w:cstheme="minorHAnsi"/>
          <w:b/>
          <w:sz w:val="22"/>
          <w:szCs w:val="22"/>
        </w:rPr>
        <w:t>Reimbursement Account</w:t>
      </w:r>
      <w:r w:rsidRPr="00674219">
        <w:rPr>
          <w:rFonts w:asciiTheme="minorHAnsi" w:hAnsiTheme="minorHAnsi" w:cstheme="minorHAnsi"/>
          <w:sz w:val="22"/>
          <w:szCs w:val="22"/>
        </w:rPr>
        <w:t xml:space="preserve">  at the Central Bank of West African States (</w:t>
      </w:r>
      <w:r w:rsidRPr="00DA01D5">
        <w:rPr>
          <w:rFonts w:asciiTheme="minorHAnsi" w:hAnsiTheme="minorHAnsi" w:cstheme="minorHAnsi"/>
          <w:i/>
          <w:sz w:val="22"/>
          <w:szCs w:val="22"/>
        </w:rPr>
        <w:t>Banque Centrale des Etats de l’Afrique de l’Ouest</w:t>
      </w:r>
      <w:r w:rsidR="00074E2A">
        <w:rPr>
          <w:rFonts w:asciiTheme="minorHAnsi" w:hAnsiTheme="minorHAnsi" w:cstheme="minorHAnsi"/>
          <w:sz w:val="22"/>
          <w:szCs w:val="22"/>
        </w:rPr>
        <w:t>,</w:t>
      </w:r>
      <w:r w:rsidRPr="00674219">
        <w:rPr>
          <w:rFonts w:asciiTheme="minorHAnsi" w:hAnsiTheme="minorHAnsi" w:cstheme="minorHAnsi"/>
          <w:sz w:val="22"/>
          <w:szCs w:val="22"/>
        </w:rPr>
        <w:t xml:space="preserve"> BCEAO) to receive funds from the World </w:t>
      </w:r>
      <w:r w:rsidR="00E46995" w:rsidRPr="00674219">
        <w:rPr>
          <w:rFonts w:asciiTheme="minorHAnsi" w:hAnsiTheme="minorHAnsi" w:cstheme="minorHAnsi"/>
          <w:sz w:val="22"/>
          <w:szCs w:val="22"/>
        </w:rPr>
        <w:t>Bank.</w:t>
      </w:r>
      <w:r w:rsidR="00E46995">
        <w:rPr>
          <w:rFonts w:asciiTheme="minorHAnsi" w:hAnsiTheme="minorHAnsi" w:cstheme="minorHAnsi"/>
          <w:sz w:val="22"/>
          <w:szCs w:val="22"/>
        </w:rPr>
        <w:t xml:space="preserve"> </w:t>
      </w:r>
      <w:r w:rsidR="00E46995" w:rsidRPr="007A6F32">
        <w:rPr>
          <w:rFonts w:asciiTheme="minorHAnsi" w:hAnsiTheme="minorHAnsi" w:cstheme="minorHAnsi"/>
          <w:sz w:val="22"/>
          <w:szCs w:val="22"/>
        </w:rPr>
        <w:t>The</w:t>
      </w:r>
      <w:r w:rsidRPr="00674219">
        <w:rPr>
          <w:rFonts w:asciiTheme="minorHAnsi" w:hAnsiTheme="minorHAnsi" w:cstheme="minorHAnsi"/>
          <w:sz w:val="22"/>
          <w:szCs w:val="22"/>
        </w:rPr>
        <w:t xml:space="preserve"> funds will be released to an Operational Account to be opened in a reputable commercial bank. All the R</w:t>
      </w:r>
      <w:r w:rsidR="00074E2A">
        <w:rPr>
          <w:rFonts w:asciiTheme="minorHAnsi" w:hAnsiTheme="minorHAnsi" w:cstheme="minorHAnsi"/>
          <w:sz w:val="22"/>
          <w:szCs w:val="22"/>
        </w:rPr>
        <w:t xml:space="preserve">eimbursement </w:t>
      </w:r>
      <w:r w:rsidRPr="00674219">
        <w:rPr>
          <w:rFonts w:asciiTheme="minorHAnsi" w:hAnsiTheme="minorHAnsi" w:cstheme="minorHAnsi"/>
          <w:sz w:val="22"/>
          <w:szCs w:val="22"/>
        </w:rPr>
        <w:t>A</w:t>
      </w:r>
      <w:r w:rsidR="00074E2A">
        <w:rPr>
          <w:rFonts w:asciiTheme="minorHAnsi" w:hAnsiTheme="minorHAnsi" w:cstheme="minorHAnsi"/>
          <w:sz w:val="22"/>
          <w:szCs w:val="22"/>
        </w:rPr>
        <w:t>ccount</w:t>
      </w:r>
      <w:r w:rsidRPr="00674219">
        <w:rPr>
          <w:rFonts w:asciiTheme="minorHAnsi" w:hAnsiTheme="minorHAnsi" w:cstheme="minorHAnsi"/>
          <w:sz w:val="22"/>
          <w:szCs w:val="22"/>
        </w:rPr>
        <w:t xml:space="preserve">s will be denominated in CFAF. </w:t>
      </w:r>
    </w:p>
    <w:p w14:paraId="3325410E" w14:textId="77777777" w:rsidR="003E66A9" w:rsidRPr="00C5340B"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Pr>
          <w:rFonts w:asciiTheme="minorHAnsi" w:hAnsiTheme="minorHAnsi" w:cstheme="minorHAnsi"/>
          <w:b/>
          <w:i/>
          <w:color w:val="auto"/>
          <w:sz w:val="22"/>
          <w:szCs w:val="22"/>
        </w:rPr>
        <w:t xml:space="preserve">In </w:t>
      </w:r>
      <w:r w:rsidRPr="007A6F32">
        <w:rPr>
          <w:rFonts w:asciiTheme="minorHAnsi" w:hAnsiTheme="minorHAnsi" w:cstheme="minorHAnsi"/>
          <w:b/>
          <w:i/>
          <w:color w:val="auto"/>
          <w:sz w:val="22"/>
          <w:szCs w:val="22"/>
        </w:rPr>
        <w:t xml:space="preserve">Gambia: </w:t>
      </w:r>
      <w:r w:rsidRPr="007A6F32">
        <w:rPr>
          <w:rFonts w:asciiTheme="minorHAnsi" w:hAnsiTheme="minorHAnsi" w:cstheme="minorHAnsi"/>
          <w:bCs/>
          <w:color w:val="auto"/>
          <w:sz w:val="22"/>
          <w:szCs w:val="22"/>
        </w:rPr>
        <w:t xml:space="preserve">The </w:t>
      </w:r>
      <w:r w:rsidRPr="006A2612">
        <w:rPr>
          <w:rFonts w:asciiTheme="minorHAnsi" w:hAnsiTheme="minorHAnsi" w:cstheme="minorHAnsi"/>
          <w:bCs/>
          <w:sz w:val="22"/>
          <w:szCs w:val="22"/>
        </w:rPr>
        <w:t>PC</w:t>
      </w:r>
      <w:r w:rsidRPr="00C5340B">
        <w:rPr>
          <w:rFonts w:asciiTheme="minorHAnsi" w:hAnsiTheme="minorHAnsi" w:cstheme="minorHAnsi"/>
          <w:bCs/>
          <w:sz w:val="22"/>
          <w:szCs w:val="22"/>
        </w:rPr>
        <w:t xml:space="preserve">U-Gambia on behalf of the GTTI, will open and maintain a US dollar Reimbursement Account into which proceeds of the credit shall be paid once the center achieves the respective DLRs as per their </w:t>
      </w:r>
      <w:r w:rsidR="00864D46">
        <w:rPr>
          <w:rFonts w:asciiTheme="minorHAnsi" w:hAnsiTheme="minorHAnsi" w:cstheme="minorHAnsi"/>
          <w:bCs/>
          <w:sz w:val="22"/>
          <w:szCs w:val="22"/>
        </w:rPr>
        <w:t>FA</w:t>
      </w:r>
      <w:r w:rsidRPr="00C5340B">
        <w:rPr>
          <w:rFonts w:asciiTheme="minorHAnsi" w:hAnsiTheme="minorHAnsi" w:cstheme="minorHAnsi"/>
          <w:bCs/>
          <w:sz w:val="22"/>
          <w:szCs w:val="22"/>
        </w:rPr>
        <w:t>. These earned funds, will subsequently be transferred to the GTTI for use by the center.</w:t>
      </w:r>
    </w:p>
    <w:p w14:paraId="373D8B0E" w14:textId="77777777" w:rsidR="003E66A9"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Pr>
          <w:rFonts w:asciiTheme="minorHAnsi" w:hAnsiTheme="minorHAnsi" w:cstheme="minorHAnsi"/>
          <w:b/>
          <w:i/>
          <w:color w:val="auto"/>
          <w:sz w:val="22"/>
          <w:szCs w:val="22"/>
        </w:rPr>
        <w:t xml:space="preserve">In </w:t>
      </w:r>
      <w:r w:rsidRPr="007A6F32">
        <w:rPr>
          <w:rFonts w:asciiTheme="minorHAnsi" w:hAnsiTheme="minorHAnsi" w:cstheme="minorHAnsi"/>
          <w:b/>
          <w:i/>
          <w:color w:val="auto"/>
          <w:sz w:val="22"/>
          <w:szCs w:val="22"/>
        </w:rPr>
        <w:t>Nige</w:t>
      </w:r>
      <w:r w:rsidRPr="00074E2A">
        <w:rPr>
          <w:rFonts w:asciiTheme="minorHAnsi" w:hAnsiTheme="minorHAnsi" w:cstheme="minorHAnsi"/>
          <w:b/>
          <w:i/>
          <w:color w:val="auto"/>
          <w:sz w:val="22"/>
          <w:szCs w:val="22"/>
        </w:rPr>
        <w:t>r</w:t>
      </w:r>
      <w:r w:rsidRPr="00DA01D5">
        <w:rPr>
          <w:rFonts w:asciiTheme="minorHAnsi" w:hAnsiTheme="minorHAnsi" w:cstheme="minorHAnsi"/>
          <w:b/>
          <w:color w:val="auto"/>
          <w:sz w:val="22"/>
          <w:szCs w:val="22"/>
        </w:rPr>
        <w:t xml:space="preserve">: </w:t>
      </w:r>
      <w:r w:rsidRPr="00B84505">
        <w:rPr>
          <w:rFonts w:asciiTheme="minorHAnsi" w:hAnsiTheme="minorHAnsi" w:cstheme="minorHAnsi"/>
          <w:bCs/>
          <w:sz w:val="22"/>
          <w:szCs w:val="22"/>
        </w:rPr>
        <w:t xml:space="preserve">The participating ACEs - CEA/CERPP, CEA/IEA-MS4SSA and CEA/Environnement minier, will be required to open separate </w:t>
      </w:r>
      <w:r w:rsidRPr="00B84505">
        <w:rPr>
          <w:rFonts w:asciiTheme="minorHAnsi" w:hAnsiTheme="minorHAnsi" w:cstheme="minorHAnsi"/>
          <w:b/>
          <w:bCs/>
          <w:sz w:val="22"/>
          <w:szCs w:val="22"/>
        </w:rPr>
        <w:t>Reimbursement Account</w:t>
      </w:r>
      <w:r w:rsidRPr="00B84505">
        <w:rPr>
          <w:rFonts w:asciiTheme="minorHAnsi" w:hAnsiTheme="minorHAnsi" w:cstheme="minorHAnsi"/>
          <w:bCs/>
          <w:sz w:val="22"/>
          <w:szCs w:val="22"/>
        </w:rPr>
        <w:t xml:space="preserve"> to receive the proceeds of the funding once they meet the respective DLRs as per the </w:t>
      </w:r>
      <w:r w:rsidR="00864D46">
        <w:rPr>
          <w:rFonts w:asciiTheme="minorHAnsi" w:hAnsiTheme="minorHAnsi" w:cstheme="minorHAnsi"/>
          <w:bCs/>
          <w:sz w:val="22"/>
          <w:szCs w:val="22"/>
        </w:rPr>
        <w:t>FA</w:t>
      </w:r>
      <w:r w:rsidRPr="00B84505">
        <w:rPr>
          <w:rFonts w:asciiTheme="minorHAnsi" w:hAnsiTheme="minorHAnsi" w:cstheme="minorHAnsi"/>
          <w:bCs/>
          <w:sz w:val="22"/>
          <w:szCs w:val="22"/>
        </w:rPr>
        <w:t>.</w:t>
      </w:r>
    </w:p>
    <w:p w14:paraId="4F0C712D" w14:textId="77777777" w:rsidR="003E66A9"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7A6F32">
        <w:rPr>
          <w:rFonts w:ascii="Calibri" w:eastAsia="Batang" w:hAnsi="Calibri"/>
          <w:b/>
          <w:i/>
          <w:sz w:val="22"/>
          <w:szCs w:val="22"/>
          <w:lang w:eastAsia="ko-KR"/>
        </w:rPr>
        <w:t xml:space="preserve">In Nigeria: </w:t>
      </w:r>
      <w:r w:rsidRPr="00CD2066">
        <w:rPr>
          <w:rFonts w:ascii="Calibri" w:eastAsia="Batang" w:hAnsi="Calibri"/>
          <w:sz w:val="22"/>
          <w:szCs w:val="22"/>
          <w:lang w:eastAsia="ko-KR"/>
        </w:rPr>
        <w:t xml:space="preserve">The NUC shall be responsible for managing funds allocated to them under </w:t>
      </w:r>
      <w:r w:rsidR="00E63807">
        <w:rPr>
          <w:rFonts w:ascii="Calibri" w:eastAsia="Batang" w:hAnsi="Calibri"/>
          <w:sz w:val="22"/>
          <w:szCs w:val="22"/>
          <w:lang w:eastAsia="ko-KR"/>
        </w:rPr>
        <w:t>C</w:t>
      </w:r>
      <w:r w:rsidRPr="00CD2066">
        <w:rPr>
          <w:rFonts w:ascii="Calibri" w:eastAsia="Batang" w:hAnsi="Calibri"/>
          <w:sz w:val="22"/>
          <w:szCs w:val="22"/>
          <w:lang w:eastAsia="ko-KR"/>
        </w:rPr>
        <w:t>omponent 3 and in addition serve as the “fund management agency” for the participating ACEs in Nigeria.</w:t>
      </w:r>
      <w:r w:rsidRPr="00CD2066">
        <w:rPr>
          <w:rFonts w:ascii="Calibri" w:eastAsia="Batang" w:hAnsi="Calibri"/>
          <w:b/>
          <w:sz w:val="22"/>
          <w:szCs w:val="22"/>
          <w:lang w:eastAsia="ko-KR"/>
        </w:rPr>
        <w:t xml:space="preserve"> </w:t>
      </w:r>
      <w:r w:rsidRPr="00CD2066">
        <w:rPr>
          <w:rFonts w:asciiTheme="minorHAnsi" w:hAnsiTheme="minorHAnsi" w:cstheme="minorHAnsi"/>
          <w:bCs/>
          <w:sz w:val="22"/>
          <w:szCs w:val="22"/>
        </w:rPr>
        <w:t xml:space="preserve"> Disbursements </w:t>
      </w:r>
      <w:r w:rsidRPr="00CD2066">
        <w:rPr>
          <w:rFonts w:asciiTheme="minorHAnsi" w:hAnsiTheme="minorHAnsi" w:cstheme="minorHAnsi"/>
          <w:bCs/>
          <w:iCs/>
          <w:sz w:val="22"/>
          <w:szCs w:val="22"/>
        </w:rPr>
        <w:t xml:space="preserve">will continue with the traditional IPF disbursement mechanism and will be in line with the Disbursement Guidelines (dated February 2017). The NUC will continue to submit monthly withdrawal applications with supporting documentation using </w:t>
      </w:r>
      <w:r w:rsidRPr="00CD2066">
        <w:rPr>
          <w:rFonts w:asciiTheme="minorHAnsi" w:hAnsiTheme="minorHAnsi" w:cstheme="minorHAnsi"/>
          <w:b/>
          <w:bCs/>
          <w:iCs/>
          <w:sz w:val="22"/>
          <w:szCs w:val="22"/>
        </w:rPr>
        <w:t>report-based disbursements</w:t>
      </w:r>
      <w:r w:rsidRPr="00CD2066">
        <w:rPr>
          <w:rFonts w:asciiTheme="minorHAnsi" w:hAnsiTheme="minorHAnsi" w:cstheme="minorHAnsi"/>
          <w:bCs/>
          <w:iCs/>
          <w:sz w:val="22"/>
          <w:szCs w:val="22"/>
        </w:rPr>
        <w:t xml:space="preserve"> (IFRs) evidencing the use of advances for eligible project expenditures</w:t>
      </w:r>
      <w:r w:rsidRPr="00CD2066">
        <w:rPr>
          <w:rFonts w:asciiTheme="minorHAnsi" w:hAnsiTheme="minorHAnsi" w:cstheme="minorHAnsi"/>
          <w:bCs/>
          <w:i/>
          <w:iCs/>
          <w:sz w:val="22"/>
          <w:szCs w:val="22"/>
        </w:rPr>
        <w:t xml:space="preserve">. </w:t>
      </w:r>
      <w:r w:rsidRPr="00CD2066">
        <w:rPr>
          <w:rFonts w:asciiTheme="minorHAnsi" w:hAnsiTheme="minorHAnsi" w:cstheme="minorHAnsi"/>
          <w:bCs/>
          <w:sz w:val="22"/>
          <w:szCs w:val="22"/>
        </w:rPr>
        <w:t xml:space="preserve">The proposed arrangement is to have two types of bank account to support implementation i.e. (i)  </w:t>
      </w:r>
      <w:r w:rsidRPr="00CD2066">
        <w:rPr>
          <w:rFonts w:asciiTheme="minorHAnsi" w:hAnsiTheme="minorHAnsi" w:cstheme="minorHAnsi"/>
          <w:b/>
          <w:bCs/>
          <w:sz w:val="22"/>
          <w:szCs w:val="22"/>
        </w:rPr>
        <w:t>single US dollar DA</w:t>
      </w:r>
      <w:r w:rsidRPr="00CD2066">
        <w:rPr>
          <w:rFonts w:asciiTheme="minorHAnsi" w:hAnsiTheme="minorHAnsi" w:cstheme="minorHAnsi"/>
          <w:bCs/>
          <w:sz w:val="22"/>
          <w:szCs w:val="22"/>
        </w:rPr>
        <w:t xml:space="preserve"> account located at </w:t>
      </w:r>
      <w:r w:rsidRPr="00CD2066">
        <w:rPr>
          <w:rFonts w:asciiTheme="minorHAnsi" w:hAnsiTheme="minorHAnsi" w:cstheme="minorHAnsi"/>
          <w:bCs/>
          <w:sz w:val="22"/>
          <w:szCs w:val="22"/>
        </w:rPr>
        <w:lastRenderedPageBreak/>
        <w:t xml:space="preserve">the Central Bank of Nigeria (CBN) (denominated in US dollars) to be used exclusively by NUC for </w:t>
      </w:r>
      <w:r w:rsidR="00E63807">
        <w:rPr>
          <w:rFonts w:asciiTheme="minorHAnsi" w:hAnsiTheme="minorHAnsi" w:cstheme="minorHAnsi"/>
          <w:bCs/>
          <w:sz w:val="22"/>
          <w:szCs w:val="22"/>
        </w:rPr>
        <w:t>C</w:t>
      </w:r>
      <w:r w:rsidRPr="00CD2066">
        <w:rPr>
          <w:rFonts w:asciiTheme="minorHAnsi" w:hAnsiTheme="minorHAnsi" w:cstheme="minorHAnsi"/>
          <w:bCs/>
          <w:sz w:val="22"/>
          <w:szCs w:val="22"/>
        </w:rPr>
        <w:t>omponent 3 and (ii) In addition, to support the funds flow arrangements for the participating ACEs</w:t>
      </w:r>
      <w:r w:rsidR="002C0FCA">
        <w:rPr>
          <w:rFonts w:asciiTheme="minorHAnsi" w:hAnsiTheme="minorHAnsi" w:cstheme="minorHAnsi"/>
          <w:bCs/>
          <w:sz w:val="22"/>
          <w:szCs w:val="22"/>
        </w:rPr>
        <w:t>,</w:t>
      </w:r>
      <w:r w:rsidRPr="00CD2066">
        <w:rPr>
          <w:rFonts w:asciiTheme="minorHAnsi" w:hAnsiTheme="minorHAnsi" w:cstheme="minorHAnsi"/>
          <w:bCs/>
          <w:sz w:val="22"/>
          <w:szCs w:val="22"/>
        </w:rPr>
        <w:t xml:space="preserve"> NUC shall open and operate a separate </w:t>
      </w:r>
      <w:r w:rsidRPr="00CD2066">
        <w:rPr>
          <w:rFonts w:asciiTheme="minorHAnsi" w:hAnsiTheme="minorHAnsi" w:cstheme="minorHAnsi"/>
          <w:b/>
          <w:bCs/>
          <w:sz w:val="22"/>
          <w:szCs w:val="22"/>
        </w:rPr>
        <w:t xml:space="preserve">US dollar </w:t>
      </w:r>
      <w:r w:rsidRPr="00CD2066">
        <w:rPr>
          <w:rFonts w:asciiTheme="minorHAnsi" w:hAnsiTheme="minorHAnsi" w:cstheme="minorHAnsi"/>
          <w:bCs/>
          <w:sz w:val="22"/>
          <w:szCs w:val="22"/>
        </w:rPr>
        <w:t>“</w:t>
      </w:r>
      <w:r w:rsidRPr="00CD2066">
        <w:rPr>
          <w:rFonts w:asciiTheme="minorHAnsi" w:hAnsiTheme="minorHAnsi" w:cstheme="minorHAnsi"/>
          <w:b/>
          <w:bCs/>
          <w:sz w:val="22"/>
          <w:szCs w:val="22"/>
        </w:rPr>
        <w:t>Reimbursement Account</w:t>
      </w:r>
      <w:r w:rsidRPr="00CD2066">
        <w:rPr>
          <w:rFonts w:asciiTheme="minorHAnsi" w:hAnsiTheme="minorHAnsi" w:cstheme="minorHAnsi"/>
          <w:bCs/>
          <w:sz w:val="22"/>
          <w:szCs w:val="22"/>
        </w:rPr>
        <w:t>” on behalf of the</w:t>
      </w:r>
      <w:r>
        <w:rPr>
          <w:rFonts w:asciiTheme="minorHAnsi" w:hAnsiTheme="minorHAnsi" w:cstheme="minorHAnsi"/>
          <w:bCs/>
          <w:sz w:val="22"/>
          <w:szCs w:val="22"/>
        </w:rPr>
        <w:t xml:space="preserve"> </w:t>
      </w:r>
      <w:r w:rsidRPr="00373DB2">
        <w:rPr>
          <w:rFonts w:asciiTheme="minorHAnsi" w:hAnsiTheme="minorHAnsi" w:cstheme="minorHAnsi"/>
          <w:bCs/>
          <w:sz w:val="22"/>
          <w:szCs w:val="22"/>
        </w:rPr>
        <w:t>ACEs. A Naira Account will also be opened for NUC and for each ACE in the CBN to facilitate the implementation of the project. The ACEs may receive direct transfers from the US$ Reimbursement Account to pay for eligible project activities as identified in the approved Annual Work Plans. On receipt of the earned US dollar equivalent of the DLR in the Reimbursement account, the NUC will instruct the central bank to convert the funds to naira to enable them transfer relevant amounts to the specific ACEs that earned the DLR, allowing them to settle eligible project expenditures. (Additional instructions on modalities to be incorporated in the revised POM)</w:t>
      </w:r>
      <w:r>
        <w:rPr>
          <w:rFonts w:asciiTheme="minorHAnsi" w:hAnsiTheme="minorHAnsi" w:cstheme="minorHAnsi"/>
          <w:bCs/>
          <w:sz w:val="22"/>
          <w:szCs w:val="22"/>
        </w:rPr>
        <w:t>.</w:t>
      </w:r>
    </w:p>
    <w:p w14:paraId="2B5EA410" w14:textId="77777777" w:rsidR="003E66A9" w:rsidRPr="00A64001" w:rsidRDefault="00B00100" w:rsidP="006C70A5">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7A6F32">
        <w:rPr>
          <w:rFonts w:asciiTheme="minorHAnsi" w:hAnsiTheme="minorHAnsi" w:cstheme="minorHAnsi"/>
          <w:b/>
          <w:i/>
          <w:sz w:val="22"/>
          <w:szCs w:val="22"/>
        </w:rPr>
        <w:t>In Togo:</w:t>
      </w:r>
      <w:r>
        <w:rPr>
          <w:rFonts w:asciiTheme="minorHAnsi" w:hAnsiTheme="minorHAnsi" w:cstheme="minorHAnsi"/>
          <w:sz w:val="22"/>
          <w:szCs w:val="22"/>
        </w:rPr>
        <w:t xml:space="preserve"> </w:t>
      </w:r>
      <w:r w:rsidRPr="00A64001">
        <w:rPr>
          <w:rFonts w:asciiTheme="minorHAnsi" w:hAnsiTheme="minorHAnsi" w:cstheme="minorHAnsi"/>
          <w:sz w:val="22"/>
          <w:szCs w:val="22"/>
        </w:rPr>
        <w:t xml:space="preserve">Bank Accounts: Given that the ACEs i.e. CERSA, CERME, and the ACE-DOUNEDON will be implementing the DLI/DLR components only, they will each open a separate </w:t>
      </w:r>
      <w:r w:rsidRPr="00A64001">
        <w:rPr>
          <w:rFonts w:asciiTheme="minorHAnsi" w:hAnsiTheme="minorHAnsi" w:cstheme="minorHAnsi"/>
          <w:b/>
          <w:sz w:val="22"/>
          <w:szCs w:val="22"/>
        </w:rPr>
        <w:t>Reimbursement Account</w:t>
      </w:r>
      <w:r w:rsidRPr="00A64001">
        <w:rPr>
          <w:rFonts w:asciiTheme="minorHAnsi" w:hAnsiTheme="minorHAnsi" w:cstheme="minorHAnsi"/>
          <w:sz w:val="22"/>
          <w:szCs w:val="22"/>
        </w:rPr>
        <w:t xml:space="preserve"> in a reputable commercial bank acceptable to the World Bank, to receive funds from the World Bank under the project. All the Reimbursement Accounts will be denominated in CFAF. </w:t>
      </w:r>
    </w:p>
    <w:p w14:paraId="68C8D60C" w14:textId="77777777" w:rsidR="003E66A9" w:rsidRPr="007A6F32" w:rsidRDefault="00B00100" w:rsidP="006C70A5">
      <w:pPr>
        <w:keepNext/>
        <w:ind w:left="360"/>
        <w:jc w:val="both"/>
        <w:rPr>
          <w:rFonts w:asciiTheme="minorHAnsi" w:eastAsia="Arial Unicode MS" w:hAnsiTheme="minorHAnsi" w:cstheme="minorHAnsi"/>
          <w:b/>
          <w:bCs/>
          <w:iCs/>
          <w:sz w:val="22"/>
          <w:szCs w:val="22"/>
          <w:bdr w:val="none" w:sz="0" w:space="0" w:color="auto" w:frame="1"/>
        </w:rPr>
      </w:pPr>
      <w:r w:rsidRPr="007A6F32">
        <w:rPr>
          <w:rFonts w:asciiTheme="minorHAnsi" w:eastAsia="Arial Unicode MS" w:hAnsiTheme="minorHAnsi" w:cstheme="minorHAnsi"/>
          <w:b/>
          <w:bCs/>
          <w:iCs/>
          <w:sz w:val="22"/>
          <w:szCs w:val="22"/>
          <w:bdr w:val="none" w:sz="0" w:space="0" w:color="auto" w:frame="1"/>
        </w:rPr>
        <w:t xml:space="preserve">Modalities for Disbursements under RBF </w:t>
      </w:r>
      <w:r w:rsidR="00741F70">
        <w:rPr>
          <w:rFonts w:asciiTheme="minorHAnsi" w:eastAsia="Arial Unicode MS" w:hAnsiTheme="minorHAnsi" w:cstheme="minorHAnsi"/>
          <w:b/>
          <w:bCs/>
          <w:iCs/>
          <w:sz w:val="22"/>
          <w:szCs w:val="22"/>
          <w:bdr w:val="none" w:sz="0" w:space="0" w:color="auto" w:frame="1"/>
        </w:rPr>
        <w:t>C</w:t>
      </w:r>
      <w:r w:rsidRPr="007A6F32">
        <w:rPr>
          <w:rFonts w:asciiTheme="minorHAnsi" w:eastAsia="Arial Unicode MS" w:hAnsiTheme="minorHAnsi" w:cstheme="minorHAnsi"/>
          <w:b/>
          <w:bCs/>
          <w:iCs/>
          <w:sz w:val="22"/>
          <w:szCs w:val="22"/>
          <w:bdr w:val="none" w:sz="0" w:space="0" w:color="auto" w:frame="1"/>
        </w:rPr>
        <w:t xml:space="preserve">omponents – </w:t>
      </w:r>
      <w:r w:rsidR="00B67304">
        <w:rPr>
          <w:rFonts w:asciiTheme="minorHAnsi" w:eastAsia="Arial Unicode MS" w:hAnsiTheme="minorHAnsi" w:cstheme="minorHAnsi"/>
          <w:b/>
          <w:bCs/>
          <w:iCs/>
          <w:sz w:val="22"/>
          <w:szCs w:val="22"/>
          <w:bdr w:val="none" w:sz="0" w:space="0" w:color="auto" w:frame="1"/>
        </w:rPr>
        <w:t>C</w:t>
      </w:r>
      <w:r w:rsidRPr="007A6F32">
        <w:rPr>
          <w:rFonts w:asciiTheme="minorHAnsi" w:eastAsia="Arial Unicode MS" w:hAnsiTheme="minorHAnsi" w:cstheme="minorHAnsi"/>
          <w:b/>
          <w:bCs/>
          <w:iCs/>
          <w:sz w:val="22"/>
          <w:szCs w:val="22"/>
          <w:bdr w:val="none" w:sz="0" w:space="0" w:color="auto" w:frame="1"/>
        </w:rPr>
        <w:t xml:space="preserve">omponent 1 and </w:t>
      </w:r>
      <w:r>
        <w:rPr>
          <w:rFonts w:asciiTheme="minorHAnsi" w:eastAsia="Arial Unicode MS" w:hAnsiTheme="minorHAnsi" w:cstheme="minorHAnsi"/>
          <w:b/>
          <w:bCs/>
          <w:iCs/>
          <w:sz w:val="22"/>
          <w:szCs w:val="22"/>
          <w:bdr w:val="none" w:sz="0" w:space="0" w:color="auto" w:frame="1"/>
        </w:rPr>
        <w:t xml:space="preserve">Sub-component </w:t>
      </w:r>
      <w:r w:rsidRPr="007A6F32">
        <w:rPr>
          <w:rFonts w:asciiTheme="minorHAnsi" w:eastAsia="Arial Unicode MS" w:hAnsiTheme="minorHAnsi" w:cstheme="minorHAnsi"/>
          <w:b/>
          <w:bCs/>
          <w:iCs/>
          <w:sz w:val="22"/>
          <w:szCs w:val="22"/>
          <w:bdr w:val="none" w:sz="0" w:space="0" w:color="auto" w:frame="1"/>
        </w:rPr>
        <w:t>2</w:t>
      </w:r>
      <w:r>
        <w:rPr>
          <w:rFonts w:asciiTheme="minorHAnsi" w:eastAsia="Arial Unicode MS" w:hAnsiTheme="minorHAnsi" w:cstheme="minorHAnsi"/>
          <w:b/>
          <w:bCs/>
          <w:iCs/>
          <w:sz w:val="22"/>
          <w:szCs w:val="22"/>
          <w:bdr w:val="none" w:sz="0" w:space="0" w:color="auto" w:frame="1"/>
        </w:rPr>
        <w:t>.1</w:t>
      </w:r>
    </w:p>
    <w:p w14:paraId="7BC87B33" w14:textId="77777777" w:rsidR="003E66A9" w:rsidRPr="008C2632" w:rsidRDefault="003E66A9" w:rsidP="00952EDF">
      <w:pPr>
        <w:pStyle w:val="ListParagraph"/>
        <w:keepNext/>
        <w:ind w:left="360"/>
        <w:jc w:val="both"/>
        <w:rPr>
          <w:rFonts w:asciiTheme="minorHAnsi" w:eastAsia="Arial Unicode MS" w:hAnsiTheme="minorHAnsi" w:cstheme="minorHAnsi"/>
          <w:iCs/>
          <w:sz w:val="22"/>
          <w:szCs w:val="22"/>
          <w:bdr w:val="none" w:sz="0" w:space="0" w:color="auto" w:frame="1"/>
        </w:rPr>
      </w:pPr>
    </w:p>
    <w:p w14:paraId="552B427F" w14:textId="77777777" w:rsidR="003E66A9" w:rsidRPr="007A6F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color w:val="auto"/>
          <w:sz w:val="22"/>
          <w:szCs w:val="22"/>
        </w:rPr>
      </w:pPr>
      <w:r w:rsidRPr="007A6F32">
        <w:rPr>
          <w:rFonts w:asciiTheme="minorHAnsi" w:hAnsiTheme="minorHAnsi" w:cstheme="minorHAnsi"/>
          <w:b/>
          <w:i/>
          <w:color w:val="auto"/>
          <w:sz w:val="22"/>
          <w:szCs w:val="22"/>
        </w:rPr>
        <w:t>Results</w:t>
      </w:r>
      <w:r w:rsidRPr="007A6F32">
        <w:rPr>
          <w:rFonts w:asciiTheme="minorHAnsi" w:hAnsiTheme="minorHAnsi" w:cstheme="minorHAnsi"/>
          <w:b/>
          <w:bCs/>
          <w:color w:val="auto"/>
          <w:sz w:val="22"/>
          <w:szCs w:val="22"/>
        </w:rPr>
        <w:t xml:space="preserve"> Based Financing</w:t>
      </w:r>
      <w:r w:rsidR="00741F70">
        <w:rPr>
          <w:rFonts w:asciiTheme="minorHAnsi" w:hAnsiTheme="minorHAnsi" w:cstheme="minorHAnsi"/>
          <w:b/>
          <w:bCs/>
          <w:color w:val="auto"/>
          <w:sz w:val="22"/>
          <w:szCs w:val="22"/>
        </w:rPr>
        <w:t xml:space="preserve"> </w:t>
      </w:r>
      <w:r w:rsidRPr="007A6F32">
        <w:rPr>
          <w:rFonts w:asciiTheme="minorHAnsi" w:hAnsiTheme="minorHAnsi" w:cstheme="minorHAnsi"/>
          <w:bCs/>
          <w:color w:val="auto"/>
          <w:sz w:val="22"/>
          <w:szCs w:val="22"/>
        </w:rPr>
        <w:t xml:space="preserve">- The total resource allocation to be implemented under the Results Based Financing approach using DLIs and DLRs is estimated at US$146 million (IDA and AFD financing) across Component 1 and Sub-component 2.1 of the project. In line with </w:t>
      </w:r>
      <w:r w:rsidR="00C00B64">
        <w:rPr>
          <w:rFonts w:asciiTheme="minorHAnsi" w:eastAsiaTheme="minorHAnsi" w:hAnsiTheme="minorHAnsi" w:cstheme="minorHAnsi"/>
          <w:color w:val="auto"/>
          <w:sz w:val="22"/>
          <w:szCs w:val="22"/>
        </w:rPr>
        <w:t>World</w:t>
      </w:r>
      <w:r w:rsidR="00C00B64" w:rsidRPr="007A6F32">
        <w:rPr>
          <w:rFonts w:asciiTheme="minorHAnsi" w:hAnsiTheme="minorHAnsi" w:cstheme="minorHAnsi"/>
          <w:bCs/>
          <w:color w:val="auto"/>
          <w:sz w:val="22"/>
          <w:szCs w:val="22"/>
        </w:rPr>
        <w:t xml:space="preserve"> </w:t>
      </w:r>
      <w:r w:rsidRPr="007A6F32">
        <w:rPr>
          <w:rFonts w:asciiTheme="minorHAnsi" w:hAnsiTheme="minorHAnsi" w:cstheme="minorHAnsi"/>
          <w:bCs/>
          <w:color w:val="auto"/>
          <w:sz w:val="22"/>
          <w:szCs w:val="22"/>
        </w:rPr>
        <w:t xml:space="preserve">Bank guidelines, for IPF with DLIs, there will be no advance but, the underlying principle will be, following project effectiveness to disburse, funds to the respective centers only upon satisfactory achievement of the DLI/DLR. As per the design, disbursements under these components will be measured and valued in monetary terms for each respective year through a set of identifiable and measurable DLRs over the implementation period. These DLRs are considered significant indicators of performance that will influence behavioral and policy reforms required for achieving visible outcomes in the higher education sector. For each Sub-component (1.1, 1.2 and 2.1), the respective DLIs have been defined into a set of achievable DLRs. </w:t>
      </w:r>
    </w:p>
    <w:p w14:paraId="2F6B8825" w14:textId="0E44CB1A" w:rsidR="00B41920" w:rsidRPr="00FE19D7"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DB042E">
        <w:rPr>
          <w:rFonts w:asciiTheme="minorHAnsi" w:hAnsiTheme="minorHAnsi" w:cstheme="minorHAnsi"/>
          <w:bCs/>
          <w:sz w:val="22"/>
          <w:szCs w:val="22"/>
        </w:rPr>
        <w:t xml:space="preserve">Satisfactorily achieving the defined DLRs as identified in the Results Framework and Monitoring table and in the Financial Agreement will constitute the primary basis for triggering credit disbursements under the project. The DLRs have been individually priced, and as such the eligible disbursement </w:t>
      </w:r>
      <w:r w:rsidRPr="004350D8">
        <w:rPr>
          <w:rFonts w:asciiTheme="minorHAnsi" w:hAnsiTheme="minorHAnsi" w:cstheme="minorHAnsi"/>
          <w:bCs/>
          <w:sz w:val="22"/>
          <w:szCs w:val="22"/>
        </w:rPr>
        <w:t>amount will be the sum of the achieved DLRs multiplied by the unitary monetary value (price) as per the disbursement schedule. It must be noted that while noncompliance with a DLR in a period will result in funds associated with that DLR being withheld, disbursement associated with the achievement of other DLIs will not be affected. The exception is that results related to DLI 1 must be achieved and verified before funds for any other DLI achieved can be disbursed.</w:t>
      </w:r>
    </w:p>
    <w:p w14:paraId="3DEF16B7" w14:textId="040DAEA2" w:rsidR="003E66A9" w:rsidRPr="006C70A5" w:rsidRDefault="00B41920" w:rsidP="006C70A5">
      <w:pPr>
        <w:widowControl/>
        <w:numPr>
          <w:ilvl w:val="0"/>
          <w:numId w:val="30"/>
        </w:numPr>
        <w:autoSpaceDE/>
        <w:autoSpaceDN/>
        <w:adjustRightInd/>
        <w:spacing w:after="240"/>
        <w:ind w:right="720" w:firstLine="0"/>
        <w:jc w:val="both"/>
        <w:rPr>
          <w:rFonts w:ascii="Times New Roman" w:eastAsia="Calibri" w:hAnsi="Times New Roman" w:cs="Times New Roman"/>
          <w:color w:val="auto"/>
        </w:rPr>
      </w:pPr>
      <w:r>
        <w:rPr>
          <w:rFonts w:asciiTheme="minorHAnsi" w:hAnsiTheme="minorHAnsi" w:cstheme="minorHAnsi"/>
          <w:bCs/>
          <w:sz w:val="22"/>
          <w:szCs w:val="22"/>
        </w:rPr>
        <w:t>W</w:t>
      </w:r>
      <w:r w:rsidR="00B00100" w:rsidRPr="006C70A5">
        <w:rPr>
          <w:rFonts w:asciiTheme="minorHAnsi" w:hAnsiTheme="minorHAnsi" w:cstheme="minorHAnsi"/>
          <w:bCs/>
          <w:sz w:val="22"/>
          <w:szCs w:val="22"/>
        </w:rPr>
        <w:t xml:space="preserve">here achievement of a DLR cannot be verified, an amount equivalent to the DLR value will be withheld or considered as undocumented and outstanding obligation on the Recipient. This amount will be paid at any later date, during project life, and at the discretion of the World Bank’s task team when such achievement can be verified. The task team may consider that a later achievement of the </w:t>
      </w:r>
      <w:r w:rsidR="00B00100" w:rsidRPr="006C70A5">
        <w:rPr>
          <w:rFonts w:asciiTheme="minorHAnsi" w:hAnsiTheme="minorHAnsi" w:cstheme="minorHAnsi"/>
          <w:bCs/>
          <w:sz w:val="22"/>
          <w:szCs w:val="22"/>
        </w:rPr>
        <w:lastRenderedPageBreak/>
        <w:t xml:space="preserve">DLR performance would not qualify for disbursement against the unmet DLR if it determines that the on-schedule (timely) achievement of the DLR is critically fundamental to achieving the overall objectives of the project. A schedule of the DLI/DLR matrix with the indicative DLR values is included in </w:t>
      </w:r>
      <w:commentRangeStart w:id="412"/>
      <w:r w:rsidR="002937CD" w:rsidRPr="006C70A5">
        <w:rPr>
          <w:rFonts w:ascii="Calibri" w:eastAsia="MS Mincho" w:hAnsi="Calibri" w:cs="Calibri"/>
          <w:bCs/>
          <w:sz w:val="22"/>
          <w:szCs w:val="22"/>
        </w:rPr>
        <w:t>Table 7</w:t>
      </w:r>
      <w:commentRangeEnd w:id="412"/>
      <w:r w:rsidR="002937CD" w:rsidRPr="002937CD">
        <w:rPr>
          <w:rFonts w:eastAsia="MS Mincho"/>
          <w:sz w:val="16"/>
          <w:szCs w:val="16"/>
        </w:rPr>
        <w:commentReference w:id="412"/>
      </w:r>
      <w:r w:rsidR="002937CD" w:rsidRPr="00DB042E">
        <w:rPr>
          <w:rFonts w:ascii="Times New Roman" w:eastAsia="Calibri" w:hAnsi="Times New Roman" w:cs="Times New Roman"/>
          <w:color w:val="auto"/>
        </w:rPr>
        <w:t xml:space="preserve"> </w:t>
      </w:r>
      <w:r w:rsidR="00B00100" w:rsidRPr="006C70A5">
        <w:rPr>
          <w:rFonts w:asciiTheme="minorHAnsi" w:hAnsiTheme="minorHAnsi" w:cstheme="minorHAnsi"/>
          <w:bCs/>
          <w:sz w:val="22"/>
          <w:szCs w:val="22"/>
        </w:rPr>
        <w:t xml:space="preserve">(of the main text). </w:t>
      </w:r>
    </w:p>
    <w:p w14:paraId="18475182" w14:textId="77777777" w:rsidR="003E66A9" w:rsidRPr="008C26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7A6F32">
        <w:rPr>
          <w:rFonts w:asciiTheme="minorHAnsi" w:hAnsiTheme="minorHAnsi" w:cstheme="minorHAnsi"/>
          <w:bCs/>
          <w:sz w:val="22"/>
          <w:szCs w:val="22"/>
        </w:rPr>
        <w:t>Additional details of the verification protocols and the independent verification process shall be documented in the POM.</w:t>
      </w:r>
      <w:r w:rsidR="00615B38">
        <w:rPr>
          <w:rFonts w:asciiTheme="minorHAnsi" w:hAnsiTheme="minorHAnsi" w:cstheme="minorHAnsi"/>
          <w:bCs/>
          <w:sz w:val="22"/>
          <w:szCs w:val="22"/>
        </w:rPr>
        <w:t xml:space="preserve"> (See Figure A2.1 </w:t>
      </w:r>
      <w:r w:rsidR="00843EF5">
        <w:rPr>
          <w:rFonts w:asciiTheme="minorHAnsi" w:hAnsiTheme="minorHAnsi" w:cstheme="minorHAnsi"/>
          <w:bCs/>
          <w:sz w:val="22"/>
          <w:szCs w:val="22"/>
        </w:rPr>
        <w:t xml:space="preserve">below </w:t>
      </w:r>
      <w:r w:rsidR="00615B38">
        <w:rPr>
          <w:rFonts w:asciiTheme="minorHAnsi" w:hAnsiTheme="minorHAnsi" w:cstheme="minorHAnsi"/>
          <w:bCs/>
          <w:sz w:val="22"/>
          <w:szCs w:val="22"/>
        </w:rPr>
        <w:t>for the funds flow diagram for the centers)</w:t>
      </w:r>
      <w:r w:rsidR="00B8422F">
        <w:rPr>
          <w:rFonts w:asciiTheme="minorHAnsi" w:hAnsiTheme="minorHAnsi" w:cstheme="minorHAnsi"/>
          <w:bCs/>
          <w:sz w:val="22"/>
          <w:szCs w:val="22"/>
        </w:rPr>
        <w:t>.</w:t>
      </w:r>
    </w:p>
    <w:p w14:paraId="030EB8B4" w14:textId="77777777" w:rsidR="003E66A9" w:rsidRPr="008B5055" w:rsidRDefault="00B00100" w:rsidP="003E66A9">
      <w:pPr>
        <w:pStyle w:val="ListParagraph"/>
        <w:keepNext/>
        <w:keepLines/>
        <w:widowControl/>
        <w:autoSpaceDE/>
        <w:autoSpaceDN/>
        <w:adjustRightInd/>
        <w:spacing w:after="120"/>
        <w:ind w:left="360"/>
        <w:jc w:val="center"/>
        <w:rPr>
          <w:rFonts w:ascii="Calibri" w:eastAsia="Batang" w:hAnsi="Calibri" w:cs="Times New Roman"/>
          <w:color w:val="auto"/>
          <w:sz w:val="22"/>
          <w:szCs w:val="22"/>
          <w:lang w:eastAsia="ko-KR"/>
        </w:rPr>
      </w:pPr>
      <w:r w:rsidRPr="008B5055">
        <w:rPr>
          <w:rFonts w:ascii="Calibri" w:eastAsia="Calibri" w:hAnsi="Calibri" w:cs="Times New Roman"/>
          <w:b/>
          <w:color w:val="auto"/>
          <w:sz w:val="22"/>
          <w:szCs w:val="22"/>
        </w:rPr>
        <w:t xml:space="preserve">Figure A2.1. </w:t>
      </w:r>
      <w:r w:rsidRPr="008B5055">
        <w:rPr>
          <w:rFonts w:ascii="Calibri" w:eastAsia="Calibri" w:hAnsi="Calibri" w:cs="Times New Roman"/>
          <w:b/>
          <w:i/>
          <w:color w:val="auto"/>
          <w:sz w:val="22"/>
          <w:szCs w:val="22"/>
        </w:rPr>
        <w:t xml:space="preserve">Funds </w:t>
      </w:r>
      <w:r w:rsidR="00014B08">
        <w:rPr>
          <w:rFonts w:ascii="Calibri" w:eastAsia="Calibri" w:hAnsi="Calibri" w:cs="Times New Roman"/>
          <w:b/>
          <w:i/>
          <w:color w:val="auto"/>
          <w:sz w:val="22"/>
          <w:szCs w:val="22"/>
        </w:rPr>
        <w:t>F</w:t>
      </w:r>
      <w:r w:rsidRPr="008B5055">
        <w:rPr>
          <w:rFonts w:ascii="Calibri" w:eastAsia="Calibri" w:hAnsi="Calibri" w:cs="Times New Roman"/>
          <w:b/>
          <w:i/>
          <w:color w:val="auto"/>
          <w:sz w:val="22"/>
          <w:szCs w:val="22"/>
        </w:rPr>
        <w:t xml:space="preserve">low </w:t>
      </w:r>
      <w:r w:rsidR="00014B08">
        <w:rPr>
          <w:rFonts w:ascii="Calibri" w:eastAsia="Calibri" w:hAnsi="Calibri" w:cs="Times New Roman"/>
          <w:b/>
          <w:i/>
          <w:color w:val="auto"/>
          <w:sz w:val="22"/>
          <w:szCs w:val="22"/>
        </w:rPr>
        <w:t>D</w:t>
      </w:r>
      <w:r w:rsidRPr="008B5055">
        <w:rPr>
          <w:rFonts w:ascii="Calibri" w:eastAsia="Calibri" w:hAnsi="Calibri" w:cs="Times New Roman"/>
          <w:b/>
          <w:i/>
          <w:color w:val="auto"/>
          <w:sz w:val="22"/>
          <w:szCs w:val="22"/>
        </w:rPr>
        <w:t>iagram for Component 1 and Sub-component 2.1</w:t>
      </w:r>
    </w:p>
    <w:p w14:paraId="66D08803" w14:textId="77777777" w:rsidR="00F975C4" w:rsidRDefault="00B00100" w:rsidP="00260B25">
      <w:pPr>
        <w:pStyle w:val="ListParagraph"/>
        <w:widowControl/>
        <w:autoSpaceDE/>
        <w:autoSpaceDN/>
        <w:adjustRightInd/>
        <w:spacing w:after="120" w:line="259" w:lineRule="auto"/>
        <w:ind w:left="360" w:right="720"/>
        <w:jc w:val="center"/>
        <w:rPr>
          <w:rFonts w:ascii="Calibri" w:eastAsia="Batang" w:hAnsi="Calibri" w:cs="Times New Roman"/>
          <w:color w:val="auto"/>
          <w:sz w:val="22"/>
          <w:szCs w:val="22"/>
          <w:lang w:eastAsia="ko-KR"/>
        </w:rPr>
      </w:pPr>
      <w:r>
        <w:rPr>
          <w:noProof/>
        </w:rPr>
        <w:drawing>
          <wp:inline distT="0" distB="0" distL="0" distR="0" wp14:anchorId="3D8B67E8" wp14:editId="281DFD82">
            <wp:extent cx="4817533" cy="23831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6288" name=""/>
                    <pic:cNvPicPr/>
                  </pic:nvPicPr>
                  <pic:blipFill>
                    <a:blip r:embed="rId53"/>
                    <a:stretch>
                      <a:fillRect/>
                    </a:stretch>
                  </pic:blipFill>
                  <pic:spPr>
                    <a:xfrm>
                      <a:off x="0" y="0"/>
                      <a:ext cx="4898780" cy="2423347"/>
                    </a:xfrm>
                    <a:prstGeom prst="rect">
                      <a:avLst/>
                    </a:prstGeom>
                  </pic:spPr>
                </pic:pic>
              </a:graphicData>
            </a:graphic>
          </wp:inline>
        </w:drawing>
      </w:r>
    </w:p>
    <w:p w14:paraId="68FEC4E4" w14:textId="77777777" w:rsidR="000D68F4" w:rsidRPr="00797B7A" w:rsidRDefault="00B00100" w:rsidP="008E2709">
      <w:pPr>
        <w:pStyle w:val="ListParagraph"/>
        <w:widowControl/>
        <w:autoSpaceDE/>
        <w:autoSpaceDN/>
        <w:adjustRightInd/>
        <w:spacing w:after="120"/>
        <w:ind w:left="360" w:right="720"/>
        <w:jc w:val="both"/>
        <w:rPr>
          <w:rFonts w:ascii="Calibri" w:eastAsia="Batang" w:hAnsi="Calibri" w:cs="Times New Roman"/>
          <w:i/>
          <w:color w:val="auto"/>
          <w:sz w:val="18"/>
          <w:szCs w:val="18"/>
          <w:lang w:eastAsia="ko-KR"/>
        </w:rPr>
      </w:pPr>
      <w:r w:rsidRPr="00797B7A">
        <w:rPr>
          <w:rFonts w:ascii="Calibri" w:eastAsia="Batang" w:hAnsi="Calibri" w:cs="Times New Roman"/>
          <w:i/>
          <w:color w:val="auto"/>
          <w:sz w:val="18"/>
          <w:szCs w:val="18"/>
          <w:lang w:eastAsia="ko-KR"/>
        </w:rPr>
        <w:t>Note:</w:t>
      </w:r>
      <w:r w:rsidR="00700FB0">
        <w:rPr>
          <w:rFonts w:ascii="Calibri" w:eastAsia="Batang" w:hAnsi="Calibri" w:cs="Times New Roman"/>
          <w:i/>
          <w:color w:val="auto"/>
          <w:sz w:val="18"/>
          <w:szCs w:val="18"/>
          <w:lang w:eastAsia="ko-KR"/>
        </w:rPr>
        <w:t xml:space="preserve"> </w:t>
      </w:r>
      <w:r w:rsidRPr="00797B7A">
        <w:rPr>
          <w:rFonts w:ascii="Calibri" w:eastAsia="Batang" w:hAnsi="Calibri" w:cs="Times New Roman"/>
          <w:i/>
          <w:color w:val="auto"/>
          <w:sz w:val="18"/>
          <w:szCs w:val="18"/>
          <w:lang w:eastAsia="ko-KR"/>
        </w:rPr>
        <w:t>*</w:t>
      </w:r>
      <w:r w:rsidR="00700FB0" w:rsidRPr="00797B7A">
        <w:rPr>
          <w:rFonts w:ascii="Calibri" w:eastAsia="Batang" w:hAnsi="Calibri" w:cs="Times New Roman"/>
          <w:i/>
          <w:color w:val="auto"/>
          <w:sz w:val="18"/>
          <w:szCs w:val="18"/>
          <w:lang w:eastAsia="ko-KR"/>
        </w:rPr>
        <w:t xml:space="preserve">NUC shall open and operate a separate US dollar Reimbursement Account on behalf of the ACEs. Also, the </w:t>
      </w:r>
      <w:r w:rsidR="00700FB0" w:rsidRPr="00797B7A">
        <w:rPr>
          <w:rFonts w:asciiTheme="minorHAnsi" w:hAnsiTheme="minorHAnsi" w:cstheme="minorHAnsi"/>
          <w:bCs/>
          <w:i/>
          <w:sz w:val="18"/>
          <w:szCs w:val="18"/>
        </w:rPr>
        <w:t>PCU-Gambia on behalf of GTTI, will open and maintain a US dollar Reimbursement Account.</w:t>
      </w:r>
    </w:p>
    <w:p w14:paraId="10D43B98" w14:textId="77777777" w:rsidR="003E66A9" w:rsidRPr="008C2632" w:rsidRDefault="003E66A9">
      <w:pPr>
        <w:pStyle w:val="ListParagraph"/>
        <w:ind w:left="360"/>
        <w:jc w:val="both"/>
        <w:rPr>
          <w:rFonts w:asciiTheme="minorHAnsi" w:hAnsiTheme="minorHAnsi" w:cstheme="minorHAnsi"/>
          <w:bCs/>
          <w:sz w:val="22"/>
          <w:szCs w:val="22"/>
        </w:rPr>
      </w:pPr>
    </w:p>
    <w:p w14:paraId="38FEE4C0" w14:textId="663973B7" w:rsidR="003E66A9" w:rsidRPr="007A6F32" w:rsidRDefault="00B00100" w:rsidP="00F463C2">
      <w:pPr>
        <w:widowControl/>
        <w:autoSpaceDE/>
        <w:autoSpaceDN/>
        <w:adjustRightInd/>
        <w:spacing w:after="240"/>
        <w:ind w:right="720" w:firstLine="360"/>
        <w:jc w:val="both"/>
        <w:rPr>
          <w:rFonts w:asciiTheme="minorHAnsi" w:hAnsiTheme="minorHAnsi" w:cstheme="minorHAnsi"/>
          <w:bCs/>
          <w:color w:val="auto"/>
          <w:sz w:val="22"/>
          <w:szCs w:val="22"/>
        </w:rPr>
      </w:pPr>
      <w:r w:rsidRPr="007A6F32">
        <w:rPr>
          <w:rFonts w:asciiTheme="minorHAnsi" w:hAnsiTheme="minorHAnsi" w:cstheme="minorHAnsi"/>
          <w:b/>
          <w:bCs/>
          <w:color w:val="auto"/>
          <w:sz w:val="22"/>
          <w:szCs w:val="22"/>
        </w:rPr>
        <w:t>Eligible Expenditure Progra</w:t>
      </w:r>
      <w:r>
        <w:rPr>
          <w:rFonts w:asciiTheme="minorHAnsi" w:hAnsiTheme="minorHAnsi" w:cstheme="minorHAnsi"/>
          <w:b/>
          <w:bCs/>
          <w:color w:val="auto"/>
          <w:sz w:val="22"/>
          <w:szCs w:val="22"/>
        </w:rPr>
        <w:t>m</w:t>
      </w:r>
      <w:r w:rsidRPr="007A6F32">
        <w:rPr>
          <w:rFonts w:asciiTheme="minorHAnsi" w:hAnsiTheme="minorHAnsi" w:cstheme="minorHAnsi"/>
          <w:b/>
          <w:bCs/>
          <w:color w:val="auto"/>
          <w:sz w:val="22"/>
          <w:szCs w:val="22"/>
        </w:rPr>
        <w:t xml:space="preserve"> (EEP)</w:t>
      </w:r>
    </w:p>
    <w:p w14:paraId="259A6BE0" w14:textId="77777777" w:rsidR="003E66A9" w:rsidRPr="008C26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8C2632">
        <w:rPr>
          <w:rFonts w:asciiTheme="minorHAnsi" w:hAnsiTheme="minorHAnsi" w:cstheme="minorHAnsi"/>
          <w:bCs/>
          <w:sz w:val="22"/>
          <w:szCs w:val="22"/>
        </w:rPr>
        <w:t xml:space="preserve">The overall </w:t>
      </w:r>
      <w:r w:rsidR="00074E2A">
        <w:rPr>
          <w:rFonts w:asciiTheme="minorHAnsi" w:hAnsiTheme="minorHAnsi" w:cstheme="minorHAnsi"/>
          <w:bCs/>
          <w:sz w:val="22"/>
          <w:szCs w:val="22"/>
        </w:rPr>
        <w:t>g</w:t>
      </w:r>
      <w:r w:rsidRPr="008C2632">
        <w:rPr>
          <w:rFonts w:asciiTheme="minorHAnsi" w:hAnsiTheme="minorHAnsi" w:cstheme="minorHAnsi"/>
          <w:bCs/>
          <w:sz w:val="22"/>
          <w:szCs w:val="22"/>
        </w:rPr>
        <w:t xml:space="preserve">overnment program of expenditures to be supported under the components is defined as the set of defined eligible expenditures. </w:t>
      </w:r>
      <w:r w:rsidRPr="007A6F32">
        <w:rPr>
          <w:rFonts w:asciiTheme="minorHAnsi" w:hAnsiTheme="minorHAnsi" w:cstheme="minorHAnsi"/>
          <w:bCs/>
          <w:sz w:val="22"/>
          <w:szCs w:val="22"/>
        </w:rPr>
        <w:t>The EEPs will consist of salaries, scholarships and operating costs of each university and participating ACE</w:t>
      </w:r>
      <w:r w:rsidRPr="008C2632">
        <w:rPr>
          <w:rFonts w:asciiTheme="minorHAnsi" w:hAnsiTheme="minorHAnsi" w:cstheme="minorHAnsi"/>
          <w:bCs/>
          <w:sz w:val="22"/>
          <w:szCs w:val="22"/>
        </w:rPr>
        <w:t xml:space="preserve"> incurred by the Recipient as described in the </w:t>
      </w:r>
      <w:r w:rsidR="00864D46">
        <w:rPr>
          <w:rFonts w:asciiTheme="minorHAnsi" w:hAnsiTheme="minorHAnsi" w:cstheme="minorHAnsi"/>
          <w:bCs/>
          <w:sz w:val="22"/>
          <w:szCs w:val="22"/>
        </w:rPr>
        <w:t>FA</w:t>
      </w:r>
      <w:r w:rsidRPr="008C2632">
        <w:rPr>
          <w:rFonts w:asciiTheme="minorHAnsi" w:hAnsiTheme="minorHAnsi" w:cstheme="minorHAnsi"/>
          <w:bCs/>
          <w:sz w:val="22"/>
          <w:szCs w:val="22"/>
        </w:rPr>
        <w:t xml:space="preserve">. </w:t>
      </w:r>
      <w:r w:rsidRPr="007A6F32">
        <w:rPr>
          <w:rFonts w:asciiTheme="minorHAnsi" w:hAnsiTheme="minorHAnsi" w:cstheme="minorHAnsi"/>
          <w:bCs/>
          <w:sz w:val="22"/>
          <w:szCs w:val="22"/>
        </w:rPr>
        <w:t>The World Bank Guidance Notes on IPFs with DLIs dated April 2018, World Bank Policy and Procedures for IPFs</w:t>
      </w:r>
      <w:r w:rsidRPr="008C2632">
        <w:rPr>
          <w:rFonts w:asciiTheme="minorHAnsi" w:hAnsiTheme="minorHAnsi" w:cstheme="minorHAnsi"/>
          <w:bCs/>
          <w:sz w:val="22"/>
          <w:szCs w:val="22"/>
        </w:rPr>
        <w:t>, apply to this project</w:t>
      </w:r>
      <w:r w:rsidRPr="007A6F32">
        <w:rPr>
          <w:rFonts w:asciiTheme="minorHAnsi" w:hAnsiTheme="minorHAnsi" w:cstheme="minorHAnsi"/>
          <w:bCs/>
          <w:sz w:val="22"/>
          <w:szCs w:val="22"/>
        </w:rPr>
        <w:t>.</w:t>
      </w:r>
      <w:r w:rsidRPr="008C2632">
        <w:rPr>
          <w:rFonts w:asciiTheme="minorHAnsi" w:hAnsiTheme="minorHAnsi" w:cstheme="minorHAnsi"/>
          <w:bCs/>
          <w:sz w:val="22"/>
          <w:szCs w:val="22"/>
        </w:rPr>
        <w:t xml:space="preserve"> </w:t>
      </w:r>
      <w:r w:rsidRPr="007A6F32">
        <w:rPr>
          <w:rFonts w:asciiTheme="minorHAnsi" w:hAnsiTheme="minorHAnsi" w:cstheme="minorHAnsi"/>
          <w:bCs/>
          <w:sz w:val="22"/>
          <w:szCs w:val="22"/>
        </w:rPr>
        <w:t xml:space="preserve">Consistent with IPF Policy, the World Bank ensures the efficiency of any expenditures it finances. In the case of salaries, the World Bank will ensure that there are adequate accounting systems and controls are in place for personnel management. </w:t>
      </w:r>
    </w:p>
    <w:p w14:paraId="302926D9" w14:textId="77777777" w:rsidR="003E66A9" w:rsidRPr="008C26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7A6F32">
        <w:rPr>
          <w:rFonts w:asciiTheme="minorHAnsi" w:hAnsiTheme="minorHAnsi" w:cstheme="minorHAnsi"/>
          <w:bCs/>
          <w:sz w:val="22"/>
          <w:szCs w:val="22"/>
        </w:rPr>
        <w:t>The allocated amounts for the DLIs will vary from center to center but in all cases should be less than the overall amount of the EEPs</w:t>
      </w:r>
      <w:r w:rsidRPr="008C2632">
        <w:rPr>
          <w:rFonts w:asciiTheme="minorHAnsi" w:hAnsiTheme="minorHAnsi" w:cstheme="minorHAnsi"/>
          <w:bCs/>
          <w:sz w:val="22"/>
          <w:szCs w:val="22"/>
        </w:rPr>
        <w:t xml:space="preserve">. The World Bank project team will ensure that the eligible expenditure amount, as ascertained in the EEP Statement that will form part of the IFR submitted for disbursement, exceeds the DLR allocated amount.  Where the EEPs for a reporting period are less than the total value of DLRs earned within the reporting period, disbursement shall be limited to the value of the verified EEPs. </w:t>
      </w:r>
    </w:p>
    <w:p w14:paraId="35C42EB2" w14:textId="77777777" w:rsidR="003E66A9" w:rsidRPr="007A6F32"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8C2632">
        <w:rPr>
          <w:rFonts w:asciiTheme="minorHAnsi" w:hAnsiTheme="minorHAnsi" w:cstheme="minorHAnsi"/>
          <w:bCs/>
          <w:sz w:val="22"/>
          <w:szCs w:val="22"/>
        </w:rPr>
        <w:lastRenderedPageBreak/>
        <w:t>As part of its reporting, each university will prepare semi-annual Budget Execution Reports (EEP Spending Reports) and make them available to their respective ACE Impact center fiduciary staff for preparation of the EEP Statement which will be incorporated into the IFRs and used to monitor implementation progress of the EEPs</w:t>
      </w:r>
      <w:r w:rsidRPr="007A6F32">
        <w:rPr>
          <w:rFonts w:asciiTheme="minorHAnsi" w:hAnsiTheme="minorHAnsi" w:cstheme="minorHAnsi"/>
          <w:bCs/>
          <w:sz w:val="22"/>
          <w:szCs w:val="22"/>
        </w:rPr>
        <w:t>.</w:t>
      </w:r>
      <w:r w:rsidRPr="008C2632">
        <w:rPr>
          <w:rFonts w:asciiTheme="minorHAnsi" w:hAnsiTheme="minorHAnsi" w:cstheme="minorHAnsi"/>
          <w:bCs/>
          <w:sz w:val="22"/>
          <w:szCs w:val="22"/>
        </w:rPr>
        <w:t xml:space="preserve"> Such EEP would be verified by the independent verification agency as part of the documentation for achieving DLRs. The EEP Statements will be audited annually by the external audit firm as part of the Project Financial Statement Audit to confirm that EEPs were incurred under the agreed budget lines and are eligible for World Bank financing. The audited EEPs will be submitted to the World Bank.</w:t>
      </w:r>
    </w:p>
    <w:p w14:paraId="3397C6F8" w14:textId="77777777" w:rsidR="003E66A9" w:rsidRPr="00A13849" w:rsidRDefault="00B00100" w:rsidP="003247A0">
      <w:pPr>
        <w:widowControl/>
        <w:autoSpaceDE/>
        <w:autoSpaceDN/>
        <w:adjustRightInd/>
        <w:spacing w:after="240"/>
        <w:ind w:left="360" w:right="720"/>
        <w:jc w:val="both"/>
        <w:rPr>
          <w:rFonts w:asciiTheme="minorHAnsi" w:hAnsiTheme="minorHAnsi" w:cstheme="minorHAnsi"/>
          <w:b/>
          <w:bCs/>
          <w:sz w:val="22"/>
          <w:szCs w:val="22"/>
        </w:rPr>
      </w:pPr>
      <w:r w:rsidRPr="00A13849">
        <w:rPr>
          <w:rFonts w:asciiTheme="minorHAnsi" w:hAnsiTheme="minorHAnsi" w:cstheme="minorHAnsi"/>
          <w:b/>
          <w:bCs/>
          <w:sz w:val="22"/>
          <w:szCs w:val="22"/>
        </w:rPr>
        <w:t>Documentation under RBF Components</w:t>
      </w:r>
    </w:p>
    <w:p w14:paraId="60B8F06F" w14:textId="77777777" w:rsidR="003E66A9" w:rsidRPr="00B83678" w:rsidRDefault="00B00100" w:rsidP="00F62E72">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B83678">
        <w:rPr>
          <w:rFonts w:asciiTheme="minorHAnsi" w:hAnsiTheme="minorHAnsi" w:cstheme="minorHAnsi"/>
          <w:bCs/>
          <w:sz w:val="22"/>
          <w:szCs w:val="22"/>
        </w:rPr>
        <w:t xml:space="preserve">It is expected that on a half-yearly basis, each center will provide satisfactory documentary evidence indicating the achievement of the DLR as per their </w:t>
      </w:r>
      <w:r w:rsidR="00864D46">
        <w:rPr>
          <w:rFonts w:asciiTheme="minorHAnsi" w:hAnsiTheme="minorHAnsi" w:cstheme="minorHAnsi"/>
          <w:bCs/>
          <w:sz w:val="22"/>
          <w:szCs w:val="22"/>
        </w:rPr>
        <w:t>FA</w:t>
      </w:r>
      <w:r w:rsidRPr="00B83678">
        <w:rPr>
          <w:rFonts w:asciiTheme="minorHAnsi" w:hAnsiTheme="minorHAnsi" w:cstheme="minorHAnsi"/>
          <w:bCs/>
          <w:sz w:val="22"/>
          <w:szCs w:val="22"/>
        </w:rPr>
        <w:t xml:space="preserve">s. To document results the following are required (i) acceptable interim </w:t>
      </w:r>
      <w:r w:rsidR="00895B21">
        <w:rPr>
          <w:rFonts w:asciiTheme="minorHAnsi" w:hAnsiTheme="minorHAnsi" w:cstheme="minorHAnsi"/>
          <w:bCs/>
          <w:sz w:val="22"/>
          <w:szCs w:val="22"/>
        </w:rPr>
        <w:t>IFRs</w:t>
      </w:r>
      <w:r w:rsidRPr="00B83678">
        <w:rPr>
          <w:rFonts w:asciiTheme="minorHAnsi" w:hAnsiTheme="minorHAnsi" w:cstheme="minorHAnsi"/>
          <w:bCs/>
          <w:sz w:val="22"/>
          <w:szCs w:val="22"/>
        </w:rPr>
        <w:t>)</w:t>
      </w:r>
      <w:r w:rsidR="00074E2A">
        <w:rPr>
          <w:rFonts w:asciiTheme="minorHAnsi" w:hAnsiTheme="minorHAnsi" w:cstheme="minorHAnsi"/>
          <w:bCs/>
          <w:sz w:val="22"/>
          <w:szCs w:val="22"/>
        </w:rPr>
        <w:t>;</w:t>
      </w:r>
      <w:r w:rsidRPr="00B83678">
        <w:rPr>
          <w:rFonts w:asciiTheme="minorHAnsi" w:hAnsiTheme="minorHAnsi" w:cstheme="minorHAnsi"/>
          <w:bCs/>
          <w:sz w:val="22"/>
          <w:szCs w:val="22"/>
        </w:rPr>
        <w:t xml:space="preserve"> (ii) EEP Spending Reports</w:t>
      </w:r>
      <w:r w:rsidR="00074E2A">
        <w:rPr>
          <w:rFonts w:asciiTheme="minorHAnsi" w:hAnsiTheme="minorHAnsi" w:cstheme="minorHAnsi"/>
          <w:bCs/>
          <w:sz w:val="22"/>
          <w:szCs w:val="22"/>
        </w:rPr>
        <w:t>;</w:t>
      </w:r>
      <w:r w:rsidRPr="00B83678">
        <w:rPr>
          <w:rFonts w:asciiTheme="minorHAnsi" w:hAnsiTheme="minorHAnsi" w:cstheme="minorHAnsi"/>
          <w:bCs/>
          <w:sz w:val="22"/>
          <w:szCs w:val="22"/>
        </w:rPr>
        <w:t xml:space="preserve"> and (iii) evidence of independent verification of the set of DLRs for that specific year/period which have been achieved. These reports will then form the basis of documenting and used to determine the earned amount to be transferred to the Reimbursement Account.  </w:t>
      </w:r>
    </w:p>
    <w:p w14:paraId="31ECB215" w14:textId="77777777" w:rsidR="003E66A9" w:rsidRPr="007A6F32" w:rsidRDefault="00B00100" w:rsidP="006C70A5">
      <w:pPr>
        <w:widowControl/>
        <w:autoSpaceDE/>
        <w:autoSpaceDN/>
        <w:adjustRightInd/>
        <w:spacing w:after="240"/>
        <w:ind w:left="360" w:right="720"/>
        <w:jc w:val="both"/>
        <w:rPr>
          <w:rFonts w:asciiTheme="minorHAnsi" w:eastAsia="Arial Unicode MS" w:hAnsiTheme="minorHAnsi" w:cstheme="minorHAnsi"/>
          <w:b/>
          <w:bCs/>
          <w:iCs/>
          <w:sz w:val="22"/>
          <w:szCs w:val="22"/>
          <w:bdr w:val="none" w:sz="0" w:space="0" w:color="auto" w:frame="1"/>
        </w:rPr>
      </w:pPr>
      <w:r w:rsidRPr="007A6F32">
        <w:rPr>
          <w:rFonts w:asciiTheme="minorHAnsi" w:eastAsia="Arial Unicode MS" w:hAnsiTheme="minorHAnsi" w:cstheme="minorHAnsi"/>
          <w:b/>
          <w:bCs/>
          <w:iCs/>
          <w:sz w:val="22"/>
          <w:szCs w:val="22"/>
          <w:bdr w:val="none" w:sz="0" w:space="0" w:color="auto" w:frame="1"/>
        </w:rPr>
        <w:t>Funds flow and disbursement arrangements</w:t>
      </w:r>
      <w:r w:rsidRPr="007A6F32">
        <w:rPr>
          <w:rFonts w:asciiTheme="minorHAnsi" w:eastAsia="Arial Unicode MS" w:hAnsiTheme="minorHAnsi" w:cstheme="minorHAnsi"/>
          <w:b/>
          <w:bCs/>
          <w:i/>
          <w:iCs/>
          <w:sz w:val="22"/>
          <w:szCs w:val="22"/>
          <w:bdr w:val="none" w:sz="0" w:space="0" w:color="auto" w:frame="1"/>
        </w:rPr>
        <w:t xml:space="preserve"> </w:t>
      </w:r>
      <w:r w:rsidRPr="007A6F32">
        <w:rPr>
          <w:rFonts w:asciiTheme="minorHAnsi" w:eastAsia="Arial Unicode MS" w:hAnsiTheme="minorHAnsi" w:cstheme="minorHAnsi"/>
          <w:b/>
          <w:bCs/>
          <w:iCs/>
          <w:sz w:val="22"/>
          <w:szCs w:val="22"/>
          <w:bdr w:val="none" w:sz="0" w:space="0" w:color="auto" w:frame="1"/>
        </w:rPr>
        <w:t>and</w:t>
      </w:r>
      <w:r w:rsidRPr="007A6F32">
        <w:rPr>
          <w:rFonts w:asciiTheme="minorHAnsi" w:eastAsia="Arial Unicode MS" w:hAnsiTheme="minorHAnsi" w:cstheme="minorHAnsi"/>
          <w:b/>
          <w:bCs/>
          <w:i/>
          <w:iCs/>
          <w:sz w:val="22"/>
          <w:szCs w:val="22"/>
          <w:bdr w:val="none" w:sz="0" w:space="0" w:color="auto" w:frame="1"/>
        </w:rPr>
        <w:t xml:space="preserve"> </w:t>
      </w:r>
      <w:r w:rsidRPr="007A6F32">
        <w:rPr>
          <w:rFonts w:asciiTheme="minorHAnsi" w:eastAsia="Arial Unicode MS" w:hAnsiTheme="minorHAnsi" w:cstheme="minorHAnsi"/>
          <w:b/>
          <w:bCs/>
          <w:iCs/>
          <w:sz w:val="22"/>
          <w:szCs w:val="22"/>
          <w:bdr w:val="none" w:sz="0" w:space="0" w:color="auto" w:frame="1"/>
        </w:rPr>
        <w:t>modalities for disbursements under Non- RBF components</w:t>
      </w:r>
    </w:p>
    <w:p w14:paraId="6078AEB6" w14:textId="77777777" w:rsidR="003E66A9" w:rsidRPr="00196093"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196093">
        <w:rPr>
          <w:rFonts w:asciiTheme="minorHAnsi" w:hAnsiTheme="minorHAnsi" w:cstheme="minorHAnsi"/>
          <w:bCs/>
          <w:sz w:val="22"/>
          <w:szCs w:val="22"/>
        </w:rPr>
        <w:t xml:space="preserve">Other than RBF-based disbursement (under Component </w:t>
      </w:r>
      <w:r w:rsidRPr="007A6F32">
        <w:rPr>
          <w:rFonts w:asciiTheme="minorHAnsi" w:hAnsiTheme="minorHAnsi" w:cstheme="minorHAnsi"/>
          <w:bCs/>
          <w:sz w:val="22"/>
          <w:szCs w:val="22"/>
        </w:rPr>
        <w:t>1</w:t>
      </w:r>
      <w:r w:rsidRPr="00196093">
        <w:rPr>
          <w:rFonts w:asciiTheme="minorHAnsi" w:hAnsiTheme="minorHAnsi" w:cstheme="minorHAnsi"/>
          <w:bCs/>
          <w:sz w:val="22"/>
          <w:szCs w:val="22"/>
        </w:rPr>
        <w:t xml:space="preserve"> and </w:t>
      </w:r>
      <w:r w:rsidR="002F1758">
        <w:rPr>
          <w:rFonts w:asciiTheme="minorHAnsi" w:hAnsiTheme="minorHAnsi" w:cstheme="minorHAnsi"/>
          <w:bCs/>
          <w:sz w:val="22"/>
          <w:szCs w:val="22"/>
        </w:rPr>
        <w:t xml:space="preserve">Sub-component </w:t>
      </w:r>
      <w:r w:rsidRPr="007A6F32">
        <w:rPr>
          <w:rFonts w:asciiTheme="minorHAnsi" w:hAnsiTheme="minorHAnsi" w:cstheme="minorHAnsi"/>
          <w:bCs/>
          <w:sz w:val="22"/>
          <w:szCs w:val="22"/>
        </w:rPr>
        <w:t>2.1</w:t>
      </w:r>
      <w:r w:rsidRPr="00196093">
        <w:rPr>
          <w:rFonts w:asciiTheme="minorHAnsi" w:hAnsiTheme="minorHAnsi" w:cstheme="minorHAnsi"/>
          <w:bCs/>
          <w:sz w:val="22"/>
          <w:szCs w:val="22"/>
        </w:rPr>
        <w:t xml:space="preserve">), all other components will be implemented under the principles of traditional IPF arrangements using either </w:t>
      </w:r>
      <w:r w:rsidRPr="007A6F32">
        <w:rPr>
          <w:rFonts w:asciiTheme="minorHAnsi" w:hAnsiTheme="minorHAnsi" w:cstheme="minorHAnsi"/>
          <w:bCs/>
          <w:sz w:val="22"/>
          <w:szCs w:val="22"/>
        </w:rPr>
        <w:t>transaction-based</w:t>
      </w:r>
      <w:r w:rsidRPr="00196093">
        <w:rPr>
          <w:rFonts w:asciiTheme="minorHAnsi" w:hAnsiTheme="minorHAnsi" w:cstheme="minorHAnsi"/>
          <w:bCs/>
          <w:sz w:val="22"/>
          <w:szCs w:val="22"/>
        </w:rPr>
        <w:t xml:space="preserve"> arrangement (SoE) or </w:t>
      </w:r>
      <w:r w:rsidRPr="007A6F32">
        <w:rPr>
          <w:rFonts w:asciiTheme="minorHAnsi" w:hAnsiTheme="minorHAnsi" w:cstheme="minorHAnsi"/>
          <w:bCs/>
          <w:sz w:val="22"/>
          <w:szCs w:val="22"/>
        </w:rPr>
        <w:t xml:space="preserve">report-based disbursement arrangements (IFR) </w:t>
      </w:r>
      <w:r w:rsidRPr="00196093">
        <w:rPr>
          <w:rFonts w:asciiTheme="minorHAnsi" w:hAnsiTheme="minorHAnsi" w:cstheme="minorHAnsi"/>
          <w:bCs/>
          <w:sz w:val="22"/>
          <w:szCs w:val="22"/>
        </w:rPr>
        <w:t xml:space="preserve">depending on the specific country assessment. The AAU and NUC shall adopt the report-based disbursement (IFR), whilst </w:t>
      </w:r>
      <w:r w:rsidR="00074E2A">
        <w:rPr>
          <w:rFonts w:asciiTheme="minorHAnsi" w:hAnsiTheme="minorHAnsi" w:cstheme="minorHAnsi"/>
          <w:bCs/>
          <w:sz w:val="22"/>
          <w:szCs w:val="22"/>
        </w:rPr>
        <w:t>t</w:t>
      </w:r>
      <w:r w:rsidRPr="00196093">
        <w:rPr>
          <w:rFonts w:asciiTheme="minorHAnsi" w:hAnsiTheme="minorHAnsi" w:cstheme="minorHAnsi"/>
          <w:bCs/>
          <w:sz w:val="22"/>
          <w:szCs w:val="22"/>
        </w:rPr>
        <w:t xml:space="preserve">he </w:t>
      </w:r>
      <w:r w:rsidR="00535104">
        <w:rPr>
          <w:rFonts w:asciiTheme="minorHAnsi" w:hAnsiTheme="minorHAnsi" w:cstheme="minorHAnsi"/>
          <w:bCs/>
          <w:sz w:val="22"/>
          <w:szCs w:val="22"/>
        </w:rPr>
        <w:t>PCU-</w:t>
      </w:r>
      <w:r w:rsidRPr="00196093">
        <w:rPr>
          <w:rFonts w:asciiTheme="minorHAnsi" w:hAnsiTheme="minorHAnsi" w:cstheme="minorHAnsi"/>
          <w:bCs/>
          <w:sz w:val="22"/>
          <w:szCs w:val="22"/>
        </w:rPr>
        <w:t>Gambia will use S</w:t>
      </w:r>
      <w:r w:rsidR="00B04A2E">
        <w:rPr>
          <w:rFonts w:asciiTheme="minorHAnsi" w:hAnsiTheme="minorHAnsi" w:cstheme="minorHAnsi"/>
          <w:bCs/>
          <w:sz w:val="22"/>
          <w:szCs w:val="22"/>
        </w:rPr>
        <w:t>o</w:t>
      </w:r>
      <w:r w:rsidRPr="00196093">
        <w:rPr>
          <w:rFonts w:asciiTheme="minorHAnsi" w:hAnsiTheme="minorHAnsi" w:cstheme="minorHAnsi"/>
          <w:bCs/>
          <w:sz w:val="22"/>
          <w:szCs w:val="22"/>
        </w:rPr>
        <w:t>E.</w:t>
      </w:r>
    </w:p>
    <w:p w14:paraId="10D36937" w14:textId="77777777" w:rsidR="003E66A9" w:rsidRDefault="00B00100" w:rsidP="00FC1A97">
      <w:pPr>
        <w:pStyle w:val="ListParagraph"/>
        <w:ind w:left="360"/>
        <w:jc w:val="both"/>
        <w:rPr>
          <w:rFonts w:asciiTheme="minorHAnsi" w:hAnsiTheme="minorHAnsi" w:cstheme="minorHAnsi"/>
          <w:b/>
          <w:bCs/>
          <w:sz w:val="22"/>
          <w:szCs w:val="22"/>
        </w:rPr>
      </w:pPr>
      <w:r w:rsidRPr="00196093">
        <w:rPr>
          <w:rFonts w:asciiTheme="minorHAnsi" w:hAnsiTheme="minorHAnsi" w:cstheme="minorHAnsi"/>
          <w:b/>
          <w:bCs/>
          <w:sz w:val="22"/>
          <w:szCs w:val="22"/>
        </w:rPr>
        <w:t>AAU and NUC</w:t>
      </w:r>
    </w:p>
    <w:p w14:paraId="19782871" w14:textId="77777777" w:rsidR="00990694" w:rsidRPr="00196093" w:rsidRDefault="00990694" w:rsidP="003247A0">
      <w:pPr>
        <w:pStyle w:val="ListParagraph"/>
        <w:ind w:left="360"/>
        <w:jc w:val="both"/>
        <w:rPr>
          <w:rFonts w:asciiTheme="minorHAnsi" w:hAnsiTheme="minorHAnsi" w:cstheme="minorHAnsi"/>
          <w:b/>
          <w:bCs/>
          <w:sz w:val="22"/>
          <w:szCs w:val="22"/>
        </w:rPr>
      </w:pPr>
    </w:p>
    <w:p w14:paraId="31B43924" w14:textId="77777777" w:rsidR="003E66A9" w:rsidRPr="00196093" w:rsidRDefault="00B00100" w:rsidP="00F62E72">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196093">
        <w:rPr>
          <w:rFonts w:asciiTheme="minorHAnsi" w:hAnsiTheme="minorHAnsi" w:cstheme="minorHAnsi"/>
          <w:bCs/>
          <w:sz w:val="22"/>
          <w:szCs w:val="22"/>
        </w:rPr>
        <w:t xml:space="preserve">With the report-based approach, the allocated resources </w:t>
      </w:r>
      <w:r w:rsidR="0035552A">
        <w:rPr>
          <w:rFonts w:asciiTheme="minorHAnsi" w:hAnsiTheme="minorHAnsi" w:cstheme="minorHAnsi"/>
          <w:bCs/>
          <w:sz w:val="22"/>
          <w:szCs w:val="22"/>
        </w:rPr>
        <w:t xml:space="preserve">for AAU and NUC </w:t>
      </w:r>
      <w:r w:rsidRPr="00196093">
        <w:rPr>
          <w:rFonts w:asciiTheme="minorHAnsi" w:hAnsiTheme="minorHAnsi" w:cstheme="minorHAnsi"/>
          <w:bCs/>
          <w:sz w:val="22"/>
          <w:szCs w:val="22"/>
        </w:rPr>
        <w:t xml:space="preserve">will be advanced to the Project under the </w:t>
      </w:r>
      <w:r w:rsidR="0035552A">
        <w:rPr>
          <w:rFonts w:asciiTheme="minorHAnsi" w:hAnsiTheme="minorHAnsi" w:cstheme="minorHAnsi"/>
          <w:bCs/>
          <w:sz w:val="22"/>
          <w:szCs w:val="22"/>
        </w:rPr>
        <w:t>DA</w:t>
      </w:r>
      <w:r w:rsidRPr="00196093">
        <w:rPr>
          <w:rFonts w:asciiTheme="minorHAnsi" w:hAnsiTheme="minorHAnsi" w:cstheme="minorHAnsi"/>
          <w:bCs/>
          <w:sz w:val="22"/>
          <w:szCs w:val="22"/>
        </w:rPr>
        <w:t xml:space="preserve"> based on an approved six-monthly forecast of expenditures and replenished quarterly for further periods of six months using IFRs. The IFRs (including the ‘procurements subject to prior reviews’ and ‘</w:t>
      </w:r>
      <w:r w:rsidR="001578C3">
        <w:rPr>
          <w:rFonts w:asciiTheme="minorHAnsi" w:hAnsiTheme="minorHAnsi" w:cstheme="minorHAnsi"/>
          <w:bCs/>
          <w:sz w:val="22"/>
          <w:szCs w:val="22"/>
        </w:rPr>
        <w:t>DA</w:t>
      </w:r>
      <w:r w:rsidRPr="00196093">
        <w:rPr>
          <w:rFonts w:asciiTheme="minorHAnsi" w:hAnsiTheme="minorHAnsi" w:cstheme="minorHAnsi"/>
          <w:bCs/>
          <w:sz w:val="22"/>
          <w:szCs w:val="22"/>
        </w:rPr>
        <w:t xml:space="preserve"> reconciliation statement’) will serve as the basis for requesting for advances and for documentation. The initial disbursement will be based on the consolidated expenditure forecast for six months, subject to the review and approval, by the W</w:t>
      </w:r>
      <w:r w:rsidR="00C00B64">
        <w:rPr>
          <w:rFonts w:asciiTheme="minorHAnsi" w:hAnsiTheme="minorHAnsi" w:cstheme="minorHAnsi"/>
          <w:bCs/>
          <w:sz w:val="22"/>
          <w:szCs w:val="22"/>
        </w:rPr>
        <w:t xml:space="preserve">orld </w:t>
      </w:r>
      <w:r w:rsidRPr="00196093">
        <w:rPr>
          <w:rFonts w:asciiTheme="minorHAnsi" w:hAnsiTheme="minorHAnsi" w:cstheme="minorHAnsi"/>
          <w:bCs/>
          <w:sz w:val="22"/>
          <w:szCs w:val="22"/>
        </w:rPr>
        <w:t>B</w:t>
      </w:r>
      <w:r w:rsidR="00C00B64">
        <w:rPr>
          <w:rFonts w:asciiTheme="minorHAnsi" w:hAnsiTheme="minorHAnsi" w:cstheme="minorHAnsi"/>
          <w:bCs/>
          <w:sz w:val="22"/>
          <w:szCs w:val="22"/>
        </w:rPr>
        <w:t>ank</w:t>
      </w:r>
      <w:r w:rsidRPr="00196093">
        <w:rPr>
          <w:rFonts w:asciiTheme="minorHAnsi" w:hAnsiTheme="minorHAnsi" w:cstheme="minorHAnsi"/>
          <w:bCs/>
          <w:sz w:val="22"/>
          <w:szCs w:val="22"/>
        </w:rPr>
        <w:t xml:space="preserve"> Task Team Leaders (TTLs) and FMS. Further replenishments of the </w:t>
      </w:r>
      <w:r w:rsidR="001578C3">
        <w:rPr>
          <w:rFonts w:asciiTheme="minorHAnsi" w:hAnsiTheme="minorHAnsi" w:cstheme="minorHAnsi"/>
          <w:bCs/>
          <w:sz w:val="22"/>
          <w:szCs w:val="22"/>
        </w:rPr>
        <w:t>DA</w:t>
      </w:r>
      <w:r w:rsidRPr="00196093">
        <w:rPr>
          <w:rFonts w:asciiTheme="minorHAnsi" w:hAnsiTheme="minorHAnsi" w:cstheme="minorHAnsi"/>
          <w:bCs/>
          <w:sz w:val="22"/>
          <w:szCs w:val="22"/>
        </w:rPr>
        <w:t xml:space="preserve"> will be done quarterly based on the forecast of the net expenditures for the subsequent half-year period. </w:t>
      </w:r>
      <w:r w:rsidR="00700FB0">
        <w:rPr>
          <w:rFonts w:asciiTheme="minorHAnsi" w:hAnsiTheme="minorHAnsi" w:cstheme="minorHAnsi"/>
          <w:bCs/>
          <w:sz w:val="22"/>
          <w:szCs w:val="22"/>
        </w:rPr>
        <w:t>See Figure A2.2 for the funds flow diagram</w:t>
      </w:r>
      <w:r w:rsidR="00615B38">
        <w:rPr>
          <w:rFonts w:asciiTheme="minorHAnsi" w:hAnsiTheme="minorHAnsi" w:cstheme="minorHAnsi"/>
          <w:bCs/>
          <w:sz w:val="22"/>
          <w:szCs w:val="22"/>
        </w:rPr>
        <w:t xml:space="preserve"> for the AAU and NUC funds flow diagram</w:t>
      </w:r>
      <w:r w:rsidR="002F1758">
        <w:rPr>
          <w:rFonts w:asciiTheme="minorHAnsi" w:hAnsiTheme="minorHAnsi" w:cstheme="minorHAnsi"/>
          <w:bCs/>
          <w:sz w:val="22"/>
          <w:szCs w:val="22"/>
        </w:rPr>
        <w:t>.</w:t>
      </w:r>
    </w:p>
    <w:p w14:paraId="6A00D57E" w14:textId="77777777" w:rsidR="003E66A9" w:rsidRPr="00196093"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196093">
        <w:rPr>
          <w:rFonts w:asciiTheme="minorHAnsi" w:hAnsiTheme="minorHAnsi" w:cstheme="minorHAnsi"/>
          <w:bCs/>
          <w:sz w:val="22"/>
          <w:szCs w:val="22"/>
        </w:rPr>
        <w:t xml:space="preserve">Subsequently and on a quarterly basis the Project Accountant shall request for financial reports and other documents evidencing payment of eligible expenditure paid from the local currency Project Accounts and use same to prepare a consolidated Financial Report for submission to the World Bank and other stakeholders. Supporting documentation will be requested along with withdrawal </w:t>
      </w:r>
      <w:r w:rsidRPr="00196093">
        <w:rPr>
          <w:rFonts w:asciiTheme="minorHAnsi" w:hAnsiTheme="minorHAnsi" w:cstheme="minorHAnsi"/>
          <w:bCs/>
          <w:sz w:val="22"/>
          <w:szCs w:val="22"/>
        </w:rPr>
        <w:lastRenderedPageBreak/>
        <w:t>applications as specified in the Disbursement</w:t>
      </w:r>
      <w:r w:rsidR="00A934EA">
        <w:rPr>
          <w:rFonts w:asciiTheme="minorHAnsi" w:hAnsiTheme="minorHAnsi" w:cstheme="minorHAnsi"/>
          <w:bCs/>
          <w:sz w:val="22"/>
          <w:szCs w:val="22"/>
        </w:rPr>
        <w:t xml:space="preserve"> and Financial Information</w:t>
      </w:r>
      <w:r w:rsidRPr="00196093">
        <w:rPr>
          <w:rFonts w:asciiTheme="minorHAnsi" w:hAnsiTheme="minorHAnsi" w:cstheme="minorHAnsi"/>
          <w:bCs/>
          <w:sz w:val="22"/>
          <w:szCs w:val="22"/>
        </w:rPr>
        <w:t xml:space="preserve"> Letter</w:t>
      </w:r>
      <w:r w:rsidR="00B04D72">
        <w:rPr>
          <w:rFonts w:asciiTheme="minorHAnsi" w:hAnsiTheme="minorHAnsi" w:cstheme="minorHAnsi"/>
          <w:bCs/>
          <w:sz w:val="22"/>
          <w:szCs w:val="22"/>
        </w:rPr>
        <w:t xml:space="preserve"> </w:t>
      </w:r>
      <w:r w:rsidR="00E00B72">
        <w:rPr>
          <w:rFonts w:asciiTheme="minorHAnsi" w:hAnsiTheme="minorHAnsi" w:cstheme="minorHAnsi"/>
          <w:bCs/>
          <w:sz w:val="22"/>
          <w:szCs w:val="22"/>
        </w:rPr>
        <w:t>(DFIL)</w:t>
      </w:r>
      <w:r w:rsidRPr="00196093">
        <w:rPr>
          <w:rFonts w:asciiTheme="minorHAnsi" w:hAnsiTheme="minorHAnsi" w:cstheme="minorHAnsi"/>
          <w:bCs/>
          <w:sz w:val="22"/>
          <w:szCs w:val="22"/>
        </w:rPr>
        <w:t xml:space="preserve">issued for the project. This will comprise summary reports (Interim Financial Reports) for payments made by the </w:t>
      </w:r>
      <w:r w:rsidR="002C321F">
        <w:rPr>
          <w:rFonts w:asciiTheme="minorHAnsi" w:hAnsiTheme="minorHAnsi" w:cstheme="minorHAnsi"/>
          <w:bCs/>
          <w:sz w:val="22"/>
          <w:szCs w:val="22"/>
        </w:rPr>
        <w:t>Recipient</w:t>
      </w:r>
      <w:r w:rsidRPr="00196093">
        <w:rPr>
          <w:rFonts w:asciiTheme="minorHAnsi" w:hAnsiTheme="minorHAnsi" w:cstheme="minorHAnsi"/>
          <w:bCs/>
          <w:sz w:val="22"/>
          <w:szCs w:val="22"/>
        </w:rPr>
        <w:t xml:space="preserve"> from the DA and requests for reimbursements for eligible expenditures. Copies of original documents or records shall be requested only for certain categories of expenditures subject to prior review as specified in the </w:t>
      </w:r>
      <w:r w:rsidR="00E00B72">
        <w:rPr>
          <w:rFonts w:asciiTheme="minorHAnsi" w:hAnsiTheme="minorHAnsi" w:cstheme="minorHAnsi"/>
          <w:bCs/>
          <w:sz w:val="22"/>
          <w:szCs w:val="22"/>
        </w:rPr>
        <w:t>DFIL</w:t>
      </w:r>
      <w:r w:rsidRPr="00196093">
        <w:rPr>
          <w:rFonts w:asciiTheme="minorHAnsi" w:hAnsiTheme="minorHAnsi" w:cstheme="minorHAnsi"/>
          <w:bCs/>
          <w:sz w:val="22"/>
          <w:szCs w:val="22"/>
        </w:rPr>
        <w:t>.</w:t>
      </w:r>
    </w:p>
    <w:p w14:paraId="036E209E" w14:textId="644585FE" w:rsidR="003134FB" w:rsidRDefault="003134FB" w:rsidP="00FC1A97">
      <w:pPr>
        <w:pStyle w:val="ListParagraph"/>
        <w:ind w:left="360"/>
        <w:jc w:val="both"/>
        <w:rPr>
          <w:rFonts w:asciiTheme="minorHAnsi" w:hAnsiTheme="minorHAnsi" w:cstheme="minorHAnsi"/>
          <w:b/>
          <w:bCs/>
          <w:sz w:val="22"/>
          <w:szCs w:val="22"/>
        </w:rPr>
      </w:pPr>
    </w:p>
    <w:p w14:paraId="5A324D9E" w14:textId="77777777" w:rsidR="00E30220" w:rsidRDefault="00E30220" w:rsidP="00FC1A97">
      <w:pPr>
        <w:pStyle w:val="ListParagraph"/>
        <w:ind w:left="360"/>
        <w:jc w:val="both"/>
        <w:rPr>
          <w:rFonts w:asciiTheme="minorHAnsi" w:hAnsiTheme="minorHAnsi" w:cstheme="minorHAnsi"/>
          <w:b/>
          <w:bCs/>
          <w:sz w:val="22"/>
          <w:szCs w:val="22"/>
        </w:rPr>
      </w:pPr>
    </w:p>
    <w:p w14:paraId="3D0B448D" w14:textId="66C089AA" w:rsidR="003E66A9" w:rsidRDefault="00B00100" w:rsidP="00FC1A97">
      <w:pPr>
        <w:pStyle w:val="ListParagraph"/>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The </w:t>
      </w:r>
      <w:r w:rsidR="004E68F9" w:rsidRPr="00196093">
        <w:rPr>
          <w:rFonts w:asciiTheme="minorHAnsi" w:hAnsiTheme="minorHAnsi" w:cstheme="minorHAnsi"/>
          <w:b/>
          <w:bCs/>
          <w:sz w:val="22"/>
          <w:szCs w:val="22"/>
        </w:rPr>
        <w:t xml:space="preserve">Gambia </w:t>
      </w:r>
    </w:p>
    <w:p w14:paraId="74519FC6" w14:textId="77777777" w:rsidR="00990694" w:rsidRPr="00196093" w:rsidRDefault="00990694" w:rsidP="003247A0">
      <w:pPr>
        <w:pStyle w:val="ListParagraph"/>
        <w:ind w:left="360"/>
        <w:jc w:val="both"/>
        <w:rPr>
          <w:rFonts w:asciiTheme="minorHAnsi" w:hAnsiTheme="minorHAnsi" w:cstheme="minorHAnsi"/>
          <w:b/>
          <w:bCs/>
          <w:sz w:val="22"/>
          <w:szCs w:val="22"/>
        </w:rPr>
      </w:pPr>
    </w:p>
    <w:p w14:paraId="7A6B64DD" w14:textId="77777777" w:rsidR="000A12E3" w:rsidRPr="003F12D1" w:rsidRDefault="00B00100" w:rsidP="00F62E72">
      <w:pPr>
        <w:widowControl/>
        <w:numPr>
          <w:ilvl w:val="0"/>
          <w:numId w:val="30"/>
        </w:numPr>
        <w:autoSpaceDE/>
        <w:autoSpaceDN/>
        <w:adjustRightInd/>
        <w:spacing w:after="240"/>
        <w:ind w:right="720" w:firstLine="0"/>
        <w:jc w:val="both"/>
        <w:rPr>
          <w:rFonts w:asciiTheme="minorHAnsi" w:hAnsiTheme="minorHAnsi" w:cstheme="minorHAnsi"/>
          <w:bCs/>
          <w:i/>
          <w:sz w:val="22"/>
          <w:szCs w:val="22"/>
        </w:rPr>
      </w:pPr>
      <w:r w:rsidRPr="00196093">
        <w:rPr>
          <w:rFonts w:asciiTheme="minorHAnsi" w:hAnsiTheme="minorHAnsi" w:cstheme="minorHAnsi"/>
          <w:bCs/>
          <w:sz w:val="22"/>
          <w:szCs w:val="22"/>
        </w:rPr>
        <w:t xml:space="preserve">Disbursements for </w:t>
      </w:r>
      <w:r w:rsidR="00B67304">
        <w:rPr>
          <w:rFonts w:asciiTheme="minorHAnsi" w:hAnsiTheme="minorHAnsi" w:cstheme="minorHAnsi"/>
          <w:bCs/>
          <w:sz w:val="22"/>
          <w:szCs w:val="22"/>
        </w:rPr>
        <w:t>C</w:t>
      </w:r>
      <w:r w:rsidRPr="00196093">
        <w:rPr>
          <w:rFonts w:asciiTheme="minorHAnsi" w:hAnsiTheme="minorHAnsi" w:cstheme="minorHAnsi"/>
          <w:bCs/>
          <w:sz w:val="22"/>
          <w:szCs w:val="22"/>
        </w:rPr>
        <w:t xml:space="preserve">omponent 3 which </w:t>
      </w:r>
      <w:r w:rsidRPr="004772B3">
        <w:rPr>
          <w:rFonts w:asciiTheme="minorHAnsi" w:hAnsiTheme="minorHAnsi" w:cstheme="minorHAnsi"/>
          <w:bCs/>
          <w:sz w:val="22"/>
          <w:szCs w:val="22"/>
        </w:rPr>
        <w:t xml:space="preserve">will be managed by the managed by the PCU for overall project management and coordination shall be transactions-based. The World Bank will disburse loan proceeds to the </w:t>
      </w:r>
      <w:r w:rsidR="00E854BC">
        <w:rPr>
          <w:rFonts w:asciiTheme="minorHAnsi" w:hAnsiTheme="minorHAnsi" w:cstheme="minorHAnsi"/>
          <w:bCs/>
          <w:sz w:val="22"/>
          <w:szCs w:val="22"/>
        </w:rPr>
        <w:t>MoF</w:t>
      </w:r>
      <w:r w:rsidRPr="004772B3">
        <w:rPr>
          <w:rFonts w:asciiTheme="minorHAnsi" w:hAnsiTheme="minorHAnsi" w:cstheme="minorHAnsi"/>
          <w:bCs/>
          <w:sz w:val="22"/>
          <w:szCs w:val="22"/>
        </w:rPr>
        <w:t xml:space="preserve"> into a DA denominated in US dollars, maintained at the Central Bank of </w:t>
      </w:r>
      <w:r w:rsidR="00D1429B">
        <w:rPr>
          <w:rFonts w:asciiTheme="minorHAnsi" w:hAnsiTheme="minorHAnsi" w:cstheme="minorHAnsi"/>
          <w:bCs/>
          <w:sz w:val="22"/>
          <w:szCs w:val="22"/>
        </w:rPr>
        <w:t>T</w:t>
      </w:r>
      <w:r w:rsidRPr="004772B3">
        <w:rPr>
          <w:rFonts w:asciiTheme="minorHAnsi" w:hAnsiTheme="minorHAnsi" w:cstheme="minorHAnsi"/>
          <w:bCs/>
          <w:sz w:val="22"/>
          <w:szCs w:val="22"/>
        </w:rPr>
        <w:t xml:space="preserve">he Gambia for Component 3. </w:t>
      </w:r>
    </w:p>
    <w:p w14:paraId="05096EE5" w14:textId="77777777" w:rsidR="003E66A9" w:rsidRPr="000C46A6"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0C46A6">
        <w:rPr>
          <w:rFonts w:asciiTheme="minorHAnsi" w:hAnsiTheme="minorHAnsi" w:cstheme="minorHAnsi"/>
          <w:bCs/>
          <w:sz w:val="22"/>
          <w:szCs w:val="22"/>
        </w:rPr>
        <w:t>Disbursements would be transactions based whereby withdrawal applications will be supported with S</w:t>
      </w:r>
      <w:r w:rsidR="00B04A2E">
        <w:rPr>
          <w:rFonts w:asciiTheme="minorHAnsi" w:hAnsiTheme="minorHAnsi" w:cstheme="minorHAnsi"/>
          <w:bCs/>
          <w:sz w:val="22"/>
          <w:szCs w:val="22"/>
        </w:rPr>
        <w:t>o</w:t>
      </w:r>
      <w:r w:rsidRPr="000C46A6">
        <w:rPr>
          <w:rFonts w:asciiTheme="minorHAnsi" w:hAnsiTheme="minorHAnsi" w:cstheme="minorHAnsi"/>
          <w:bCs/>
          <w:sz w:val="22"/>
          <w:szCs w:val="22"/>
        </w:rPr>
        <w:t xml:space="preserve">E.  Overall disbursement arrangements will follow standard disbursement policies and procedures established in the Disbursement Guidelines for </w:t>
      </w:r>
      <w:r w:rsidR="00C00B64">
        <w:rPr>
          <w:rFonts w:asciiTheme="minorHAnsi" w:hAnsiTheme="minorHAnsi" w:cstheme="minorHAnsi"/>
          <w:bCs/>
          <w:sz w:val="22"/>
          <w:szCs w:val="22"/>
        </w:rPr>
        <w:t>IPF</w:t>
      </w:r>
      <w:r w:rsidRPr="000C46A6">
        <w:rPr>
          <w:rFonts w:asciiTheme="minorHAnsi" w:hAnsiTheme="minorHAnsi" w:cstheme="minorHAnsi"/>
          <w:bCs/>
          <w:sz w:val="22"/>
          <w:szCs w:val="22"/>
        </w:rPr>
        <w:t xml:space="preserve"> dated February 2017, and in the </w:t>
      </w:r>
      <w:r w:rsidR="00E00B72">
        <w:rPr>
          <w:rFonts w:asciiTheme="minorHAnsi" w:hAnsiTheme="minorHAnsi" w:cstheme="minorHAnsi"/>
          <w:bCs/>
          <w:sz w:val="22"/>
          <w:szCs w:val="22"/>
        </w:rPr>
        <w:t>DFIL</w:t>
      </w:r>
      <w:r w:rsidRPr="000C46A6">
        <w:rPr>
          <w:rFonts w:asciiTheme="minorHAnsi" w:hAnsiTheme="minorHAnsi" w:cstheme="minorHAnsi"/>
          <w:bCs/>
          <w:sz w:val="22"/>
          <w:szCs w:val="22"/>
        </w:rPr>
        <w:t xml:space="preserve"> of the Project.</w:t>
      </w:r>
      <w:r w:rsidR="00700FB0" w:rsidRPr="000C46A6">
        <w:rPr>
          <w:rFonts w:asciiTheme="minorHAnsi" w:hAnsiTheme="minorHAnsi" w:cstheme="minorHAnsi"/>
          <w:bCs/>
          <w:sz w:val="22"/>
          <w:szCs w:val="22"/>
        </w:rPr>
        <w:t xml:space="preserve"> (See Figure A2.2 for the funds flow diagram for the PCU</w:t>
      </w:r>
      <w:r w:rsidR="00615B38" w:rsidRPr="000C46A6">
        <w:rPr>
          <w:rFonts w:asciiTheme="minorHAnsi" w:hAnsiTheme="minorHAnsi" w:cstheme="minorHAnsi"/>
          <w:bCs/>
          <w:sz w:val="22"/>
          <w:szCs w:val="22"/>
        </w:rPr>
        <w:t>-Gambia’s funds</w:t>
      </w:r>
      <w:r w:rsidR="00700FB0" w:rsidRPr="000C46A6">
        <w:rPr>
          <w:rFonts w:asciiTheme="minorHAnsi" w:hAnsiTheme="minorHAnsi" w:cstheme="minorHAnsi"/>
          <w:bCs/>
          <w:sz w:val="22"/>
          <w:szCs w:val="22"/>
        </w:rPr>
        <w:t>)</w:t>
      </w:r>
    </w:p>
    <w:p w14:paraId="55EFFD5D" w14:textId="77777777" w:rsidR="003E66A9" w:rsidRDefault="00B00100" w:rsidP="006C70A5">
      <w:pPr>
        <w:widowControl/>
        <w:numPr>
          <w:ilvl w:val="0"/>
          <w:numId w:val="30"/>
        </w:numPr>
        <w:autoSpaceDE/>
        <w:autoSpaceDN/>
        <w:adjustRightInd/>
        <w:spacing w:after="240"/>
        <w:ind w:right="720" w:firstLine="0"/>
        <w:jc w:val="both"/>
        <w:rPr>
          <w:rFonts w:asciiTheme="minorHAnsi" w:hAnsiTheme="minorHAnsi" w:cstheme="minorHAnsi"/>
          <w:bCs/>
          <w:sz w:val="22"/>
          <w:szCs w:val="22"/>
        </w:rPr>
      </w:pPr>
      <w:r w:rsidRPr="007A6F32">
        <w:rPr>
          <w:rFonts w:asciiTheme="minorHAnsi" w:hAnsiTheme="minorHAnsi" w:cstheme="minorHAnsi"/>
          <w:bCs/>
          <w:sz w:val="22"/>
          <w:szCs w:val="22"/>
        </w:rPr>
        <w:t>The authorized signatories of each participating country will sign and submit withdrawal applications electronically through the World Bank’s Client Connection website.</w:t>
      </w:r>
    </w:p>
    <w:p w14:paraId="72D7BF22" w14:textId="77777777" w:rsidR="003E66A9" w:rsidRPr="002E1A3F" w:rsidRDefault="00B00100" w:rsidP="00FC1A97">
      <w:pPr>
        <w:keepNext/>
        <w:keepLines/>
        <w:widowControl/>
        <w:autoSpaceDE/>
        <w:autoSpaceDN/>
        <w:adjustRightInd/>
        <w:spacing w:after="120"/>
        <w:ind w:left="900"/>
        <w:jc w:val="center"/>
        <w:rPr>
          <w:rFonts w:ascii="Calibri" w:eastAsia="Batang" w:hAnsi="Calibri" w:cs="Times New Roman"/>
          <w:color w:val="auto"/>
          <w:sz w:val="22"/>
          <w:szCs w:val="22"/>
          <w:lang w:eastAsia="ko-KR"/>
        </w:rPr>
      </w:pPr>
      <w:r w:rsidRPr="002E1A3F">
        <w:rPr>
          <w:rFonts w:ascii="Calibri" w:eastAsia="Calibri" w:hAnsi="Calibri" w:cs="Times New Roman"/>
          <w:b/>
          <w:color w:val="auto"/>
          <w:sz w:val="22"/>
          <w:szCs w:val="22"/>
        </w:rPr>
        <w:t>Figure A2.</w:t>
      </w:r>
      <w:r>
        <w:rPr>
          <w:rFonts w:ascii="Calibri" w:eastAsia="Calibri" w:hAnsi="Calibri" w:cs="Times New Roman"/>
          <w:b/>
          <w:color w:val="auto"/>
          <w:sz w:val="22"/>
          <w:szCs w:val="22"/>
        </w:rPr>
        <w:t>2</w:t>
      </w:r>
      <w:r w:rsidRPr="002E1A3F">
        <w:rPr>
          <w:rFonts w:ascii="Calibri" w:eastAsia="Calibri" w:hAnsi="Calibri" w:cs="Times New Roman"/>
          <w:b/>
          <w:color w:val="auto"/>
          <w:sz w:val="22"/>
          <w:szCs w:val="22"/>
        </w:rPr>
        <w:t xml:space="preserve">. </w:t>
      </w:r>
      <w:r w:rsidRPr="002E1A3F">
        <w:rPr>
          <w:rFonts w:ascii="Calibri" w:eastAsia="Calibri" w:hAnsi="Calibri" w:cs="Times New Roman"/>
          <w:b/>
          <w:i/>
          <w:color w:val="auto"/>
          <w:sz w:val="22"/>
          <w:szCs w:val="22"/>
        </w:rPr>
        <w:t xml:space="preserve">Funds </w:t>
      </w:r>
      <w:r w:rsidR="00014B08">
        <w:rPr>
          <w:rFonts w:ascii="Calibri" w:eastAsia="Calibri" w:hAnsi="Calibri" w:cs="Times New Roman"/>
          <w:b/>
          <w:i/>
          <w:color w:val="auto"/>
          <w:sz w:val="22"/>
          <w:szCs w:val="22"/>
        </w:rPr>
        <w:t>F</w:t>
      </w:r>
      <w:r w:rsidRPr="002E1A3F">
        <w:rPr>
          <w:rFonts w:ascii="Calibri" w:eastAsia="Calibri" w:hAnsi="Calibri" w:cs="Times New Roman"/>
          <w:b/>
          <w:i/>
          <w:color w:val="auto"/>
          <w:sz w:val="22"/>
          <w:szCs w:val="22"/>
        </w:rPr>
        <w:t xml:space="preserve">low </w:t>
      </w:r>
      <w:r w:rsidR="00014B08">
        <w:rPr>
          <w:rFonts w:ascii="Calibri" w:eastAsia="Calibri" w:hAnsi="Calibri" w:cs="Times New Roman"/>
          <w:b/>
          <w:i/>
          <w:color w:val="auto"/>
          <w:sz w:val="22"/>
          <w:szCs w:val="22"/>
        </w:rPr>
        <w:t>D</w:t>
      </w:r>
      <w:r w:rsidRPr="002E1A3F">
        <w:rPr>
          <w:rFonts w:ascii="Calibri" w:eastAsia="Calibri" w:hAnsi="Calibri" w:cs="Times New Roman"/>
          <w:b/>
          <w:i/>
          <w:color w:val="auto"/>
          <w:sz w:val="22"/>
          <w:szCs w:val="22"/>
        </w:rPr>
        <w:t>iagram for Component 3</w:t>
      </w:r>
      <w:r w:rsidRPr="002E1A3F">
        <w:rPr>
          <w:rFonts w:ascii="Calibri" w:eastAsia="Calibri" w:hAnsi="Calibri" w:cs="Times New Roman"/>
          <w:b/>
          <w:color w:val="auto"/>
          <w:sz w:val="22"/>
          <w:szCs w:val="22"/>
        </w:rPr>
        <w:t xml:space="preserve"> </w:t>
      </w:r>
    </w:p>
    <w:p w14:paraId="59CC8033" w14:textId="77777777" w:rsidR="003E66A9" w:rsidRPr="002E1A3F" w:rsidRDefault="00B00100" w:rsidP="008E2709">
      <w:pPr>
        <w:keepNext/>
        <w:keepLines/>
        <w:widowControl/>
        <w:autoSpaceDE/>
        <w:autoSpaceDN/>
        <w:adjustRightInd/>
        <w:spacing w:after="120"/>
        <w:ind w:left="360"/>
        <w:contextualSpacing/>
        <w:jc w:val="center"/>
        <w:rPr>
          <w:rFonts w:ascii="Batang" w:eastAsia="Batang" w:hAnsi="Batang" w:cs="Batang"/>
          <w:b/>
          <w:color w:val="auto"/>
          <w:sz w:val="22"/>
          <w:szCs w:val="22"/>
          <w:lang w:eastAsia="ko-KR"/>
        </w:rPr>
      </w:pPr>
      <w:r>
        <w:rPr>
          <w:rFonts w:ascii="Batang" w:eastAsia="Batang" w:hAnsi="Batang" w:cs="Batang"/>
          <w:b/>
          <w:noProof/>
          <w:color w:val="auto"/>
          <w:sz w:val="22"/>
          <w:szCs w:val="22"/>
          <w:lang w:eastAsia="ko-KR"/>
        </w:rPr>
        <w:drawing>
          <wp:inline distT="0" distB="0" distL="0" distR="0" wp14:anchorId="21932FFB" wp14:editId="26A47C2A">
            <wp:extent cx="4062095" cy="2476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0616" name="Picture 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062095" cy="2476500"/>
                    </a:xfrm>
                    <a:prstGeom prst="rect">
                      <a:avLst/>
                    </a:prstGeom>
                    <a:noFill/>
                  </pic:spPr>
                </pic:pic>
              </a:graphicData>
            </a:graphic>
          </wp:inline>
        </w:drawing>
      </w:r>
    </w:p>
    <w:p w14:paraId="155F0051" w14:textId="77777777" w:rsidR="00FA0D4F" w:rsidRDefault="00FA0D4F" w:rsidP="009D0F8E">
      <w:pPr>
        <w:pStyle w:val="ListParagraph"/>
        <w:ind w:left="360"/>
        <w:jc w:val="both"/>
        <w:rPr>
          <w:rFonts w:ascii="Calibri" w:eastAsia="Batang" w:hAnsi="Calibri" w:cs="Times New Roman"/>
          <w:b/>
          <w:color w:val="auto"/>
          <w:sz w:val="22"/>
          <w:szCs w:val="22"/>
          <w:lang w:eastAsia="ko-KR"/>
        </w:rPr>
      </w:pPr>
    </w:p>
    <w:p w14:paraId="789BEA74" w14:textId="77777777" w:rsidR="003E66A9" w:rsidRDefault="00B00100" w:rsidP="00F62E72">
      <w:pPr>
        <w:pStyle w:val="ListParagraph"/>
        <w:ind w:left="360"/>
        <w:jc w:val="both"/>
        <w:rPr>
          <w:rFonts w:ascii="Calibri" w:eastAsia="Batang" w:hAnsi="Calibri" w:cs="Times New Roman"/>
          <w:b/>
          <w:color w:val="auto"/>
          <w:sz w:val="22"/>
          <w:szCs w:val="22"/>
          <w:lang w:eastAsia="ko-KR"/>
        </w:rPr>
      </w:pPr>
      <w:r>
        <w:rPr>
          <w:rFonts w:ascii="Calibri" w:eastAsia="Batang" w:hAnsi="Calibri" w:cs="Times New Roman"/>
          <w:b/>
          <w:color w:val="auto"/>
          <w:sz w:val="22"/>
          <w:szCs w:val="22"/>
          <w:lang w:eastAsia="ko-KR"/>
        </w:rPr>
        <w:t>i</w:t>
      </w:r>
      <w:r w:rsidR="00FB4CA6" w:rsidRPr="007A6F32">
        <w:rPr>
          <w:rFonts w:ascii="Calibri" w:eastAsia="Batang" w:hAnsi="Calibri" w:cs="Times New Roman"/>
          <w:b/>
          <w:color w:val="auto"/>
          <w:sz w:val="22"/>
          <w:szCs w:val="22"/>
          <w:lang w:eastAsia="ko-KR"/>
        </w:rPr>
        <w:t>cipe</w:t>
      </w:r>
    </w:p>
    <w:p w14:paraId="107E6BD7" w14:textId="77777777" w:rsidR="00B059D8" w:rsidRDefault="00B00100" w:rsidP="006C70A5">
      <w:pPr>
        <w:widowControl/>
        <w:numPr>
          <w:ilvl w:val="0"/>
          <w:numId w:val="30"/>
        </w:numPr>
        <w:autoSpaceDE/>
        <w:autoSpaceDN/>
        <w:adjustRightInd/>
        <w:ind w:right="720" w:firstLine="0"/>
        <w:jc w:val="both"/>
        <w:rPr>
          <w:rFonts w:ascii="Calibri" w:eastAsia="Batang" w:hAnsi="Calibri" w:cs="Times New Roman"/>
          <w:color w:val="auto"/>
          <w:sz w:val="22"/>
          <w:szCs w:val="22"/>
          <w:lang w:eastAsia="ko-KR"/>
        </w:rPr>
      </w:pPr>
      <w:r w:rsidRPr="002E1A3F">
        <w:rPr>
          <w:rFonts w:ascii="Calibri" w:eastAsia="Batang" w:hAnsi="Calibri" w:cs="Times New Roman"/>
          <w:color w:val="auto"/>
          <w:sz w:val="22"/>
          <w:szCs w:val="22"/>
          <w:lang w:eastAsia="ko-KR"/>
        </w:rPr>
        <w:t xml:space="preserve">Under </w:t>
      </w:r>
      <w:r w:rsidR="009A45AF">
        <w:rPr>
          <w:rFonts w:ascii="Calibri" w:eastAsia="Batang" w:hAnsi="Calibri" w:cs="Times New Roman"/>
          <w:color w:val="auto"/>
          <w:sz w:val="22"/>
          <w:szCs w:val="22"/>
          <w:lang w:eastAsia="ko-KR"/>
        </w:rPr>
        <w:t>S</w:t>
      </w:r>
      <w:r w:rsidRPr="002E1A3F">
        <w:rPr>
          <w:rFonts w:ascii="Calibri" w:eastAsia="Batang" w:hAnsi="Calibri" w:cs="Times New Roman"/>
          <w:color w:val="auto"/>
          <w:sz w:val="22"/>
          <w:szCs w:val="22"/>
          <w:lang w:eastAsia="ko-KR"/>
        </w:rPr>
        <w:t xml:space="preserve">ub-component 2.2, funds will be disbursed against the submission of reports and confirmation by the implementing entity of the scholarship fund (General or Permanent Fund) that all conditions precedent to the disbursement of the funds have been met pursuant to agreements signed between the participating countries and the implementing entity of the Funds, </w:t>
      </w:r>
      <w:r w:rsidR="00074E2A">
        <w:rPr>
          <w:rFonts w:ascii="Calibri" w:eastAsia="Batang" w:hAnsi="Calibri" w:cs="Times New Roman"/>
          <w:color w:val="auto"/>
          <w:sz w:val="22"/>
          <w:szCs w:val="22"/>
          <w:lang w:eastAsia="ko-KR"/>
        </w:rPr>
        <w:t>i</w:t>
      </w:r>
      <w:r w:rsidRPr="007A6F32">
        <w:rPr>
          <w:rFonts w:ascii="Calibri" w:eastAsia="Batang" w:hAnsi="Calibri" w:cs="Times New Roman"/>
          <w:color w:val="auto"/>
          <w:sz w:val="22"/>
          <w:szCs w:val="22"/>
          <w:lang w:eastAsia="ko-KR"/>
        </w:rPr>
        <w:t>cipe</w:t>
      </w:r>
      <w:r w:rsidRPr="002E1A3F">
        <w:rPr>
          <w:rFonts w:ascii="Calibri" w:eastAsia="Batang" w:hAnsi="Calibri" w:cs="Times New Roman"/>
          <w:color w:val="auto"/>
          <w:sz w:val="22"/>
          <w:szCs w:val="22"/>
          <w:lang w:eastAsia="ko-KR"/>
        </w:rPr>
        <w:t xml:space="preserve">, will ensure funds are allocated to the scholarship window. </w:t>
      </w:r>
      <w:r w:rsidR="00615B38">
        <w:rPr>
          <w:rFonts w:ascii="Calibri" w:eastAsia="Batang" w:hAnsi="Calibri" w:cs="Times New Roman"/>
          <w:color w:val="auto"/>
          <w:sz w:val="22"/>
          <w:szCs w:val="22"/>
          <w:lang w:eastAsia="ko-KR"/>
        </w:rPr>
        <w:t xml:space="preserve">See figure A2.3 below </w:t>
      </w:r>
      <w:r w:rsidR="0035552A">
        <w:rPr>
          <w:rFonts w:ascii="Calibri" w:eastAsia="Batang" w:hAnsi="Calibri" w:cs="Times New Roman"/>
          <w:color w:val="auto"/>
          <w:sz w:val="22"/>
          <w:szCs w:val="22"/>
          <w:lang w:eastAsia="ko-KR"/>
        </w:rPr>
        <w:t xml:space="preserve">for </w:t>
      </w:r>
      <w:r w:rsidR="00615B38">
        <w:rPr>
          <w:rFonts w:ascii="Calibri" w:eastAsia="Batang" w:hAnsi="Calibri" w:cs="Times New Roman"/>
          <w:color w:val="auto"/>
          <w:sz w:val="22"/>
          <w:szCs w:val="22"/>
          <w:lang w:eastAsia="ko-KR"/>
        </w:rPr>
        <w:t>the funds flow diagram for icipe</w:t>
      </w:r>
      <w:r w:rsidR="00514F3E">
        <w:rPr>
          <w:rFonts w:ascii="Calibri" w:eastAsia="Batang" w:hAnsi="Calibri" w:cs="Times New Roman"/>
          <w:color w:val="auto"/>
          <w:sz w:val="22"/>
          <w:szCs w:val="22"/>
          <w:lang w:eastAsia="ko-KR"/>
        </w:rPr>
        <w:t>.</w:t>
      </w:r>
    </w:p>
    <w:p w14:paraId="5CFBC8C8" w14:textId="77777777" w:rsidR="00EF2FAE" w:rsidRDefault="00EF2FAE" w:rsidP="00FC1A97">
      <w:pPr>
        <w:pStyle w:val="ListParagraph"/>
        <w:widowControl/>
        <w:autoSpaceDE/>
        <w:autoSpaceDN/>
        <w:adjustRightInd/>
        <w:ind w:left="360"/>
        <w:jc w:val="center"/>
        <w:rPr>
          <w:rFonts w:ascii="Calibri" w:eastAsia="Batang" w:hAnsi="Calibri" w:cs="Times New Roman"/>
          <w:color w:val="auto"/>
          <w:sz w:val="22"/>
          <w:szCs w:val="22"/>
          <w:lang w:eastAsia="ko-KR"/>
        </w:rPr>
      </w:pPr>
    </w:p>
    <w:p w14:paraId="42528AE8" w14:textId="77777777" w:rsidR="00EF2FAE" w:rsidRDefault="00EF2FAE" w:rsidP="003247A0">
      <w:pPr>
        <w:widowControl/>
        <w:autoSpaceDE/>
        <w:autoSpaceDN/>
        <w:adjustRightInd/>
        <w:ind w:right="720"/>
        <w:jc w:val="both"/>
        <w:rPr>
          <w:rFonts w:ascii="Calibri" w:eastAsia="Batang" w:hAnsi="Calibri" w:cs="Times New Roman"/>
          <w:color w:val="auto"/>
          <w:sz w:val="22"/>
          <w:szCs w:val="22"/>
          <w:lang w:eastAsia="ko-KR"/>
        </w:rPr>
      </w:pPr>
    </w:p>
    <w:p w14:paraId="12FF7E86" w14:textId="77777777" w:rsidR="00121073" w:rsidRDefault="00121073" w:rsidP="003247A0">
      <w:pPr>
        <w:pStyle w:val="ListParagraph"/>
        <w:widowControl/>
        <w:autoSpaceDE/>
        <w:autoSpaceDN/>
        <w:adjustRightInd/>
        <w:spacing w:after="120"/>
        <w:ind w:left="360"/>
        <w:jc w:val="center"/>
        <w:rPr>
          <w:rFonts w:ascii="Calibri" w:eastAsia="Calibri" w:hAnsi="Calibri" w:cs="Times New Roman"/>
          <w:b/>
          <w:color w:val="auto"/>
          <w:sz w:val="20"/>
          <w:szCs w:val="20"/>
        </w:rPr>
      </w:pPr>
    </w:p>
    <w:p w14:paraId="4EDAF673" w14:textId="77777777" w:rsidR="00121073" w:rsidRDefault="00121073" w:rsidP="003247A0">
      <w:pPr>
        <w:pStyle w:val="ListParagraph"/>
        <w:widowControl/>
        <w:autoSpaceDE/>
        <w:autoSpaceDN/>
        <w:adjustRightInd/>
        <w:spacing w:after="120"/>
        <w:ind w:left="360"/>
        <w:jc w:val="center"/>
        <w:rPr>
          <w:rFonts w:ascii="Calibri" w:eastAsia="Calibri" w:hAnsi="Calibri" w:cs="Times New Roman"/>
          <w:b/>
          <w:color w:val="auto"/>
          <w:sz w:val="20"/>
          <w:szCs w:val="20"/>
        </w:rPr>
      </w:pPr>
    </w:p>
    <w:p w14:paraId="142602BA" w14:textId="77777777" w:rsidR="00121073" w:rsidRDefault="00121073" w:rsidP="003247A0">
      <w:pPr>
        <w:pStyle w:val="ListParagraph"/>
        <w:widowControl/>
        <w:autoSpaceDE/>
        <w:autoSpaceDN/>
        <w:adjustRightInd/>
        <w:spacing w:after="120"/>
        <w:ind w:left="360"/>
        <w:jc w:val="center"/>
        <w:rPr>
          <w:rFonts w:ascii="Calibri" w:eastAsia="Calibri" w:hAnsi="Calibri" w:cs="Times New Roman"/>
          <w:b/>
          <w:color w:val="auto"/>
          <w:sz w:val="20"/>
          <w:szCs w:val="20"/>
        </w:rPr>
      </w:pPr>
    </w:p>
    <w:p w14:paraId="5F8D0526" w14:textId="77777777" w:rsidR="00121073" w:rsidRDefault="00121073" w:rsidP="003247A0">
      <w:pPr>
        <w:pStyle w:val="ListParagraph"/>
        <w:widowControl/>
        <w:autoSpaceDE/>
        <w:autoSpaceDN/>
        <w:adjustRightInd/>
        <w:spacing w:after="120"/>
        <w:ind w:left="360"/>
        <w:jc w:val="center"/>
        <w:rPr>
          <w:rFonts w:ascii="Calibri" w:eastAsia="Calibri" w:hAnsi="Calibri" w:cs="Times New Roman"/>
          <w:b/>
          <w:color w:val="auto"/>
          <w:sz w:val="20"/>
          <w:szCs w:val="20"/>
        </w:rPr>
      </w:pPr>
    </w:p>
    <w:p w14:paraId="73A7AF7C" w14:textId="40D8FDCA" w:rsidR="003E66A9" w:rsidRPr="006A7AE4" w:rsidRDefault="00B00100" w:rsidP="003247A0">
      <w:pPr>
        <w:pStyle w:val="ListParagraph"/>
        <w:widowControl/>
        <w:autoSpaceDE/>
        <w:autoSpaceDN/>
        <w:adjustRightInd/>
        <w:spacing w:after="120"/>
        <w:ind w:left="360"/>
        <w:jc w:val="center"/>
        <w:rPr>
          <w:rFonts w:ascii="Calibri" w:eastAsia="Batang" w:hAnsi="Calibri" w:cs="Times New Roman"/>
          <w:color w:val="auto"/>
          <w:sz w:val="20"/>
          <w:szCs w:val="20"/>
          <w:lang w:eastAsia="ko-KR"/>
        </w:rPr>
      </w:pPr>
      <w:r w:rsidRPr="006A7AE4">
        <w:rPr>
          <w:rFonts w:ascii="Calibri" w:eastAsia="Calibri" w:hAnsi="Calibri" w:cs="Times New Roman"/>
          <w:b/>
          <w:color w:val="auto"/>
          <w:sz w:val="20"/>
          <w:szCs w:val="20"/>
        </w:rPr>
        <w:t>F</w:t>
      </w:r>
      <w:r w:rsidRPr="006A7AE4">
        <w:rPr>
          <w:rFonts w:ascii="Calibri" w:eastAsia="Calibri" w:hAnsi="Calibri" w:cs="Times New Roman"/>
          <w:b/>
          <w:color w:val="auto"/>
          <w:sz w:val="22"/>
          <w:szCs w:val="22"/>
        </w:rPr>
        <w:t>igure A2.</w:t>
      </w:r>
      <w:r>
        <w:rPr>
          <w:rFonts w:ascii="Calibri" w:eastAsia="Calibri" w:hAnsi="Calibri" w:cs="Times New Roman"/>
          <w:b/>
          <w:color w:val="auto"/>
          <w:sz w:val="22"/>
          <w:szCs w:val="22"/>
        </w:rPr>
        <w:t>3</w:t>
      </w:r>
      <w:r w:rsidRPr="006A7AE4">
        <w:rPr>
          <w:rFonts w:ascii="Calibri" w:eastAsia="Calibri" w:hAnsi="Calibri" w:cs="Times New Roman"/>
          <w:b/>
          <w:color w:val="auto"/>
          <w:sz w:val="22"/>
          <w:szCs w:val="22"/>
        </w:rPr>
        <w:t xml:space="preserve">. </w:t>
      </w:r>
      <w:r w:rsidRPr="006A7AE4">
        <w:rPr>
          <w:rFonts w:ascii="Calibri" w:eastAsia="Calibri" w:hAnsi="Calibri" w:cs="Times New Roman"/>
          <w:b/>
          <w:i/>
          <w:color w:val="auto"/>
          <w:sz w:val="22"/>
          <w:szCs w:val="22"/>
        </w:rPr>
        <w:t xml:space="preserve">Funds </w:t>
      </w:r>
      <w:r w:rsidR="00014B08">
        <w:rPr>
          <w:rFonts w:ascii="Calibri" w:eastAsia="Calibri" w:hAnsi="Calibri" w:cs="Times New Roman"/>
          <w:b/>
          <w:i/>
          <w:color w:val="auto"/>
          <w:sz w:val="22"/>
          <w:szCs w:val="22"/>
        </w:rPr>
        <w:t>F</w:t>
      </w:r>
      <w:r w:rsidRPr="006A7AE4">
        <w:rPr>
          <w:rFonts w:ascii="Calibri" w:eastAsia="Calibri" w:hAnsi="Calibri" w:cs="Times New Roman"/>
          <w:b/>
          <w:i/>
          <w:color w:val="auto"/>
          <w:sz w:val="22"/>
          <w:szCs w:val="22"/>
        </w:rPr>
        <w:t xml:space="preserve">low </w:t>
      </w:r>
      <w:r w:rsidR="00014B08">
        <w:rPr>
          <w:rFonts w:ascii="Calibri" w:eastAsia="Calibri" w:hAnsi="Calibri" w:cs="Times New Roman"/>
          <w:b/>
          <w:i/>
          <w:color w:val="auto"/>
          <w:sz w:val="22"/>
          <w:szCs w:val="22"/>
        </w:rPr>
        <w:t>D</w:t>
      </w:r>
      <w:r w:rsidRPr="006A7AE4">
        <w:rPr>
          <w:rFonts w:ascii="Calibri" w:eastAsia="Calibri" w:hAnsi="Calibri" w:cs="Times New Roman"/>
          <w:b/>
          <w:i/>
          <w:color w:val="auto"/>
          <w:sz w:val="22"/>
          <w:szCs w:val="22"/>
        </w:rPr>
        <w:t>iagram for Sub-component 2.2</w:t>
      </w:r>
    </w:p>
    <w:p w14:paraId="030413A6" w14:textId="77777777" w:rsidR="000E2725" w:rsidRDefault="000E2725" w:rsidP="003C7D1F">
      <w:pPr>
        <w:pStyle w:val="ListParagraph"/>
        <w:widowControl/>
        <w:autoSpaceDE/>
        <w:autoSpaceDN/>
        <w:adjustRightInd/>
        <w:spacing w:after="120"/>
        <w:ind w:left="360"/>
        <w:jc w:val="center"/>
        <w:rPr>
          <w:rFonts w:ascii="Calibri" w:eastAsia="Batang" w:hAnsi="Calibri" w:cs="Times New Roman"/>
          <w:color w:val="auto"/>
          <w:sz w:val="22"/>
          <w:szCs w:val="22"/>
          <w:lang w:eastAsia="ko-KR"/>
        </w:rPr>
      </w:pPr>
    </w:p>
    <w:p w14:paraId="4E72747C" w14:textId="77777777" w:rsidR="00B26511" w:rsidRPr="006A7AE4" w:rsidRDefault="00B00100" w:rsidP="003C7D1F">
      <w:pPr>
        <w:pStyle w:val="ListParagraph"/>
        <w:widowControl/>
        <w:autoSpaceDE/>
        <w:autoSpaceDN/>
        <w:adjustRightInd/>
        <w:spacing w:after="120"/>
        <w:ind w:left="360"/>
        <w:jc w:val="center"/>
        <w:rPr>
          <w:rFonts w:ascii="Calibri" w:eastAsia="Batang" w:hAnsi="Calibri" w:cs="Times New Roman"/>
          <w:color w:val="auto"/>
          <w:sz w:val="22"/>
          <w:szCs w:val="22"/>
          <w:lang w:eastAsia="ko-KR"/>
        </w:rPr>
      </w:pPr>
      <w:r w:rsidRPr="002E1A3F">
        <w:rPr>
          <w:rFonts w:eastAsia="Batang"/>
          <w:noProof/>
        </w:rPr>
        <w:drawing>
          <wp:inline distT="0" distB="0" distL="0" distR="0" wp14:anchorId="0F3C11C8" wp14:editId="0E82D3D1">
            <wp:extent cx="3575183" cy="1452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11733" name="Picture 1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576890" cy="1453574"/>
                    </a:xfrm>
                    <a:prstGeom prst="rect">
                      <a:avLst/>
                    </a:prstGeom>
                    <a:noFill/>
                  </pic:spPr>
                </pic:pic>
              </a:graphicData>
            </a:graphic>
          </wp:inline>
        </w:drawing>
      </w:r>
    </w:p>
    <w:p w14:paraId="17EBA732" w14:textId="77777777" w:rsidR="00FA0D4F" w:rsidRDefault="00FA0D4F" w:rsidP="00AB0938">
      <w:pPr>
        <w:widowControl/>
        <w:autoSpaceDE/>
        <w:autoSpaceDN/>
        <w:adjustRightInd/>
        <w:spacing w:after="240"/>
        <w:ind w:right="720"/>
        <w:jc w:val="center"/>
        <w:rPr>
          <w:rFonts w:asciiTheme="minorHAnsi" w:eastAsia="Arial Unicode MS" w:hAnsiTheme="minorHAnsi" w:cstheme="minorHAnsi"/>
          <w:b/>
          <w:iCs/>
          <w:sz w:val="22"/>
          <w:szCs w:val="22"/>
          <w:bdr w:val="none" w:sz="0" w:space="0" w:color="auto" w:frame="1"/>
        </w:rPr>
      </w:pPr>
    </w:p>
    <w:p w14:paraId="4679F418" w14:textId="77777777" w:rsidR="003E66A9" w:rsidRPr="00E114F3" w:rsidRDefault="00B00100" w:rsidP="00B22FEF">
      <w:pPr>
        <w:widowControl/>
        <w:autoSpaceDE/>
        <w:autoSpaceDN/>
        <w:adjustRightInd/>
        <w:spacing w:after="240"/>
        <w:ind w:right="720"/>
        <w:jc w:val="center"/>
        <w:rPr>
          <w:rFonts w:asciiTheme="minorHAnsi" w:eastAsia="Arial Unicode MS" w:hAnsiTheme="minorHAnsi" w:cstheme="minorHAnsi"/>
          <w:b/>
          <w:iCs/>
          <w:sz w:val="22"/>
          <w:szCs w:val="22"/>
          <w:bdr w:val="none" w:sz="0" w:space="0" w:color="auto" w:frame="1"/>
        </w:rPr>
      </w:pPr>
      <w:r>
        <w:rPr>
          <w:rFonts w:asciiTheme="minorHAnsi" w:eastAsia="Arial Unicode MS" w:hAnsiTheme="minorHAnsi" w:cstheme="minorHAnsi"/>
          <w:b/>
          <w:iCs/>
          <w:sz w:val="22"/>
          <w:szCs w:val="22"/>
          <w:bdr w:val="none" w:sz="0" w:space="0" w:color="auto" w:frame="1"/>
        </w:rPr>
        <w:t>Country Allocation (IDA Sources only)</w:t>
      </w:r>
    </w:p>
    <w:p w14:paraId="4F9608C5" w14:textId="77777777" w:rsidR="00F21CFB" w:rsidRDefault="00B00100" w:rsidP="00BF7B75">
      <w:pPr>
        <w:spacing w:after="120"/>
        <w:ind w:left="-270" w:right="-270"/>
        <w:jc w:val="center"/>
        <w:rPr>
          <w:rFonts w:ascii="Calibri" w:eastAsia="Times New Roman" w:hAnsi="Calibri" w:cs="Calibri"/>
          <w:b/>
          <w:i/>
          <w:sz w:val="22"/>
          <w:szCs w:val="22"/>
        </w:rPr>
      </w:pPr>
      <w:r w:rsidRPr="002E1A3F">
        <w:rPr>
          <w:rFonts w:ascii="Calibri" w:eastAsia="Times New Roman" w:hAnsi="Calibri" w:cs="Calibri"/>
          <w:b/>
          <w:sz w:val="22"/>
          <w:szCs w:val="22"/>
        </w:rPr>
        <w:t>Table A2.</w:t>
      </w:r>
      <w:r>
        <w:rPr>
          <w:rFonts w:ascii="Calibri" w:eastAsia="Times New Roman" w:hAnsi="Calibri" w:cs="Calibri"/>
          <w:b/>
          <w:sz w:val="22"/>
          <w:szCs w:val="22"/>
        </w:rPr>
        <w:t>1</w:t>
      </w:r>
      <w:r w:rsidRPr="002E1A3F">
        <w:rPr>
          <w:rFonts w:ascii="Calibri" w:eastAsia="Times New Roman" w:hAnsi="Calibri" w:cs="Calibri"/>
          <w:b/>
          <w:sz w:val="22"/>
          <w:szCs w:val="22"/>
        </w:rPr>
        <w:t xml:space="preserve">. </w:t>
      </w:r>
      <w:r w:rsidRPr="002E1A3F">
        <w:rPr>
          <w:rFonts w:ascii="Calibri" w:eastAsia="Times New Roman" w:hAnsi="Calibri" w:cs="Calibri"/>
          <w:b/>
          <w:i/>
          <w:sz w:val="22"/>
          <w:szCs w:val="22"/>
        </w:rPr>
        <w:t xml:space="preserve">Summary of </w:t>
      </w:r>
      <w:r>
        <w:rPr>
          <w:rFonts w:ascii="Calibri" w:eastAsia="Times New Roman" w:hAnsi="Calibri" w:cs="Calibri"/>
          <w:b/>
          <w:i/>
          <w:sz w:val="22"/>
          <w:szCs w:val="22"/>
        </w:rPr>
        <w:t>Country IDA allocations</w:t>
      </w:r>
    </w:p>
    <w:tbl>
      <w:tblPr>
        <w:tblW w:w="5480" w:type="dxa"/>
        <w:tblInd w:w="2460" w:type="dxa"/>
        <w:tblLayout w:type="fixed"/>
        <w:tblCellMar>
          <w:left w:w="0" w:type="dxa"/>
          <w:right w:w="0" w:type="dxa"/>
        </w:tblCellMar>
        <w:tblLook w:val="04A0" w:firstRow="1" w:lastRow="0" w:firstColumn="1" w:lastColumn="0" w:noHBand="0" w:noVBand="1"/>
      </w:tblPr>
      <w:tblGrid>
        <w:gridCol w:w="1421"/>
        <w:gridCol w:w="1431"/>
        <w:gridCol w:w="1431"/>
        <w:gridCol w:w="1197"/>
      </w:tblGrid>
      <w:tr w:rsidR="000C3959" w14:paraId="3AB5768D" w14:textId="77777777" w:rsidTr="006C70A5">
        <w:trPr>
          <w:trHeight w:val="182"/>
        </w:trPr>
        <w:tc>
          <w:tcPr>
            <w:tcW w:w="1421" w:type="dxa"/>
            <w:vMerge w:val="restart"/>
            <w:tcBorders>
              <w:top w:val="single" w:sz="8" w:space="0" w:color="auto"/>
              <w:left w:val="single" w:sz="8" w:space="0" w:color="auto"/>
              <w:right w:val="single" w:sz="8" w:space="0" w:color="auto"/>
            </w:tcBorders>
            <w:shd w:val="clear" w:color="auto" w:fill="D0CECE"/>
            <w:tcMar>
              <w:top w:w="0" w:type="dxa"/>
              <w:left w:w="108" w:type="dxa"/>
              <w:bottom w:w="0" w:type="dxa"/>
              <w:right w:w="108" w:type="dxa"/>
            </w:tcMar>
          </w:tcPr>
          <w:p w14:paraId="49DB556B" w14:textId="77777777" w:rsidR="00701B9C" w:rsidRDefault="00B00100" w:rsidP="008E2709">
            <w:pPr>
              <w:widowControl/>
              <w:autoSpaceDE/>
              <w:autoSpaceDN/>
              <w:adjustRightInd/>
              <w:spacing w:after="160"/>
              <w:rPr>
                <w:rFonts w:asciiTheme="minorHAnsi" w:eastAsia="Calibri" w:hAnsiTheme="minorHAnsi" w:cstheme="minorHAnsi"/>
                <w:b/>
                <w:color w:val="auto"/>
                <w:sz w:val="22"/>
                <w:szCs w:val="22"/>
              </w:rPr>
            </w:pPr>
            <w:r w:rsidRPr="00B81291">
              <w:rPr>
                <w:rFonts w:asciiTheme="minorHAnsi" w:eastAsia="Calibri" w:hAnsiTheme="minorHAnsi" w:cstheme="minorHAnsi"/>
                <w:b/>
                <w:color w:val="auto"/>
                <w:sz w:val="22"/>
                <w:szCs w:val="22"/>
              </w:rPr>
              <w:t>Country</w:t>
            </w:r>
            <w:r>
              <w:rPr>
                <w:rFonts w:asciiTheme="minorHAnsi" w:eastAsia="Calibri" w:hAnsiTheme="minorHAnsi" w:cstheme="minorHAnsi"/>
                <w:b/>
                <w:color w:val="auto"/>
                <w:sz w:val="22"/>
                <w:szCs w:val="22"/>
              </w:rPr>
              <w:t>/</w:t>
            </w:r>
          </w:p>
          <w:p w14:paraId="7E68BA44" w14:textId="77777777" w:rsidR="00701B9C" w:rsidRPr="00B81291" w:rsidRDefault="00B00100" w:rsidP="008E2709">
            <w:pPr>
              <w:widowControl/>
              <w:autoSpaceDE/>
              <w:autoSpaceDN/>
              <w:adjustRightInd/>
              <w:spacing w:after="160"/>
              <w:rPr>
                <w:rFonts w:asciiTheme="minorHAnsi" w:eastAsia="Calibri" w:hAnsiTheme="minorHAnsi" w:cstheme="minorHAnsi"/>
                <w:b/>
                <w:color w:val="auto"/>
                <w:sz w:val="22"/>
                <w:szCs w:val="22"/>
              </w:rPr>
            </w:pPr>
            <w:r>
              <w:rPr>
                <w:rFonts w:asciiTheme="minorHAnsi" w:eastAsia="Calibri" w:hAnsiTheme="minorHAnsi" w:cstheme="minorHAnsi"/>
                <w:b/>
                <w:color w:val="auto"/>
                <w:sz w:val="22"/>
                <w:szCs w:val="22"/>
              </w:rPr>
              <w:t>Organization</w:t>
            </w:r>
          </w:p>
        </w:tc>
        <w:tc>
          <w:tcPr>
            <w:tcW w:w="4059" w:type="dxa"/>
            <w:gridSpan w:val="3"/>
            <w:tcBorders>
              <w:top w:val="single" w:sz="8" w:space="0" w:color="auto"/>
              <w:left w:val="nil"/>
              <w:right w:val="single" w:sz="8" w:space="0" w:color="auto"/>
            </w:tcBorders>
            <w:shd w:val="clear" w:color="auto" w:fill="D0CECE"/>
          </w:tcPr>
          <w:p w14:paraId="12BEBF16" w14:textId="77777777" w:rsidR="00701B9C" w:rsidRPr="00B81291" w:rsidRDefault="00B00100">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Source of Funds</w:t>
            </w:r>
          </w:p>
        </w:tc>
      </w:tr>
      <w:tr w:rsidR="000C3959" w14:paraId="1C36491A" w14:textId="77777777" w:rsidTr="006C70A5">
        <w:trPr>
          <w:trHeight w:val="182"/>
        </w:trPr>
        <w:tc>
          <w:tcPr>
            <w:tcW w:w="1421" w:type="dxa"/>
            <w:vMerge/>
            <w:tcBorders>
              <w:left w:val="single" w:sz="8" w:space="0" w:color="auto"/>
              <w:bottom w:val="single" w:sz="4" w:space="0" w:color="auto"/>
              <w:right w:val="single" w:sz="8" w:space="0" w:color="auto"/>
            </w:tcBorders>
            <w:shd w:val="clear" w:color="auto" w:fill="D0CECE"/>
            <w:tcMar>
              <w:top w:w="0" w:type="dxa"/>
              <w:left w:w="108" w:type="dxa"/>
              <w:bottom w:w="0" w:type="dxa"/>
              <w:right w:w="108" w:type="dxa"/>
            </w:tcMar>
          </w:tcPr>
          <w:p w14:paraId="5E91C49B" w14:textId="77777777" w:rsidR="00701B9C" w:rsidRPr="00B81291" w:rsidRDefault="00701B9C" w:rsidP="00BF7B75">
            <w:pPr>
              <w:widowControl/>
              <w:autoSpaceDE/>
              <w:autoSpaceDN/>
              <w:adjustRightInd/>
              <w:rPr>
                <w:rFonts w:asciiTheme="minorHAnsi" w:eastAsia="Calibri" w:hAnsiTheme="minorHAnsi" w:cstheme="minorHAnsi"/>
                <w:color w:val="auto"/>
                <w:sz w:val="22"/>
                <w:szCs w:val="22"/>
              </w:rPr>
            </w:pPr>
          </w:p>
        </w:tc>
        <w:tc>
          <w:tcPr>
            <w:tcW w:w="1431" w:type="dxa"/>
            <w:tcBorders>
              <w:top w:val="single" w:sz="8" w:space="0" w:color="auto"/>
              <w:left w:val="nil"/>
              <w:bottom w:val="single" w:sz="4" w:space="0" w:color="auto"/>
              <w:right w:val="single" w:sz="8" w:space="0" w:color="auto"/>
            </w:tcBorders>
            <w:shd w:val="clear" w:color="auto" w:fill="D0CECE"/>
          </w:tcPr>
          <w:p w14:paraId="19304FCB" w14:textId="77777777" w:rsidR="00701B9C" w:rsidRPr="00B81291" w:rsidRDefault="00B00100" w:rsidP="00BF7B75">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Total Project Cost</w:t>
            </w:r>
          </w:p>
        </w:tc>
        <w:tc>
          <w:tcPr>
            <w:tcW w:w="1431" w:type="dxa"/>
            <w:tcBorders>
              <w:top w:val="single" w:sz="8" w:space="0" w:color="auto"/>
              <w:left w:val="single" w:sz="4" w:space="0" w:color="auto"/>
              <w:bottom w:val="single" w:sz="4" w:space="0" w:color="auto"/>
              <w:right w:val="single" w:sz="8" w:space="0" w:color="auto"/>
            </w:tcBorders>
            <w:shd w:val="clear" w:color="auto" w:fill="D0CECE"/>
          </w:tcPr>
          <w:p w14:paraId="6D71DE48" w14:textId="77777777" w:rsidR="00701B9C" w:rsidRPr="00B81291" w:rsidRDefault="00B00100" w:rsidP="00BF7B75">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IDA Credit</w:t>
            </w:r>
          </w:p>
        </w:tc>
        <w:tc>
          <w:tcPr>
            <w:tcW w:w="1197" w:type="dxa"/>
            <w:tcBorders>
              <w:top w:val="single" w:sz="8" w:space="0" w:color="auto"/>
              <w:left w:val="nil"/>
              <w:bottom w:val="single" w:sz="4" w:space="0" w:color="auto"/>
              <w:right w:val="single" w:sz="8" w:space="0" w:color="auto"/>
            </w:tcBorders>
            <w:shd w:val="clear" w:color="auto" w:fill="D0CECE"/>
          </w:tcPr>
          <w:p w14:paraId="4469718F" w14:textId="77777777" w:rsidR="00701B9C" w:rsidRPr="00B81291" w:rsidRDefault="00B00100" w:rsidP="00BF7B75">
            <w:pPr>
              <w:keepNext/>
              <w:keepLines/>
              <w:jc w:val="center"/>
              <w:rPr>
                <w:rFonts w:asciiTheme="minorHAnsi" w:eastAsia="Calibri" w:hAnsiTheme="minorHAnsi" w:cstheme="minorHAnsi"/>
                <w:b/>
                <w:sz w:val="22"/>
                <w:szCs w:val="22"/>
              </w:rPr>
            </w:pPr>
            <w:r w:rsidRPr="00B81291">
              <w:rPr>
                <w:rFonts w:asciiTheme="minorHAnsi" w:eastAsia="Calibri" w:hAnsiTheme="minorHAnsi" w:cstheme="minorHAnsi"/>
                <w:b/>
                <w:sz w:val="22"/>
                <w:szCs w:val="22"/>
              </w:rPr>
              <w:t>IDA Grant</w:t>
            </w:r>
          </w:p>
        </w:tc>
      </w:tr>
      <w:tr w:rsidR="000C3959" w14:paraId="2EE8069C" w14:textId="77777777" w:rsidTr="006C70A5">
        <w:trPr>
          <w:trHeight w:val="341"/>
        </w:trPr>
        <w:tc>
          <w:tcPr>
            <w:tcW w:w="142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9F2F3A" w14:textId="77777777" w:rsidR="00701B9C"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Benin</w:t>
            </w:r>
          </w:p>
        </w:tc>
        <w:tc>
          <w:tcPr>
            <w:tcW w:w="1431"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AE3BA89" w14:textId="77777777" w:rsidR="00701B9C" w:rsidRPr="00F10BBD" w:rsidRDefault="00B00100" w:rsidP="00F463C2">
            <w:pPr>
              <w:keepNext/>
              <w:keepLines/>
              <w:jc w:val="center"/>
              <w:rPr>
                <w:rFonts w:asciiTheme="minorHAnsi" w:eastAsia="Calibri" w:hAnsiTheme="minorHAnsi" w:cstheme="minorHAnsi"/>
                <w:sz w:val="20"/>
                <w:szCs w:val="20"/>
              </w:rPr>
            </w:pPr>
            <w:r>
              <w:rPr>
                <w:rFonts w:ascii="Calibri" w:hAnsi="Calibri" w:cs="Calibri"/>
                <w:sz w:val="20"/>
                <w:szCs w:val="20"/>
              </w:rPr>
              <w:t>6</w:t>
            </w:r>
          </w:p>
        </w:tc>
        <w:tc>
          <w:tcPr>
            <w:tcW w:w="1431" w:type="dxa"/>
            <w:tcBorders>
              <w:top w:val="single" w:sz="4" w:space="0" w:color="auto"/>
              <w:left w:val="single" w:sz="4" w:space="0" w:color="auto"/>
              <w:bottom w:val="single" w:sz="8" w:space="0" w:color="auto"/>
              <w:right w:val="single" w:sz="8" w:space="0" w:color="auto"/>
            </w:tcBorders>
            <w:shd w:val="clear" w:color="auto" w:fill="auto"/>
          </w:tcPr>
          <w:p w14:paraId="2D77D3EA" w14:textId="77777777" w:rsidR="00701B9C" w:rsidRPr="00F10BBD" w:rsidRDefault="00B00100" w:rsidP="00FC1A97">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bCs/>
                <w:sz w:val="20"/>
                <w:szCs w:val="20"/>
              </w:rPr>
              <w:t>2</w:t>
            </w:r>
          </w:p>
        </w:tc>
        <w:tc>
          <w:tcPr>
            <w:tcW w:w="1197" w:type="dxa"/>
            <w:tcBorders>
              <w:top w:val="single" w:sz="4" w:space="0" w:color="auto"/>
              <w:left w:val="single" w:sz="4" w:space="0" w:color="auto"/>
              <w:bottom w:val="single" w:sz="8" w:space="0" w:color="auto"/>
              <w:right w:val="single" w:sz="8" w:space="0" w:color="auto"/>
            </w:tcBorders>
            <w:shd w:val="clear" w:color="auto" w:fill="auto"/>
          </w:tcPr>
          <w:p w14:paraId="6909900C" w14:textId="77777777" w:rsidR="00701B9C" w:rsidRPr="00F10BBD" w:rsidRDefault="00B00100" w:rsidP="003247A0">
            <w:pPr>
              <w:keepNext/>
              <w:keepLines/>
              <w:jc w:val="center"/>
              <w:rPr>
                <w:rFonts w:asciiTheme="minorHAnsi" w:eastAsia="Calibri" w:hAnsiTheme="minorHAnsi" w:cstheme="minorHAnsi"/>
                <w:sz w:val="20"/>
                <w:szCs w:val="20"/>
              </w:rPr>
            </w:pPr>
            <w:r w:rsidRPr="00F10BBD">
              <w:rPr>
                <w:rFonts w:asciiTheme="minorHAnsi" w:eastAsia="Calibri" w:hAnsiTheme="minorHAnsi" w:cstheme="minorHAnsi"/>
                <w:sz w:val="20"/>
                <w:szCs w:val="20"/>
              </w:rPr>
              <w:t>4</w:t>
            </w:r>
          </w:p>
        </w:tc>
      </w:tr>
      <w:tr w:rsidR="000C3959" w14:paraId="5C107299" w14:textId="77777777" w:rsidTr="006C70A5">
        <w:trPr>
          <w:trHeight w:val="259"/>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65257E1" w14:textId="77777777" w:rsidR="00701B9C"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The Gambia</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00217F8" w14:textId="77777777" w:rsidR="00701B9C" w:rsidRPr="00F10BBD" w:rsidRDefault="00B00100" w:rsidP="00F463C2">
            <w:pPr>
              <w:widowControl/>
              <w:autoSpaceDE/>
              <w:autoSpaceDN/>
              <w:adjustRightInd/>
              <w:jc w:val="center"/>
              <w:rPr>
                <w:rFonts w:asciiTheme="minorHAnsi" w:eastAsia="Calibri" w:hAnsiTheme="minorHAnsi" w:cstheme="minorHAnsi"/>
                <w:color w:val="auto"/>
                <w:sz w:val="20"/>
                <w:szCs w:val="20"/>
              </w:rPr>
            </w:pPr>
            <w:r>
              <w:rPr>
                <w:rFonts w:ascii="Calibri" w:hAnsi="Calibri" w:cs="Calibri"/>
                <w:sz w:val="20"/>
                <w:szCs w:val="20"/>
              </w:rPr>
              <w:t>12</w:t>
            </w:r>
          </w:p>
        </w:tc>
        <w:tc>
          <w:tcPr>
            <w:tcW w:w="1431" w:type="dxa"/>
            <w:tcBorders>
              <w:top w:val="nil"/>
              <w:left w:val="single" w:sz="4" w:space="0" w:color="auto"/>
              <w:bottom w:val="single" w:sz="8" w:space="0" w:color="auto"/>
              <w:right w:val="single" w:sz="8" w:space="0" w:color="auto"/>
            </w:tcBorders>
            <w:shd w:val="clear" w:color="auto" w:fill="auto"/>
          </w:tcPr>
          <w:p w14:paraId="1B5E7F01" w14:textId="77777777" w:rsidR="00701B9C" w:rsidRPr="00F10BBD" w:rsidRDefault="00B00100" w:rsidP="00FC1A97">
            <w:pPr>
              <w:widowControl/>
              <w:autoSpaceDE/>
              <w:autoSpaceDN/>
              <w:adjustRightInd/>
              <w:jc w:val="center"/>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w:t>
            </w:r>
          </w:p>
        </w:tc>
        <w:tc>
          <w:tcPr>
            <w:tcW w:w="1197" w:type="dxa"/>
            <w:tcBorders>
              <w:top w:val="nil"/>
              <w:left w:val="single" w:sz="4" w:space="0" w:color="auto"/>
              <w:bottom w:val="single" w:sz="8" w:space="0" w:color="auto"/>
              <w:right w:val="single" w:sz="8" w:space="0" w:color="auto"/>
            </w:tcBorders>
            <w:shd w:val="clear" w:color="auto" w:fill="auto"/>
          </w:tcPr>
          <w:p w14:paraId="133B1139" w14:textId="77777777" w:rsidR="00701B9C"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12</w:t>
            </w:r>
          </w:p>
        </w:tc>
      </w:tr>
      <w:tr w:rsidR="000C3959" w14:paraId="6FC39340" w14:textId="77777777" w:rsidTr="006C70A5">
        <w:trPr>
          <w:trHeight w:val="326"/>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E094EF0" w14:textId="77777777" w:rsidR="00701B9C"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Niger</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6265AF4" w14:textId="77777777" w:rsidR="00701B9C" w:rsidRPr="00F10BBD" w:rsidRDefault="00B00100" w:rsidP="00F463C2">
            <w:pPr>
              <w:widowControl/>
              <w:autoSpaceDE/>
              <w:autoSpaceDN/>
              <w:adjustRightInd/>
              <w:jc w:val="center"/>
              <w:rPr>
                <w:rFonts w:asciiTheme="minorHAnsi" w:eastAsia="Calibri" w:hAnsiTheme="minorHAnsi" w:cstheme="minorHAnsi"/>
                <w:color w:val="auto"/>
                <w:sz w:val="20"/>
                <w:szCs w:val="20"/>
              </w:rPr>
            </w:pPr>
            <w:r>
              <w:rPr>
                <w:rFonts w:ascii="Calibri" w:hAnsi="Calibri" w:cs="Calibri"/>
                <w:sz w:val="20"/>
                <w:szCs w:val="20"/>
              </w:rPr>
              <w:t>15</w:t>
            </w:r>
          </w:p>
        </w:tc>
        <w:tc>
          <w:tcPr>
            <w:tcW w:w="1431" w:type="dxa"/>
            <w:tcBorders>
              <w:top w:val="nil"/>
              <w:left w:val="single" w:sz="4" w:space="0" w:color="auto"/>
              <w:bottom w:val="single" w:sz="8" w:space="0" w:color="auto"/>
              <w:right w:val="single" w:sz="8" w:space="0" w:color="auto"/>
            </w:tcBorders>
            <w:shd w:val="clear" w:color="auto" w:fill="auto"/>
          </w:tcPr>
          <w:p w14:paraId="487C0F97" w14:textId="77777777" w:rsidR="00701B9C" w:rsidRPr="00F10BBD" w:rsidRDefault="00B00100" w:rsidP="00FC1A97">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5</w:t>
            </w:r>
          </w:p>
        </w:tc>
        <w:tc>
          <w:tcPr>
            <w:tcW w:w="1197" w:type="dxa"/>
            <w:tcBorders>
              <w:top w:val="nil"/>
              <w:left w:val="single" w:sz="4" w:space="0" w:color="auto"/>
              <w:bottom w:val="single" w:sz="8" w:space="0" w:color="auto"/>
              <w:right w:val="single" w:sz="8" w:space="0" w:color="auto"/>
            </w:tcBorders>
            <w:shd w:val="clear" w:color="auto" w:fill="auto"/>
          </w:tcPr>
          <w:p w14:paraId="5A6F0299" w14:textId="77777777" w:rsidR="00701B9C"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10</w:t>
            </w:r>
          </w:p>
        </w:tc>
      </w:tr>
      <w:tr w:rsidR="000C3959" w14:paraId="1AE049B9" w14:textId="77777777" w:rsidTr="006C70A5">
        <w:trPr>
          <w:trHeight w:val="312"/>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F4FF21" w14:textId="77777777" w:rsidR="00701B9C" w:rsidRPr="00F10BBD" w:rsidRDefault="00B00100">
            <w:pPr>
              <w:widowControl/>
              <w:autoSpaceDE/>
              <w:autoSpaceDN/>
              <w:adjustRightInd/>
              <w:rPr>
                <w:rFonts w:asciiTheme="minorHAnsi" w:eastAsia="Calibri" w:hAnsiTheme="minorHAnsi" w:cstheme="minorHAnsi"/>
                <w:b/>
                <w:color w:val="auto"/>
                <w:sz w:val="20"/>
                <w:szCs w:val="20"/>
              </w:rPr>
            </w:pPr>
            <w:r w:rsidRPr="00F10BBD">
              <w:rPr>
                <w:rFonts w:asciiTheme="minorHAnsi" w:eastAsia="Calibri" w:hAnsiTheme="minorHAnsi" w:cstheme="minorHAnsi"/>
                <w:color w:val="auto"/>
                <w:sz w:val="20"/>
                <w:szCs w:val="20"/>
              </w:rPr>
              <w:t>Nigeria</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DEC58A7" w14:textId="77777777" w:rsidR="00701B9C" w:rsidRPr="00F10BBD" w:rsidRDefault="00B00100" w:rsidP="00F463C2">
            <w:pPr>
              <w:widowControl/>
              <w:autoSpaceDE/>
              <w:autoSpaceDN/>
              <w:adjustRightInd/>
              <w:jc w:val="center"/>
              <w:rPr>
                <w:rFonts w:asciiTheme="minorHAnsi" w:eastAsia="Calibri" w:hAnsiTheme="minorHAnsi" w:cstheme="minorHAnsi"/>
                <w:color w:val="auto"/>
                <w:sz w:val="20"/>
                <w:szCs w:val="20"/>
              </w:rPr>
            </w:pPr>
            <w:r>
              <w:rPr>
                <w:rFonts w:ascii="Calibri" w:hAnsi="Calibri" w:cs="Calibri"/>
                <w:sz w:val="20"/>
                <w:szCs w:val="20"/>
              </w:rPr>
              <w:t>75</w:t>
            </w:r>
          </w:p>
        </w:tc>
        <w:tc>
          <w:tcPr>
            <w:tcW w:w="1431" w:type="dxa"/>
            <w:tcBorders>
              <w:top w:val="nil"/>
              <w:left w:val="single" w:sz="4" w:space="0" w:color="auto"/>
              <w:bottom w:val="single" w:sz="8" w:space="0" w:color="auto"/>
              <w:right w:val="single" w:sz="8" w:space="0" w:color="auto"/>
            </w:tcBorders>
            <w:shd w:val="clear" w:color="auto" w:fill="auto"/>
          </w:tcPr>
          <w:p w14:paraId="0F11B2F9" w14:textId="77777777" w:rsidR="00701B9C" w:rsidRPr="00F10BBD" w:rsidRDefault="00B00100" w:rsidP="00FC1A97">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75</w:t>
            </w:r>
          </w:p>
        </w:tc>
        <w:tc>
          <w:tcPr>
            <w:tcW w:w="1197" w:type="dxa"/>
            <w:tcBorders>
              <w:top w:val="nil"/>
              <w:left w:val="single" w:sz="4" w:space="0" w:color="auto"/>
              <w:bottom w:val="single" w:sz="8" w:space="0" w:color="auto"/>
              <w:right w:val="single" w:sz="8" w:space="0" w:color="auto"/>
            </w:tcBorders>
            <w:shd w:val="clear" w:color="auto" w:fill="auto"/>
          </w:tcPr>
          <w:p w14:paraId="350BA5B1" w14:textId="77777777" w:rsidR="00701B9C" w:rsidRPr="00F10BBD" w:rsidRDefault="00B00100" w:rsidP="003247A0">
            <w:pPr>
              <w:widowControl/>
              <w:autoSpaceDE/>
              <w:autoSpaceDN/>
              <w:adjustRightInd/>
              <w:jc w:val="center"/>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w:t>
            </w:r>
          </w:p>
        </w:tc>
      </w:tr>
      <w:tr w:rsidR="000C3959" w14:paraId="4589A398" w14:textId="77777777" w:rsidTr="006C70A5">
        <w:trPr>
          <w:trHeight w:val="147"/>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979108E" w14:textId="77777777" w:rsidR="00701B9C" w:rsidRPr="00F10BBD" w:rsidRDefault="00B00100">
            <w:pPr>
              <w:widowControl/>
              <w:autoSpaceDE/>
              <w:autoSpaceDN/>
              <w:adjustRightInd/>
              <w:rPr>
                <w:rFonts w:asciiTheme="minorHAnsi" w:eastAsia="Calibri,Times New Roman" w:hAnsiTheme="minorHAnsi" w:cstheme="minorHAnsi"/>
                <w:b/>
                <w:color w:val="auto"/>
                <w:sz w:val="20"/>
                <w:szCs w:val="20"/>
              </w:rPr>
            </w:pPr>
            <w:r w:rsidRPr="00F10BBD">
              <w:rPr>
                <w:rFonts w:asciiTheme="minorHAnsi" w:eastAsia="Calibri" w:hAnsiTheme="minorHAnsi" w:cstheme="minorHAnsi"/>
                <w:color w:val="auto"/>
                <w:sz w:val="20"/>
                <w:szCs w:val="20"/>
              </w:rPr>
              <w:t>Togo</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247CE2F7" w14:textId="77777777" w:rsidR="00701B9C" w:rsidRPr="00F10BBD" w:rsidRDefault="00B00100" w:rsidP="00F463C2">
            <w:pPr>
              <w:widowControl/>
              <w:autoSpaceDE/>
              <w:autoSpaceDN/>
              <w:adjustRightInd/>
              <w:jc w:val="center"/>
              <w:rPr>
                <w:rFonts w:asciiTheme="minorHAnsi" w:eastAsia="Calibri" w:hAnsiTheme="minorHAnsi" w:cstheme="minorHAnsi"/>
                <w:color w:val="auto"/>
                <w:sz w:val="20"/>
                <w:szCs w:val="20"/>
              </w:rPr>
            </w:pPr>
            <w:r>
              <w:rPr>
                <w:rFonts w:ascii="Calibri" w:hAnsi="Calibri" w:cs="Calibri"/>
                <w:sz w:val="20"/>
                <w:szCs w:val="20"/>
              </w:rPr>
              <w:t>18</w:t>
            </w:r>
          </w:p>
        </w:tc>
        <w:tc>
          <w:tcPr>
            <w:tcW w:w="1431" w:type="dxa"/>
            <w:tcBorders>
              <w:top w:val="nil"/>
              <w:left w:val="single" w:sz="4" w:space="0" w:color="auto"/>
              <w:bottom w:val="single" w:sz="8" w:space="0" w:color="auto"/>
              <w:right w:val="single" w:sz="8" w:space="0" w:color="auto"/>
            </w:tcBorders>
            <w:shd w:val="clear" w:color="auto" w:fill="auto"/>
          </w:tcPr>
          <w:p w14:paraId="661BED3A" w14:textId="77777777" w:rsidR="00701B9C" w:rsidRPr="00F10BBD" w:rsidRDefault="00B00100" w:rsidP="00FC1A97">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bCs/>
                <w:sz w:val="20"/>
                <w:szCs w:val="20"/>
              </w:rPr>
              <w:t>12</w:t>
            </w:r>
          </w:p>
        </w:tc>
        <w:tc>
          <w:tcPr>
            <w:tcW w:w="1197" w:type="dxa"/>
            <w:tcBorders>
              <w:top w:val="nil"/>
              <w:left w:val="single" w:sz="4" w:space="0" w:color="auto"/>
              <w:bottom w:val="single" w:sz="8" w:space="0" w:color="auto"/>
              <w:right w:val="single" w:sz="8" w:space="0" w:color="auto"/>
            </w:tcBorders>
            <w:shd w:val="clear" w:color="auto" w:fill="auto"/>
          </w:tcPr>
          <w:p w14:paraId="5868BF8F" w14:textId="77777777" w:rsidR="00701B9C"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6</w:t>
            </w:r>
          </w:p>
        </w:tc>
      </w:tr>
      <w:tr w:rsidR="000C3959" w14:paraId="102E52FF" w14:textId="77777777" w:rsidTr="006C70A5">
        <w:trPr>
          <w:trHeight w:val="147"/>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C55E578" w14:textId="77777777" w:rsidR="00701B9C" w:rsidRPr="00F10BBD" w:rsidRDefault="00B00100">
            <w:pPr>
              <w:widowControl/>
              <w:autoSpaceDE/>
              <w:autoSpaceDN/>
              <w:adjustRightInd/>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AAU (RFU)</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65111F9" w14:textId="77777777" w:rsidR="00701B9C" w:rsidRPr="00F10BBD" w:rsidRDefault="00B00100" w:rsidP="00F463C2">
            <w:pPr>
              <w:widowControl/>
              <w:autoSpaceDE/>
              <w:autoSpaceDN/>
              <w:adjustRightInd/>
              <w:jc w:val="center"/>
              <w:rPr>
                <w:rFonts w:asciiTheme="minorHAnsi" w:eastAsia="Calibri" w:hAnsiTheme="minorHAnsi" w:cstheme="minorHAnsi"/>
                <w:color w:val="auto"/>
                <w:sz w:val="20"/>
                <w:szCs w:val="20"/>
              </w:rPr>
            </w:pPr>
            <w:r>
              <w:rPr>
                <w:rFonts w:ascii="Calibri" w:hAnsi="Calibri" w:cs="Calibri"/>
                <w:sz w:val="20"/>
                <w:szCs w:val="20"/>
              </w:rPr>
              <w:t>5</w:t>
            </w:r>
          </w:p>
        </w:tc>
        <w:tc>
          <w:tcPr>
            <w:tcW w:w="1431" w:type="dxa"/>
            <w:tcBorders>
              <w:top w:val="nil"/>
              <w:left w:val="single" w:sz="4" w:space="0" w:color="auto"/>
              <w:bottom w:val="single" w:sz="8" w:space="0" w:color="auto"/>
              <w:right w:val="single" w:sz="8" w:space="0" w:color="auto"/>
            </w:tcBorders>
            <w:shd w:val="clear" w:color="auto" w:fill="auto"/>
          </w:tcPr>
          <w:p w14:paraId="3F2B4E15" w14:textId="77777777" w:rsidR="00701B9C" w:rsidRPr="00F10BBD" w:rsidRDefault="00B00100" w:rsidP="00FC1A97">
            <w:pPr>
              <w:widowControl/>
              <w:autoSpaceDE/>
              <w:autoSpaceDN/>
              <w:adjustRightInd/>
              <w:jc w:val="center"/>
              <w:rPr>
                <w:rFonts w:asciiTheme="minorHAnsi" w:eastAsia="Calibri" w:hAnsiTheme="minorHAnsi" w:cstheme="minorHAnsi"/>
                <w:bCs/>
                <w:sz w:val="20"/>
                <w:szCs w:val="20"/>
              </w:rPr>
            </w:pPr>
            <w:r w:rsidRPr="00F10BBD">
              <w:rPr>
                <w:rFonts w:asciiTheme="minorHAnsi" w:eastAsia="Calibri" w:hAnsiTheme="minorHAnsi" w:cstheme="minorHAnsi"/>
                <w:bCs/>
                <w:sz w:val="20"/>
                <w:szCs w:val="20"/>
              </w:rPr>
              <w:t>-</w:t>
            </w:r>
          </w:p>
        </w:tc>
        <w:tc>
          <w:tcPr>
            <w:tcW w:w="1197" w:type="dxa"/>
            <w:tcBorders>
              <w:top w:val="nil"/>
              <w:left w:val="single" w:sz="4" w:space="0" w:color="auto"/>
              <w:bottom w:val="single" w:sz="8" w:space="0" w:color="auto"/>
              <w:right w:val="single" w:sz="8" w:space="0" w:color="auto"/>
            </w:tcBorders>
            <w:shd w:val="clear" w:color="auto" w:fill="auto"/>
          </w:tcPr>
          <w:p w14:paraId="7B5F402F" w14:textId="77777777" w:rsidR="00701B9C" w:rsidRPr="00F10BBD" w:rsidRDefault="00B00100" w:rsidP="003247A0">
            <w:pPr>
              <w:widowControl/>
              <w:autoSpaceDE/>
              <w:autoSpaceDN/>
              <w:adjustRightInd/>
              <w:jc w:val="center"/>
              <w:rPr>
                <w:rFonts w:asciiTheme="minorHAnsi" w:eastAsia="Calibri" w:hAnsiTheme="minorHAnsi" w:cstheme="minorHAnsi"/>
                <w:color w:val="auto"/>
                <w:sz w:val="20"/>
                <w:szCs w:val="20"/>
              </w:rPr>
            </w:pPr>
            <w:r w:rsidRPr="00F10BBD">
              <w:rPr>
                <w:rFonts w:asciiTheme="minorHAnsi" w:eastAsia="Calibri" w:hAnsiTheme="minorHAnsi" w:cstheme="minorHAnsi"/>
                <w:color w:val="auto"/>
                <w:sz w:val="20"/>
                <w:szCs w:val="20"/>
              </w:rPr>
              <w:t>5</w:t>
            </w:r>
          </w:p>
        </w:tc>
      </w:tr>
      <w:tr w:rsidR="000C3959" w14:paraId="372863D6" w14:textId="77777777" w:rsidTr="006C70A5">
        <w:trPr>
          <w:trHeight w:val="147"/>
        </w:trPr>
        <w:tc>
          <w:tcPr>
            <w:tcW w:w="14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2C74B" w14:textId="77777777" w:rsidR="00701B9C" w:rsidRPr="00F10BBD" w:rsidRDefault="00B00100">
            <w:pPr>
              <w:widowControl/>
              <w:autoSpaceDE/>
              <w:autoSpaceDN/>
              <w:adjustRightInd/>
              <w:rPr>
                <w:rFonts w:asciiTheme="minorHAnsi" w:eastAsia="Calibri,Times New Roman" w:hAnsiTheme="minorHAnsi" w:cstheme="minorHAnsi"/>
                <w:b/>
                <w:color w:val="auto"/>
                <w:sz w:val="20"/>
                <w:szCs w:val="20"/>
              </w:rPr>
            </w:pPr>
            <w:r w:rsidRPr="00F10BBD">
              <w:rPr>
                <w:rFonts w:asciiTheme="minorHAnsi" w:eastAsia="Calibri" w:hAnsiTheme="minorHAnsi" w:cstheme="minorHAnsi"/>
                <w:b/>
                <w:color w:val="auto"/>
                <w:sz w:val="20"/>
                <w:szCs w:val="20"/>
              </w:rPr>
              <w:t>Total</w:t>
            </w:r>
          </w:p>
        </w:tc>
        <w:tc>
          <w:tcPr>
            <w:tcW w:w="1431"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23146D1A" w14:textId="77777777" w:rsidR="00701B9C" w:rsidRPr="00C24AA3" w:rsidRDefault="00B00100" w:rsidP="00F463C2">
            <w:pPr>
              <w:keepNext/>
              <w:keepLines/>
              <w:jc w:val="center"/>
              <w:rPr>
                <w:rFonts w:asciiTheme="minorHAnsi" w:eastAsia="Calibri,Times New Roman" w:hAnsiTheme="minorHAnsi" w:cstheme="minorHAnsi"/>
                <w:b/>
                <w:sz w:val="20"/>
                <w:szCs w:val="20"/>
              </w:rPr>
            </w:pPr>
            <w:r w:rsidRPr="008E4CE3">
              <w:rPr>
                <w:rFonts w:ascii="Calibri" w:hAnsi="Calibri" w:cs="Calibri"/>
                <w:b/>
                <w:sz w:val="20"/>
                <w:szCs w:val="20"/>
              </w:rPr>
              <w:t>131</w:t>
            </w:r>
          </w:p>
        </w:tc>
        <w:tc>
          <w:tcPr>
            <w:tcW w:w="1431" w:type="dxa"/>
            <w:tcBorders>
              <w:top w:val="nil"/>
              <w:left w:val="single" w:sz="4" w:space="0" w:color="auto"/>
              <w:bottom w:val="single" w:sz="8" w:space="0" w:color="auto"/>
              <w:right w:val="single" w:sz="8" w:space="0" w:color="auto"/>
            </w:tcBorders>
            <w:shd w:val="clear" w:color="auto" w:fill="auto"/>
          </w:tcPr>
          <w:p w14:paraId="61AA44A7" w14:textId="77777777" w:rsidR="00701B9C" w:rsidRPr="00F10BBD" w:rsidRDefault="00B00100" w:rsidP="00FC1A97">
            <w:pPr>
              <w:keepNext/>
              <w:keepLines/>
              <w:jc w:val="center"/>
              <w:rPr>
                <w:rFonts w:asciiTheme="minorHAnsi" w:eastAsia="Calibri,Times New Roman" w:hAnsiTheme="minorHAnsi" w:cstheme="minorHAnsi"/>
                <w:b/>
                <w:sz w:val="20"/>
                <w:szCs w:val="20"/>
              </w:rPr>
            </w:pPr>
            <w:r w:rsidRPr="00F10BBD">
              <w:rPr>
                <w:rFonts w:asciiTheme="minorHAnsi" w:eastAsia="Calibri" w:hAnsiTheme="minorHAnsi" w:cstheme="minorHAnsi"/>
                <w:b/>
                <w:bCs/>
                <w:sz w:val="20"/>
                <w:szCs w:val="20"/>
              </w:rPr>
              <w:t>94</w:t>
            </w:r>
          </w:p>
        </w:tc>
        <w:tc>
          <w:tcPr>
            <w:tcW w:w="1197" w:type="dxa"/>
            <w:tcBorders>
              <w:top w:val="nil"/>
              <w:left w:val="single" w:sz="4" w:space="0" w:color="auto"/>
              <w:bottom w:val="single" w:sz="8" w:space="0" w:color="auto"/>
              <w:right w:val="single" w:sz="8" w:space="0" w:color="auto"/>
            </w:tcBorders>
            <w:shd w:val="clear" w:color="auto" w:fill="auto"/>
          </w:tcPr>
          <w:p w14:paraId="5C189C13" w14:textId="77777777" w:rsidR="00701B9C" w:rsidRPr="00F10BBD" w:rsidRDefault="00B00100" w:rsidP="003247A0">
            <w:pPr>
              <w:keepNext/>
              <w:keepLines/>
              <w:jc w:val="center"/>
              <w:rPr>
                <w:rFonts w:asciiTheme="minorHAnsi" w:eastAsia="Calibri" w:hAnsiTheme="minorHAnsi" w:cstheme="minorHAnsi"/>
                <w:b/>
                <w:sz w:val="20"/>
                <w:szCs w:val="20"/>
              </w:rPr>
            </w:pPr>
            <w:r w:rsidRPr="00F10BBD">
              <w:rPr>
                <w:rFonts w:asciiTheme="minorHAnsi" w:eastAsia="Calibri" w:hAnsiTheme="minorHAnsi" w:cstheme="minorHAnsi"/>
                <w:b/>
                <w:sz w:val="20"/>
                <w:szCs w:val="20"/>
              </w:rPr>
              <w:t>37</w:t>
            </w:r>
          </w:p>
        </w:tc>
      </w:tr>
    </w:tbl>
    <w:p w14:paraId="238AE7E7" w14:textId="77777777" w:rsidR="003E66A9" w:rsidRDefault="003E66A9">
      <w:pPr>
        <w:keepNext/>
        <w:ind w:left="-450"/>
        <w:jc w:val="both"/>
        <w:rPr>
          <w:rFonts w:asciiTheme="minorHAnsi" w:eastAsia="Arial Unicode MS" w:hAnsiTheme="minorHAnsi" w:cstheme="minorHAnsi"/>
          <w:b/>
          <w:iCs/>
          <w:sz w:val="22"/>
          <w:szCs w:val="22"/>
          <w:bdr w:val="none" w:sz="0" w:space="0" w:color="auto" w:frame="1"/>
        </w:rPr>
      </w:pPr>
    </w:p>
    <w:p w14:paraId="22EF569F" w14:textId="77777777" w:rsidR="00AE50C2" w:rsidRPr="008E4CE3" w:rsidRDefault="00AE50C2" w:rsidP="00F463C2">
      <w:pPr>
        <w:keepNext/>
        <w:ind w:left="1440" w:firstLine="720"/>
        <w:rPr>
          <w:rFonts w:asciiTheme="minorHAnsi" w:eastAsia="Arial Unicode MS" w:hAnsiTheme="minorHAnsi" w:cstheme="minorHAnsi"/>
          <w:iCs/>
          <w:sz w:val="18"/>
          <w:szCs w:val="18"/>
          <w:bdr w:val="none" w:sz="0" w:space="0" w:color="auto" w:frame="1"/>
        </w:rPr>
      </w:pPr>
    </w:p>
    <w:p w14:paraId="52DAD319" w14:textId="77777777" w:rsidR="003E66A9" w:rsidRPr="000C46A6" w:rsidRDefault="00B00100" w:rsidP="00F62E72">
      <w:pPr>
        <w:widowControl/>
        <w:numPr>
          <w:ilvl w:val="0"/>
          <w:numId w:val="30"/>
        </w:numPr>
        <w:autoSpaceDE/>
        <w:autoSpaceDN/>
        <w:adjustRightInd/>
        <w:spacing w:after="240"/>
        <w:ind w:right="720" w:firstLine="0"/>
        <w:jc w:val="both"/>
        <w:rPr>
          <w:rFonts w:asciiTheme="minorHAnsi" w:hAnsiTheme="minorHAnsi" w:cstheme="minorHAnsi"/>
          <w:sz w:val="22"/>
          <w:szCs w:val="22"/>
        </w:rPr>
      </w:pPr>
      <w:r w:rsidRPr="008E4CE3">
        <w:rPr>
          <w:rFonts w:ascii="Calibri" w:eastAsia="Batang" w:hAnsi="Calibri" w:cs="Times New Roman"/>
          <w:color w:val="auto"/>
          <w:sz w:val="22"/>
          <w:szCs w:val="22"/>
          <w:lang w:eastAsia="ko-KR"/>
        </w:rPr>
        <w:t>The specific disbursement categories per country can be found in the F</w:t>
      </w:r>
      <w:r w:rsidR="0035552A">
        <w:rPr>
          <w:rFonts w:ascii="Calibri" w:eastAsia="Batang" w:hAnsi="Calibri" w:cs="Times New Roman"/>
          <w:color w:val="auto"/>
          <w:sz w:val="22"/>
          <w:szCs w:val="22"/>
          <w:lang w:eastAsia="ko-KR"/>
        </w:rPr>
        <w:t>A</w:t>
      </w:r>
      <w:r w:rsidRPr="008E4CE3">
        <w:rPr>
          <w:rFonts w:ascii="Calibri" w:eastAsia="Batang" w:hAnsi="Calibri" w:cs="Times New Roman"/>
          <w:color w:val="auto"/>
          <w:sz w:val="22"/>
          <w:szCs w:val="22"/>
          <w:lang w:eastAsia="ko-KR"/>
        </w:rPr>
        <w:t xml:space="preserve"> for each of the respective countries and AAU</w:t>
      </w:r>
      <w:r w:rsidR="00AE50C2" w:rsidRPr="00C24AA3">
        <w:rPr>
          <w:rFonts w:ascii="Calibri" w:eastAsia="Batang" w:hAnsi="Calibri" w:cs="Times New Roman"/>
          <w:color w:val="auto"/>
          <w:sz w:val="22"/>
          <w:szCs w:val="22"/>
          <w:lang w:eastAsia="ko-KR"/>
        </w:rPr>
        <w:t xml:space="preserve"> </w:t>
      </w:r>
      <w:r w:rsidR="00334C9F" w:rsidRPr="00C24AA3">
        <w:rPr>
          <w:rFonts w:ascii="Calibri" w:eastAsia="Batang" w:hAnsi="Calibri" w:cs="Times New Roman"/>
          <w:color w:val="auto"/>
          <w:sz w:val="22"/>
          <w:szCs w:val="22"/>
          <w:lang w:eastAsia="ko-KR"/>
        </w:rPr>
        <w:t>If</w:t>
      </w:r>
      <w:r w:rsidR="00334C9F" w:rsidRPr="00C24AA3">
        <w:rPr>
          <w:rFonts w:asciiTheme="minorHAnsi" w:hAnsiTheme="minorHAnsi" w:cstheme="minorHAnsi"/>
          <w:sz w:val="22"/>
          <w:szCs w:val="22"/>
        </w:rPr>
        <w:t xml:space="preserve"> ineligible expenditures are found to have been made from the </w:t>
      </w:r>
      <w:r w:rsidR="0035552A">
        <w:rPr>
          <w:rFonts w:asciiTheme="minorHAnsi" w:hAnsiTheme="minorHAnsi" w:cstheme="minorHAnsi"/>
          <w:sz w:val="22"/>
          <w:szCs w:val="22"/>
        </w:rPr>
        <w:t>DAs</w:t>
      </w:r>
      <w:r w:rsidR="00334C9F" w:rsidRPr="00C24AA3">
        <w:rPr>
          <w:rFonts w:asciiTheme="minorHAnsi" w:hAnsiTheme="minorHAnsi" w:cstheme="minorHAnsi"/>
          <w:sz w:val="22"/>
          <w:szCs w:val="22"/>
        </w:rPr>
        <w:t>, the Recipient will b</w:t>
      </w:r>
      <w:r w:rsidR="00334C9F" w:rsidRPr="00F76A53">
        <w:rPr>
          <w:rFonts w:asciiTheme="minorHAnsi" w:hAnsiTheme="minorHAnsi" w:cstheme="minorHAnsi"/>
          <w:sz w:val="22"/>
          <w:szCs w:val="22"/>
        </w:rPr>
        <w:t>e obligated to refund the amount in question, and IDA will have the right to suspend disbursement of the funds if reporting requirements are not complied with as provided for in the F</w:t>
      </w:r>
      <w:r w:rsidR="00A52578">
        <w:rPr>
          <w:rFonts w:asciiTheme="minorHAnsi" w:hAnsiTheme="minorHAnsi" w:cstheme="minorHAnsi"/>
          <w:sz w:val="22"/>
          <w:szCs w:val="22"/>
        </w:rPr>
        <w:t>A</w:t>
      </w:r>
      <w:r w:rsidR="00334C9F" w:rsidRPr="00F76A53">
        <w:rPr>
          <w:rFonts w:asciiTheme="minorHAnsi" w:hAnsiTheme="minorHAnsi" w:cstheme="minorHAnsi"/>
          <w:sz w:val="22"/>
          <w:szCs w:val="22"/>
        </w:rPr>
        <w:t>. The Wo</w:t>
      </w:r>
      <w:r w:rsidR="00334C9F" w:rsidRPr="002E5EBC">
        <w:rPr>
          <w:rFonts w:asciiTheme="minorHAnsi" w:hAnsiTheme="minorHAnsi" w:cstheme="minorHAnsi"/>
          <w:sz w:val="22"/>
          <w:szCs w:val="22"/>
        </w:rPr>
        <w:t>rld Bank’s FM team will periodically assess the</w:t>
      </w:r>
      <w:r w:rsidR="00334C9F" w:rsidRPr="00DD7EF3">
        <w:rPr>
          <w:rFonts w:asciiTheme="minorHAnsi" w:hAnsiTheme="minorHAnsi" w:cstheme="minorHAnsi"/>
          <w:sz w:val="22"/>
          <w:szCs w:val="22"/>
        </w:rPr>
        <w:t xml:space="preserve"> adequacy of the FM systems and this will form the basis of any change in disbu</w:t>
      </w:r>
      <w:r w:rsidR="00334C9F" w:rsidRPr="00FA2C61">
        <w:rPr>
          <w:rFonts w:asciiTheme="minorHAnsi" w:hAnsiTheme="minorHAnsi" w:cstheme="minorHAnsi"/>
          <w:sz w:val="22"/>
          <w:szCs w:val="22"/>
        </w:rPr>
        <w:t xml:space="preserve">rsement methods. The authorized signatories of each participating country </w:t>
      </w:r>
      <w:r w:rsidR="00334C9F" w:rsidRPr="008E4CE3">
        <w:rPr>
          <w:rFonts w:asciiTheme="minorHAnsi" w:hAnsiTheme="minorHAnsi" w:cstheme="minorHAnsi"/>
          <w:sz w:val="22"/>
          <w:szCs w:val="22"/>
        </w:rPr>
        <w:t xml:space="preserve">will sign and submit withdrawal applications electronically through the World Bank’s Client Connection website. </w:t>
      </w:r>
      <w:r w:rsidR="00334C9F" w:rsidRPr="000C46A6">
        <w:rPr>
          <w:rFonts w:asciiTheme="minorHAnsi" w:hAnsiTheme="minorHAnsi" w:cstheme="minorHAnsi"/>
          <w:sz w:val="22"/>
          <w:szCs w:val="22"/>
        </w:rPr>
        <w:t>Further details on disbursement arrangement</w:t>
      </w:r>
      <w:r w:rsidR="009A45AF" w:rsidRPr="000C46A6">
        <w:rPr>
          <w:rFonts w:asciiTheme="minorHAnsi" w:hAnsiTheme="minorHAnsi" w:cstheme="minorHAnsi"/>
          <w:sz w:val="22"/>
          <w:szCs w:val="22"/>
        </w:rPr>
        <w:t>s</w:t>
      </w:r>
      <w:r w:rsidR="00334C9F" w:rsidRPr="000C46A6">
        <w:rPr>
          <w:rFonts w:asciiTheme="minorHAnsi" w:hAnsiTheme="minorHAnsi" w:cstheme="minorHAnsi"/>
          <w:sz w:val="22"/>
          <w:szCs w:val="22"/>
        </w:rPr>
        <w:t xml:space="preserve"> will be provided in the </w:t>
      </w:r>
      <w:r w:rsidR="00E00B72" w:rsidRPr="000C46A6">
        <w:rPr>
          <w:rFonts w:asciiTheme="minorHAnsi" w:hAnsiTheme="minorHAnsi" w:cstheme="minorHAnsi"/>
          <w:sz w:val="22"/>
          <w:szCs w:val="22"/>
        </w:rPr>
        <w:t>DFIL</w:t>
      </w:r>
      <w:r w:rsidR="00334C9F" w:rsidRPr="000C46A6">
        <w:rPr>
          <w:rFonts w:asciiTheme="minorHAnsi" w:hAnsiTheme="minorHAnsi" w:cstheme="minorHAnsi"/>
          <w:sz w:val="22"/>
          <w:szCs w:val="22"/>
        </w:rPr>
        <w:t>.</w:t>
      </w:r>
    </w:p>
    <w:p w14:paraId="2FE14EE8" w14:textId="77777777" w:rsidR="003E66A9" w:rsidRDefault="00B00100" w:rsidP="00FC1A97">
      <w:pPr>
        <w:spacing w:after="240"/>
        <w:contextualSpacing/>
        <w:jc w:val="both"/>
        <w:rPr>
          <w:rFonts w:ascii="Calibri" w:eastAsia="Times New Roman" w:hAnsi="Calibri" w:cs="Calibri"/>
          <w:b/>
          <w:i/>
          <w:color w:val="0070C0"/>
          <w:sz w:val="22"/>
          <w:szCs w:val="22"/>
          <w:lang w:eastAsia="ko-KR"/>
        </w:rPr>
      </w:pPr>
      <w:r w:rsidRPr="002E1A3F">
        <w:rPr>
          <w:rFonts w:ascii="Calibri" w:eastAsia="Times New Roman" w:hAnsi="Calibri" w:cs="Calibri"/>
          <w:b/>
          <w:i/>
          <w:color w:val="0070C0"/>
          <w:sz w:val="22"/>
          <w:szCs w:val="22"/>
          <w:lang w:eastAsia="ko-KR"/>
        </w:rPr>
        <w:t>Financial Reporting Arrangements</w:t>
      </w:r>
    </w:p>
    <w:p w14:paraId="719CF88A" w14:textId="77777777" w:rsidR="002B1D00" w:rsidRPr="002E1A3F" w:rsidRDefault="002B1D00" w:rsidP="003247A0">
      <w:pPr>
        <w:spacing w:after="240"/>
        <w:contextualSpacing/>
        <w:jc w:val="both"/>
        <w:rPr>
          <w:rFonts w:ascii="Calibri" w:eastAsia="Times New Roman" w:hAnsi="Calibri" w:cs="Calibri"/>
          <w:b/>
          <w:i/>
          <w:color w:val="0070C0"/>
          <w:sz w:val="22"/>
          <w:szCs w:val="22"/>
          <w:lang w:eastAsia="ko-KR"/>
        </w:rPr>
      </w:pPr>
    </w:p>
    <w:p w14:paraId="2DF7B34E" w14:textId="77777777" w:rsidR="003E66A9" w:rsidRPr="007A6F32" w:rsidRDefault="00B00100" w:rsidP="006C70A5">
      <w:pPr>
        <w:widowControl/>
        <w:numPr>
          <w:ilvl w:val="0"/>
          <w:numId w:val="30"/>
        </w:numPr>
        <w:autoSpaceDE/>
        <w:autoSpaceDN/>
        <w:adjustRightInd/>
        <w:spacing w:after="240"/>
        <w:ind w:right="720" w:firstLine="0"/>
        <w:jc w:val="both"/>
        <w:rPr>
          <w:rFonts w:ascii="Calibri" w:eastAsia="Batang" w:hAnsi="Calibri" w:cs="Times New Roman"/>
          <w:color w:val="auto"/>
          <w:sz w:val="22"/>
          <w:szCs w:val="22"/>
          <w:lang w:eastAsia="ko-KR"/>
        </w:rPr>
      </w:pPr>
      <w:r w:rsidRPr="007A6F32">
        <w:rPr>
          <w:rFonts w:ascii="Calibri" w:eastAsia="Batang" w:hAnsi="Calibri" w:cs="Times New Roman"/>
          <w:color w:val="auto"/>
          <w:sz w:val="22"/>
          <w:szCs w:val="22"/>
          <w:lang w:eastAsia="ko-KR"/>
        </w:rPr>
        <w:t>In line with the World Bank’s FM guidelines, all participating centers and the coordinating agencies (AAU, NUC and the</w:t>
      </w:r>
      <w:r w:rsidR="00E568F8">
        <w:rPr>
          <w:rFonts w:ascii="Calibri" w:eastAsia="Batang" w:hAnsi="Calibri" w:cs="Times New Roman"/>
          <w:color w:val="auto"/>
          <w:sz w:val="22"/>
          <w:szCs w:val="22"/>
          <w:lang w:eastAsia="ko-KR"/>
        </w:rPr>
        <w:t xml:space="preserve"> PCU-</w:t>
      </w:r>
      <w:r w:rsidRPr="007A6F32">
        <w:rPr>
          <w:rFonts w:ascii="Calibri" w:eastAsia="Batang" w:hAnsi="Calibri" w:cs="Times New Roman"/>
          <w:color w:val="auto"/>
          <w:sz w:val="22"/>
          <w:szCs w:val="22"/>
          <w:lang w:eastAsia="ko-KR"/>
        </w:rPr>
        <w:t>Gambia) will be required to prepare and submit quarterly IFRs to account for activities funded under this project. The respective Project Accountants or Heads of Accounts within the centers and coordinating agencies are responsible for preparing and submitting acceptable IFRs.</w:t>
      </w:r>
    </w:p>
    <w:p w14:paraId="12A683D7" w14:textId="77777777" w:rsidR="003E66A9"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Pr>
          <w:rFonts w:ascii="Calibri" w:eastAsia="Batang" w:hAnsi="Calibri" w:cs="Calibri"/>
          <w:b/>
          <w:color w:val="auto"/>
          <w:sz w:val="22"/>
          <w:szCs w:val="22"/>
          <w:lang w:eastAsia="ko-KR"/>
        </w:rPr>
        <w:t>Unaudited</w:t>
      </w:r>
      <w:r w:rsidRPr="002E1A3F">
        <w:rPr>
          <w:rFonts w:ascii="Calibri" w:eastAsia="Batang" w:hAnsi="Calibri" w:cs="Calibri"/>
          <w:b/>
          <w:color w:val="auto"/>
          <w:sz w:val="22"/>
          <w:szCs w:val="22"/>
          <w:lang w:eastAsia="ko-KR"/>
        </w:rPr>
        <w:t xml:space="preserve"> </w:t>
      </w:r>
      <w:r>
        <w:rPr>
          <w:rFonts w:ascii="Calibri" w:eastAsia="Batang" w:hAnsi="Calibri" w:cs="Calibri"/>
          <w:b/>
          <w:color w:val="auto"/>
          <w:sz w:val="22"/>
          <w:szCs w:val="22"/>
          <w:lang w:eastAsia="ko-KR"/>
        </w:rPr>
        <w:t>i</w:t>
      </w:r>
      <w:r w:rsidR="00FB4CA6" w:rsidRPr="002E1A3F">
        <w:rPr>
          <w:rFonts w:ascii="Calibri" w:eastAsia="Batang" w:hAnsi="Calibri" w:cs="Calibri"/>
          <w:b/>
          <w:color w:val="auto"/>
          <w:sz w:val="22"/>
          <w:szCs w:val="22"/>
          <w:lang w:eastAsia="ko-KR"/>
        </w:rPr>
        <w:t>nterim financial reporting (IFR).</w:t>
      </w:r>
      <w:r w:rsidR="00FB4CA6" w:rsidRPr="002E1A3F">
        <w:rPr>
          <w:rFonts w:ascii="Calibri" w:eastAsia="Batang" w:hAnsi="Calibri" w:cs="Calibri"/>
          <w:color w:val="auto"/>
          <w:sz w:val="22"/>
          <w:szCs w:val="22"/>
          <w:lang w:eastAsia="ko-KR"/>
        </w:rPr>
        <w:t xml:space="preserve"> For the </w:t>
      </w:r>
      <w:r w:rsidR="00FB4CA6" w:rsidRPr="00C36914">
        <w:rPr>
          <w:rFonts w:ascii="Calibri" w:eastAsia="Batang" w:hAnsi="Calibri" w:cs="Calibri"/>
          <w:color w:val="auto"/>
          <w:sz w:val="22"/>
          <w:szCs w:val="22"/>
          <w:lang w:eastAsia="ko-KR"/>
        </w:rPr>
        <w:t xml:space="preserve">regional (AAU) and </w:t>
      </w:r>
      <w:r w:rsidR="00FB4CA6" w:rsidRPr="002E1A3F">
        <w:rPr>
          <w:rFonts w:ascii="Calibri" w:eastAsia="Batang" w:hAnsi="Calibri" w:cs="Calibri"/>
          <w:color w:val="auto"/>
          <w:sz w:val="22"/>
          <w:szCs w:val="22"/>
          <w:lang w:eastAsia="ko-KR"/>
        </w:rPr>
        <w:t>the national (NUC</w:t>
      </w:r>
      <w:r w:rsidR="00FB4CA6">
        <w:rPr>
          <w:rFonts w:ascii="Calibri" w:eastAsia="Batang" w:hAnsi="Calibri" w:cs="Calibri"/>
          <w:color w:val="auto"/>
          <w:sz w:val="22"/>
          <w:szCs w:val="22"/>
          <w:lang w:eastAsia="ko-KR"/>
        </w:rPr>
        <w:t xml:space="preserve"> and the PCU-Gambia</w:t>
      </w:r>
      <w:r w:rsidR="00FB4CA6" w:rsidRPr="002E1A3F">
        <w:rPr>
          <w:rFonts w:ascii="Calibri" w:eastAsia="Batang" w:hAnsi="Calibri" w:cs="Calibri"/>
          <w:color w:val="auto"/>
          <w:sz w:val="22"/>
          <w:szCs w:val="22"/>
          <w:lang w:eastAsia="ko-KR"/>
        </w:rPr>
        <w:t>)</w:t>
      </w:r>
      <w:r w:rsidR="00FB4CA6">
        <w:rPr>
          <w:rFonts w:ascii="Calibri" w:eastAsia="Batang" w:hAnsi="Calibri" w:cs="Calibri"/>
          <w:color w:val="auto"/>
          <w:sz w:val="22"/>
          <w:szCs w:val="22"/>
          <w:lang w:eastAsia="ko-KR"/>
        </w:rPr>
        <w:t xml:space="preserve"> </w:t>
      </w:r>
      <w:r w:rsidR="00FB4CA6" w:rsidRPr="002E1A3F">
        <w:rPr>
          <w:rFonts w:ascii="Calibri" w:eastAsia="Batang" w:hAnsi="Calibri" w:cs="Calibri"/>
          <w:color w:val="auto"/>
          <w:sz w:val="22"/>
          <w:szCs w:val="22"/>
          <w:lang w:eastAsia="ko-KR"/>
        </w:rPr>
        <w:t>implementation entit</w:t>
      </w:r>
      <w:r w:rsidR="00FB4CA6">
        <w:rPr>
          <w:rFonts w:ascii="Calibri" w:eastAsia="Batang" w:hAnsi="Calibri" w:cs="Calibri"/>
          <w:color w:val="auto"/>
          <w:sz w:val="22"/>
          <w:szCs w:val="22"/>
          <w:lang w:eastAsia="ko-KR"/>
        </w:rPr>
        <w:t>ies</w:t>
      </w:r>
      <w:r w:rsidR="00FB4CA6" w:rsidRPr="002E1A3F">
        <w:rPr>
          <w:rFonts w:ascii="Calibri" w:eastAsia="Batang" w:hAnsi="Calibri" w:cs="Calibri"/>
          <w:color w:val="auto"/>
          <w:sz w:val="22"/>
          <w:szCs w:val="22"/>
          <w:lang w:eastAsia="ko-KR"/>
        </w:rPr>
        <w:t xml:space="preserve">, quarterly unaudited IFRs will be submitted no later than 45 days after the end of the quarter. The IFRs will be designed to provide relevant and timely information to the project’s management on all Second </w:t>
      </w:r>
      <w:r w:rsidR="00BB4A89">
        <w:rPr>
          <w:rFonts w:ascii="Calibri" w:eastAsia="Batang" w:hAnsi="Calibri" w:cs="Calibri"/>
          <w:color w:val="auto"/>
          <w:sz w:val="22"/>
          <w:szCs w:val="22"/>
          <w:lang w:eastAsia="ko-KR"/>
        </w:rPr>
        <w:t>ACE Impact Project</w:t>
      </w:r>
      <w:r w:rsidR="00FB4CA6" w:rsidRPr="002E1A3F">
        <w:rPr>
          <w:rFonts w:ascii="Calibri" w:eastAsia="Batang" w:hAnsi="Calibri" w:cs="Calibri"/>
          <w:color w:val="auto"/>
          <w:sz w:val="22"/>
          <w:szCs w:val="22"/>
          <w:lang w:eastAsia="ko-KR"/>
        </w:rPr>
        <w:t xml:space="preserve"> related activities implemented by these entities. The formats and contents of the IFR were agreed on between the World Bank and the regional and national implementing entities during negotiations. These reports should show clearly and</w:t>
      </w:r>
      <w:r w:rsidR="009A45AF">
        <w:rPr>
          <w:rFonts w:ascii="Calibri" w:eastAsia="Batang" w:hAnsi="Calibri" w:cs="Calibri"/>
          <w:color w:val="auto"/>
          <w:sz w:val="22"/>
          <w:szCs w:val="22"/>
          <w:lang w:eastAsia="ko-KR"/>
        </w:rPr>
        <w:t>,</w:t>
      </w:r>
      <w:r w:rsidR="00FB4CA6" w:rsidRPr="002E1A3F">
        <w:rPr>
          <w:rFonts w:ascii="Calibri" w:eastAsia="Batang" w:hAnsi="Calibri" w:cs="Calibri"/>
          <w:color w:val="auto"/>
          <w:sz w:val="22"/>
          <w:szCs w:val="22"/>
          <w:lang w:eastAsia="ko-KR"/>
        </w:rPr>
        <w:t xml:space="preserve"> at a minimum</w:t>
      </w:r>
      <w:r w:rsidR="009A45AF">
        <w:rPr>
          <w:rFonts w:ascii="Calibri" w:eastAsia="Batang" w:hAnsi="Calibri" w:cs="Calibri"/>
          <w:color w:val="auto"/>
          <w:sz w:val="22"/>
          <w:szCs w:val="22"/>
          <w:lang w:eastAsia="ko-KR"/>
        </w:rPr>
        <w:t>,</w:t>
      </w:r>
      <w:r w:rsidR="00FB4CA6" w:rsidRPr="002E1A3F">
        <w:rPr>
          <w:rFonts w:ascii="Calibri" w:eastAsia="Batang" w:hAnsi="Calibri" w:cs="Calibri"/>
          <w:color w:val="auto"/>
          <w:sz w:val="22"/>
          <w:szCs w:val="22"/>
          <w:lang w:eastAsia="ko-KR"/>
        </w:rPr>
        <w:t xml:space="preserve"> include: </w:t>
      </w:r>
    </w:p>
    <w:p w14:paraId="191C940B" w14:textId="77777777" w:rsidR="003E66A9" w:rsidRPr="00EC5B7D" w:rsidRDefault="00B00100" w:rsidP="006C70A5">
      <w:pPr>
        <w:widowControl/>
        <w:numPr>
          <w:ilvl w:val="0"/>
          <w:numId w:val="51"/>
        </w:numPr>
        <w:autoSpaceDE/>
        <w:autoSpaceDN/>
        <w:adjustRightInd/>
        <w:spacing w:after="240"/>
        <w:ind w:left="990" w:right="720"/>
        <w:jc w:val="both"/>
        <w:rPr>
          <w:rFonts w:ascii="Calibri" w:eastAsia="Batang" w:hAnsi="Calibri" w:cs="Calibri"/>
          <w:color w:val="auto"/>
          <w:sz w:val="22"/>
          <w:szCs w:val="22"/>
          <w:lang w:eastAsia="ko-KR"/>
        </w:rPr>
      </w:pPr>
      <w:r w:rsidRPr="00EC5B7D">
        <w:rPr>
          <w:rFonts w:ascii="Calibri" w:eastAsia="Batang" w:hAnsi="Calibri" w:cs="Calibri"/>
          <w:color w:val="auto"/>
          <w:sz w:val="22"/>
          <w:szCs w:val="22"/>
          <w:lang w:eastAsia="ko-KR"/>
        </w:rPr>
        <w:t xml:space="preserve">A statement of sources and uses of funds showing the use of funds by components as per the PAD </w:t>
      </w:r>
    </w:p>
    <w:p w14:paraId="786821AA" w14:textId="77777777" w:rsidR="003E66A9" w:rsidRPr="00EC5B7D" w:rsidRDefault="00B00100" w:rsidP="006C70A5">
      <w:pPr>
        <w:widowControl/>
        <w:numPr>
          <w:ilvl w:val="0"/>
          <w:numId w:val="51"/>
        </w:numPr>
        <w:autoSpaceDE/>
        <w:autoSpaceDN/>
        <w:adjustRightInd/>
        <w:spacing w:after="240"/>
        <w:ind w:left="990" w:right="720"/>
        <w:jc w:val="both"/>
        <w:rPr>
          <w:rFonts w:ascii="Calibri" w:eastAsia="Batang" w:hAnsi="Calibri" w:cs="Calibri"/>
          <w:color w:val="auto"/>
          <w:sz w:val="22"/>
          <w:szCs w:val="22"/>
          <w:lang w:eastAsia="ko-KR"/>
        </w:rPr>
      </w:pPr>
      <w:r w:rsidRPr="00EC5B7D">
        <w:rPr>
          <w:rFonts w:ascii="Calibri" w:eastAsia="Batang" w:hAnsi="Calibri" w:cs="Calibri"/>
          <w:color w:val="auto"/>
          <w:sz w:val="22"/>
          <w:szCs w:val="22"/>
          <w:lang w:eastAsia="ko-KR"/>
        </w:rPr>
        <w:t xml:space="preserve">A statement of sources and uses of funds showing the expenditure by category as per the </w:t>
      </w:r>
      <w:r w:rsidR="009A45AF">
        <w:rPr>
          <w:rFonts w:ascii="Calibri" w:eastAsia="Batang" w:hAnsi="Calibri" w:cs="Calibri"/>
          <w:color w:val="auto"/>
          <w:sz w:val="22"/>
          <w:szCs w:val="22"/>
          <w:lang w:eastAsia="ko-KR"/>
        </w:rPr>
        <w:t>FA</w:t>
      </w:r>
      <w:r w:rsidRPr="00EC5B7D">
        <w:rPr>
          <w:rFonts w:ascii="Calibri" w:eastAsia="Batang" w:hAnsi="Calibri" w:cs="Calibri"/>
          <w:color w:val="auto"/>
          <w:sz w:val="22"/>
          <w:szCs w:val="22"/>
          <w:lang w:eastAsia="ko-KR"/>
        </w:rPr>
        <w:t xml:space="preserve"> </w:t>
      </w:r>
    </w:p>
    <w:p w14:paraId="4DE07563" w14:textId="77777777" w:rsidR="003E66A9" w:rsidRPr="00EC5B7D" w:rsidRDefault="00B00100" w:rsidP="006C70A5">
      <w:pPr>
        <w:widowControl/>
        <w:numPr>
          <w:ilvl w:val="0"/>
          <w:numId w:val="51"/>
        </w:numPr>
        <w:autoSpaceDE/>
        <w:autoSpaceDN/>
        <w:adjustRightInd/>
        <w:spacing w:after="240"/>
        <w:ind w:left="990" w:right="720"/>
        <w:jc w:val="both"/>
        <w:rPr>
          <w:rFonts w:ascii="Calibri" w:eastAsia="Batang" w:hAnsi="Calibri" w:cs="Calibri"/>
          <w:color w:val="auto"/>
          <w:sz w:val="22"/>
          <w:szCs w:val="22"/>
          <w:lang w:eastAsia="ko-KR"/>
        </w:rPr>
      </w:pPr>
      <w:r w:rsidRPr="00EC5B7D">
        <w:rPr>
          <w:rFonts w:ascii="Calibri" w:eastAsia="Batang" w:hAnsi="Calibri" w:cs="Calibri"/>
          <w:color w:val="auto"/>
          <w:sz w:val="22"/>
          <w:szCs w:val="22"/>
          <w:lang w:eastAsia="ko-KR"/>
        </w:rPr>
        <w:t xml:space="preserve">A budget variance report comparing the utilization of approved budget against </w:t>
      </w:r>
      <w:r w:rsidR="00350B51" w:rsidRPr="00C36914">
        <w:rPr>
          <w:rFonts w:ascii="Calibri" w:eastAsia="Batang" w:hAnsi="Calibri" w:cs="Calibri"/>
          <w:color w:val="auto"/>
          <w:sz w:val="22"/>
          <w:szCs w:val="22"/>
          <w:lang w:eastAsia="ko-KR"/>
        </w:rPr>
        <w:t>the expenditure</w:t>
      </w:r>
    </w:p>
    <w:p w14:paraId="37042FE8" w14:textId="77777777" w:rsidR="003E66A9" w:rsidRPr="00EC5B7D" w:rsidRDefault="00B00100" w:rsidP="006C70A5">
      <w:pPr>
        <w:widowControl/>
        <w:numPr>
          <w:ilvl w:val="0"/>
          <w:numId w:val="51"/>
        </w:numPr>
        <w:autoSpaceDE/>
        <w:autoSpaceDN/>
        <w:adjustRightInd/>
        <w:spacing w:after="240"/>
        <w:ind w:left="990" w:right="720"/>
        <w:jc w:val="both"/>
        <w:rPr>
          <w:rFonts w:ascii="Calibri" w:eastAsia="Batang" w:hAnsi="Calibri" w:cs="Calibri"/>
          <w:color w:val="auto"/>
          <w:sz w:val="22"/>
          <w:szCs w:val="22"/>
          <w:lang w:eastAsia="ko-KR"/>
        </w:rPr>
      </w:pPr>
      <w:r w:rsidRPr="00EC5B7D">
        <w:rPr>
          <w:rFonts w:ascii="Calibri" w:eastAsia="Batang" w:hAnsi="Calibri" w:cs="Calibri"/>
          <w:color w:val="auto"/>
          <w:sz w:val="22"/>
          <w:szCs w:val="22"/>
          <w:lang w:eastAsia="ko-KR"/>
        </w:rPr>
        <w:t xml:space="preserve">A </w:t>
      </w:r>
      <w:r w:rsidR="001578C3">
        <w:rPr>
          <w:rFonts w:ascii="Calibri" w:eastAsia="Batang" w:hAnsi="Calibri" w:cs="Calibri"/>
          <w:color w:val="auto"/>
          <w:sz w:val="22"/>
          <w:szCs w:val="22"/>
          <w:lang w:eastAsia="ko-KR"/>
        </w:rPr>
        <w:t>DA</w:t>
      </w:r>
      <w:r w:rsidRPr="00EC5B7D">
        <w:rPr>
          <w:rFonts w:ascii="Calibri" w:eastAsia="Batang" w:hAnsi="Calibri" w:cs="Calibri"/>
          <w:color w:val="auto"/>
          <w:sz w:val="22"/>
          <w:szCs w:val="22"/>
          <w:lang w:eastAsia="ko-KR"/>
        </w:rPr>
        <w:t xml:space="preserve"> reconciliation statement including a cash forecast (for AAU, NUC and the PCU-Gambia)</w:t>
      </w:r>
    </w:p>
    <w:p w14:paraId="36AEA210" w14:textId="77777777" w:rsidR="003E66A9" w:rsidRPr="00EC5B7D" w:rsidRDefault="00B00100" w:rsidP="006C70A5">
      <w:pPr>
        <w:widowControl/>
        <w:numPr>
          <w:ilvl w:val="0"/>
          <w:numId w:val="51"/>
        </w:numPr>
        <w:autoSpaceDE/>
        <w:autoSpaceDN/>
        <w:adjustRightInd/>
        <w:spacing w:after="240"/>
        <w:ind w:left="990" w:right="720"/>
        <w:jc w:val="both"/>
        <w:rPr>
          <w:rFonts w:ascii="Calibri" w:eastAsia="Batang" w:hAnsi="Calibri" w:cs="Calibri"/>
          <w:color w:val="auto"/>
          <w:sz w:val="22"/>
          <w:szCs w:val="22"/>
          <w:lang w:eastAsia="ko-KR"/>
        </w:rPr>
      </w:pPr>
      <w:r w:rsidRPr="00EC5B7D">
        <w:rPr>
          <w:rFonts w:ascii="Calibri" w:eastAsia="Batang" w:hAnsi="Calibri" w:cs="Calibri"/>
          <w:color w:val="auto"/>
          <w:sz w:val="22"/>
          <w:szCs w:val="22"/>
          <w:lang w:eastAsia="ko-KR"/>
        </w:rPr>
        <w:t>Any other report that shall be required to provide further and relevant information on project expenditure including the EEP Spending Report for the RBF components</w:t>
      </w:r>
      <w:r w:rsidR="009A45AF">
        <w:rPr>
          <w:rFonts w:ascii="Calibri" w:eastAsia="Batang" w:hAnsi="Calibri" w:cs="Calibri"/>
          <w:color w:val="auto"/>
          <w:sz w:val="22"/>
          <w:szCs w:val="22"/>
          <w:lang w:eastAsia="ko-KR"/>
        </w:rPr>
        <w:t xml:space="preserve"> (</w:t>
      </w:r>
      <w:r w:rsidR="00350B51">
        <w:rPr>
          <w:rFonts w:ascii="Calibri" w:eastAsia="Batang" w:hAnsi="Calibri" w:cs="Calibri"/>
          <w:color w:val="auto"/>
          <w:sz w:val="22"/>
          <w:szCs w:val="22"/>
          <w:lang w:eastAsia="ko-KR"/>
        </w:rPr>
        <w:t xml:space="preserve">Component 1 and </w:t>
      </w:r>
      <w:r w:rsidR="00E63807">
        <w:rPr>
          <w:rFonts w:ascii="Calibri" w:eastAsia="Batang" w:hAnsi="Calibri" w:cs="Calibri"/>
          <w:color w:val="auto"/>
          <w:sz w:val="22"/>
          <w:szCs w:val="22"/>
          <w:lang w:eastAsia="ko-KR"/>
        </w:rPr>
        <w:t>S</w:t>
      </w:r>
      <w:r w:rsidR="00350B51">
        <w:rPr>
          <w:rFonts w:ascii="Calibri" w:eastAsia="Batang" w:hAnsi="Calibri" w:cs="Calibri"/>
          <w:color w:val="auto"/>
          <w:sz w:val="22"/>
          <w:szCs w:val="22"/>
          <w:lang w:eastAsia="ko-KR"/>
        </w:rPr>
        <w:t>ub</w:t>
      </w:r>
      <w:r w:rsidR="00E00B72">
        <w:rPr>
          <w:rFonts w:ascii="Calibri" w:eastAsia="Batang" w:hAnsi="Calibri" w:cs="Calibri"/>
          <w:color w:val="auto"/>
          <w:sz w:val="22"/>
          <w:szCs w:val="22"/>
          <w:lang w:eastAsia="ko-KR"/>
        </w:rPr>
        <w:t>-</w:t>
      </w:r>
      <w:r w:rsidR="00E63807">
        <w:rPr>
          <w:rFonts w:ascii="Calibri" w:eastAsia="Batang" w:hAnsi="Calibri" w:cs="Calibri"/>
          <w:color w:val="auto"/>
          <w:sz w:val="22"/>
          <w:szCs w:val="22"/>
          <w:lang w:eastAsia="ko-KR"/>
        </w:rPr>
        <w:t>c</w:t>
      </w:r>
      <w:r w:rsidR="00350B51">
        <w:rPr>
          <w:rFonts w:ascii="Calibri" w:eastAsia="Batang" w:hAnsi="Calibri" w:cs="Calibri"/>
          <w:color w:val="auto"/>
          <w:sz w:val="22"/>
          <w:szCs w:val="22"/>
          <w:lang w:eastAsia="ko-KR"/>
        </w:rPr>
        <w:t>omponent 2.1</w:t>
      </w:r>
      <w:r w:rsidR="009A45AF">
        <w:rPr>
          <w:rFonts w:ascii="Calibri" w:eastAsia="Batang" w:hAnsi="Calibri" w:cs="Calibri"/>
          <w:color w:val="auto"/>
          <w:sz w:val="22"/>
          <w:szCs w:val="22"/>
          <w:lang w:eastAsia="ko-KR"/>
        </w:rPr>
        <w:t>)</w:t>
      </w:r>
    </w:p>
    <w:p w14:paraId="648BFDED" w14:textId="77777777" w:rsidR="003E66A9" w:rsidRPr="00F8554F" w:rsidRDefault="00B00100" w:rsidP="004C3091">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F8554F">
        <w:rPr>
          <w:rFonts w:ascii="Calibri" w:eastAsia="Batang" w:hAnsi="Calibri" w:cs="Calibri"/>
          <w:color w:val="auto"/>
          <w:sz w:val="22"/>
          <w:szCs w:val="22"/>
          <w:lang w:eastAsia="ko-KR"/>
        </w:rPr>
        <w:t xml:space="preserve">All Second ACE Impact centers </w:t>
      </w:r>
      <w:bookmarkStart w:id="413" w:name="_Hlk534925884"/>
      <w:r w:rsidRPr="00F8554F">
        <w:rPr>
          <w:rFonts w:ascii="Calibri" w:eastAsia="Batang" w:hAnsi="Calibri" w:cs="Calibri"/>
          <w:color w:val="auto"/>
          <w:sz w:val="22"/>
          <w:szCs w:val="22"/>
          <w:lang w:eastAsia="ko-KR"/>
        </w:rPr>
        <w:t>(</w:t>
      </w:r>
      <w:r w:rsidR="00A271D4">
        <w:rPr>
          <w:rFonts w:ascii="Calibri" w:eastAsia="Batang" w:hAnsi="Calibri" w:cs="Calibri"/>
          <w:color w:val="auto"/>
          <w:sz w:val="22"/>
          <w:szCs w:val="22"/>
          <w:lang w:eastAsia="ko-KR"/>
        </w:rPr>
        <w:t>N</w:t>
      </w:r>
      <w:r w:rsidRPr="00F8554F">
        <w:rPr>
          <w:rFonts w:ascii="Calibri" w:eastAsia="Batang" w:hAnsi="Calibri" w:cs="Calibri"/>
          <w:color w:val="auto"/>
          <w:sz w:val="22"/>
          <w:szCs w:val="22"/>
          <w:lang w:eastAsia="ko-KR"/>
        </w:rPr>
        <w:t xml:space="preserve">ew, </w:t>
      </w:r>
      <w:r w:rsidR="00A271D4">
        <w:rPr>
          <w:rFonts w:ascii="Calibri" w:eastAsia="Batang" w:hAnsi="Calibri" w:cs="Calibri"/>
          <w:color w:val="auto"/>
          <w:sz w:val="22"/>
          <w:szCs w:val="22"/>
          <w:lang w:eastAsia="ko-KR"/>
        </w:rPr>
        <w:t>R</w:t>
      </w:r>
      <w:r w:rsidRPr="00F8554F">
        <w:rPr>
          <w:rFonts w:ascii="Calibri" w:eastAsia="Batang" w:hAnsi="Calibri" w:cs="Calibri"/>
          <w:color w:val="auto"/>
          <w:sz w:val="22"/>
          <w:szCs w:val="22"/>
          <w:lang w:eastAsia="ko-KR"/>
        </w:rPr>
        <w:t>enewal and Emerging</w:t>
      </w:r>
      <w:r w:rsidRPr="005735A6">
        <w:rPr>
          <w:rFonts w:ascii="Calibri" w:eastAsia="Batang" w:hAnsi="Calibri" w:cs="Calibri"/>
          <w:color w:val="auto"/>
          <w:sz w:val="22"/>
          <w:szCs w:val="22"/>
          <w:lang w:eastAsia="ko-KR"/>
        </w:rPr>
        <w:t>)</w:t>
      </w:r>
      <w:bookmarkEnd w:id="413"/>
      <w:r w:rsidRPr="00F8554F">
        <w:rPr>
          <w:rFonts w:ascii="Calibri" w:eastAsia="Batang" w:hAnsi="Calibri" w:cs="Calibri"/>
          <w:color w:val="auto"/>
          <w:sz w:val="22"/>
          <w:szCs w:val="22"/>
          <w:lang w:eastAsia="ko-KR"/>
        </w:rPr>
        <w:t xml:space="preserve"> will be required to prepare and submit semiannual unaudited IFRs to report on activities funded under the project, that are acceptable to the World Bank, no later than 45 days after the end of semester.</w:t>
      </w:r>
      <w:r w:rsidRPr="007A6F32">
        <w:rPr>
          <w:rFonts w:ascii="Calibri" w:eastAsia="Batang" w:hAnsi="Calibri" w:cs="Calibri"/>
          <w:color w:val="auto"/>
          <w:sz w:val="22"/>
          <w:szCs w:val="22"/>
          <w:lang w:eastAsia="ko-KR"/>
        </w:rPr>
        <w:t xml:space="preserve"> The EEPs, will be reported semi-annually for each center, using a revised and improved IFR template (building on the </w:t>
      </w:r>
      <w:r w:rsidR="00BB4A89">
        <w:rPr>
          <w:rFonts w:ascii="Calibri" w:eastAsia="Batang" w:hAnsi="Calibri" w:cs="Calibri"/>
          <w:color w:val="auto"/>
          <w:sz w:val="22"/>
          <w:szCs w:val="22"/>
          <w:lang w:eastAsia="ko-KR"/>
        </w:rPr>
        <w:t>ACE I Project</w:t>
      </w:r>
      <w:r w:rsidRPr="007A6F32">
        <w:rPr>
          <w:rFonts w:ascii="Calibri" w:eastAsia="Batang" w:hAnsi="Calibri" w:cs="Calibri"/>
          <w:color w:val="auto"/>
          <w:sz w:val="22"/>
          <w:szCs w:val="22"/>
          <w:lang w:eastAsia="ko-KR"/>
        </w:rPr>
        <w:t xml:space="preserve"> IFR template). Further, the EEPs will be </w:t>
      </w:r>
      <w:r w:rsidRPr="00F8554F">
        <w:rPr>
          <w:rFonts w:ascii="Calibri" w:eastAsia="Batang" w:hAnsi="Calibri" w:cs="Calibri"/>
          <w:color w:val="auto"/>
          <w:sz w:val="22"/>
          <w:szCs w:val="22"/>
          <w:lang w:eastAsia="ko-KR"/>
        </w:rPr>
        <w:t>audited</w:t>
      </w:r>
      <w:r w:rsidRPr="007A6F32">
        <w:rPr>
          <w:rFonts w:ascii="Calibri" w:eastAsia="Batang" w:hAnsi="Calibri" w:cs="Calibri"/>
          <w:color w:val="auto"/>
          <w:sz w:val="22"/>
          <w:szCs w:val="22"/>
          <w:lang w:eastAsia="ko-KR"/>
        </w:rPr>
        <w:t xml:space="preserve"> annually through the external financial audits.  The revised IFR template for the centers will include an </w:t>
      </w:r>
      <w:r w:rsidRPr="00F8554F">
        <w:rPr>
          <w:rFonts w:ascii="Calibri" w:eastAsia="Batang" w:hAnsi="Calibri" w:cs="Calibri"/>
          <w:color w:val="auto"/>
          <w:sz w:val="22"/>
          <w:szCs w:val="22"/>
          <w:lang w:eastAsia="ko-KR"/>
        </w:rPr>
        <w:t>EEP Statement verified by each center’s Internal Audit unit, reflecting</w:t>
      </w:r>
      <w:r w:rsidRPr="007A6F32">
        <w:rPr>
          <w:rFonts w:ascii="Calibri" w:eastAsia="Batang" w:hAnsi="Calibri" w:cs="Calibri"/>
          <w:color w:val="auto"/>
          <w:sz w:val="22"/>
          <w:szCs w:val="22"/>
          <w:lang w:eastAsia="ko-KR"/>
        </w:rPr>
        <w:t xml:space="preserve"> a standardized reporting of the EEPs in addition to building on the </w:t>
      </w:r>
      <w:r w:rsidR="00BB4A89">
        <w:rPr>
          <w:rFonts w:ascii="Calibri" w:eastAsia="Batang" w:hAnsi="Calibri" w:cs="Calibri"/>
          <w:color w:val="auto"/>
          <w:sz w:val="22"/>
          <w:szCs w:val="22"/>
          <w:lang w:eastAsia="ko-KR"/>
        </w:rPr>
        <w:t>ACE I Project</w:t>
      </w:r>
      <w:r w:rsidRPr="007A6F32">
        <w:rPr>
          <w:rFonts w:ascii="Calibri" w:eastAsia="Batang" w:hAnsi="Calibri" w:cs="Calibri"/>
          <w:color w:val="auto"/>
          <w:sz w:val="22"/>
          <w:szCs w:val="22"/>
          <w:lang w:eastAsia="ko-KR"/>
        </w:rPr>
        <w:t xml:space="preserve"> experience.  </w:t>
      </w:r>
    </w:p>
    <w:p w14:paraId="69995D30" w14:textId="77777777" w:rsidR="003E66A9" w:rsidRPr="007A6F32"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4E2767">
        <w:rPr>
          <w:rFonts w:ascii="Calibri" w:eastAsia="Batang" w:hAnsi="Calibri" w:cs="Calibri"/>
          <w:color w:val="auto"/>
          <w:sz w:val="22"/>
          <w:szCs w:val="22"/>
          <w:lang w:eastAsia="ko-KR"/>
        </w:rPr>
        <w:t>All implementing entities will prepare annual financial statements within three months following the end of the financial year in accordance with consistently applied accounting standards acceptable to IDA. Thereafter, all the implementing entities will be responsible for ensuring their reports are audited and submitted to IDA within six months after the end of the financial year.</w:t>
      </w:r>
    </w:p>
    <w:p w14:paraId="3B98F073" w14:textId="77777777" w:rsidR="003E66A9" w:rsidRDefault="00B00100" w:rsidP="00FC1A97">
      <w:pPr>
        <w:widowControl/>
        <w:autoSpaceDE/>
        <w:autoSpaceDN/>
        <w:adjustRightInd/>
        <w:spacing w:after="240"/>
        <w:ind w:right="720"/>
        <w:jc w:val="both"/>
        <w:rPr>
          <w:rFonts w:ascii="Calibri" w:eastAsia="Batang" w:hAnsi="Calibri" w:cs="Calibri"/>
          <w:color w:val="auto"/>
          <w:sz w:val="22"/>
          <w:szCs w:val="22"/>
          <w:lang w:eastAsia="ko-KR"/>
        </w:rPr>
      </w:pPr>
      <w:r w:rsidRPr="002E1A3F">
        <w:rPr>
          <w:rFonts w:ascii="Calibri" w:eastAsia="Calibri" w:hAnsi="Calibri" w:cs="Times New Roman"/>
          <w:b/>
          <w:i/>
          <w:color w:val="0070C0"/>
          <w:sz w:val="22"/>
          <w:szCs w:val="22"/>
          <w:lang w:eastAsia="ko-KR"/>
        </w:rPr>
        <w:t xml:space="preserve">External </w:t>
      </w:r>
      <w:r w:rsidRPr="002E1A3F">
        <w:rPr>
          <w:rFonts w:ascii="Calibri" w:eastAsia="Times New Roman" w:hAnsi="Calibri" w:cs="Calibri"/>
          <w:b/>
          <w:i/>
          <w:color w:val="0070C0"/>
          <w:sz w:val="22"/>
          <w:szCs w:val="22"/>
          <w:lang w:eastAsia="ko-KR"/>
        </w:rPr>
        <w:t>Audit</w:t>
      </w:r>
      <w:r w:rsidRPr="002E1A3F">
        <w:rPr>
          <w:rFonts w:ascii="Calibri" w:eastAsia="Calibri" w:hAnsi="Calibri" w:cs="Times New Roman"/>
          <w:b/>
          <w:i/>
          <w:color w:val="0070C0"/>
          <w:sz w:val="22"/>
          <w:szCs w:val="22"/>
          <w:lang w:eastAsia="ko-KR"/>
        </w:rPr>
        <w:t xml:space="preserve"> Arrangements</w:t>
      </w:r>
    </w:p>
    <w:p w14:paraId="754D48D6" w14:textId="77777777" w:rsidR="003E66A9" w:rsidRDefault="00B00100" w:rsidP="006C70A5">
      <w:pPr>
        <w:widowControl/>
        <w:numPr>
          <w:ilvl w:val="0"/>
          <w:numId w:val="30"/>
        </w:numPr>
        <w:autoSpaceDE/>
        <w:autoSpaceDN/>
        <w:adjustRightInd/>
        <w:spacing w:after="240"/>
        <w:ind w:right="720" w:firstLine="0"/>
        <w:jc w:val="both"/>
        <w:rPr>
          <w:rFonts w:ascii="Calibri" w:eastAsia="Batang" w:hAnsi="Calibri" w:cs="Calibri"/>
          <w:color w:val="auto"/>
          <w:sz w:val="22"/>
          <w:szCs w:val="22"/>
          <w:lang w:eastAsia="ko-KR"/>
        </w:rPr>
      </w:pPr>
      <w:r w:rsidRPr="007A6F32">
        <w:rPr>
          <w:rFonts w:ascii="Calibri" w:eastAsia="Batang" w:hAnsi="Calibri" w:cs="Calibri"/>
          <w:color w:val="auto"/>
          <w:sz w:val="22"/>
          <w:szCs w:val="22"/>
          <w:lang w:eastAsia="ko-KR"/>
        </w:rPr>
        <w:t xml:space="preserve">All audits will be carried out in accordance with International Standards on Auditing (ISA) issued by International Federation of Accountants or International Standards for Supreme Audit Institutions </w:t>
      </w:r>
      <w:r w:rsidRPr="007A6F32">
        <w:rPr>
          <w:rFonts w:ascii="Calibri" w:eastAsia="Batang" w:hAnsi="Calibri" w:cs="Calibri"/>
          <w:color w:val="auto"/>
          <w:sz w:val="22"/>
          <w:szCs w:val="22"/>
          <w:lang w:eastAsia="ko-KR"/>
        </w:rPr>
        <w:lastRenderedPageBreak/>
        <w:t xml:space="preserve">issued by the International Organization for Supreme Audit Institutions. Depending on the circumstances in each center, the audit may be done by the Supreme Audit Institution or where that is not practical the audit will be done by a private audit firm. In situations where a private audit firm is undertaking the audit, it is required that the firm is recruited in line with World Bank Procurement Guidelines to ensure competitive selection. In this regard, the ToRs will be reviewed and cleared by the </w:t>
      </w:r>
      <w:r w:rsidR="00C00B64">
        <w:rPr>
          <w:rFonts w:asciiTheme="minorHAnsi" w:eastAsiaTheme="minorHAnsi" w:hAnsiTheme="minorHAnsi" w:cstheme="minorHAnsi"/>
          <w:color w:val="auto"/>
          <w:sz w:val="22"/>
          <w:szCs w:val="22"/>
        </w:rPr>
        <w:t>World</w:t>
      </w:r>
      <w:r w:rsidR="00C00B64" w:rsidRPr="007A6F32">
        <w:rPr>
          <w:rFonts w:ascii="Calibri" w:eastAsia="Batang" w:hAnsi="Calibri" w:cs="Calibri"/>
          <w:color w:val="auto"/>
          <w:sz w:val="22"/>
          <w:szCs w:val="22"/>
          <w:lang w:eastAsia="ko-KR"/>
        </w:rPr>
        <w:t xml:space="preserve"> </w:t>
      </w:r>
      <w:r w:rsidRPr="007A6F32">
        <w:rPr>
          <w:rFonts w:ascii="Calibri" w:eastAsia="Batang" w:hAnsi="Calibri" w:cs="Calibri"/>
          <w:color w:val="auto"/>
          <w:sz w:val="22"/>
          <w:szCs w:val="22"/>
          <w:lang w:eastAsia="ko-KR"/>
        </w:rPr>
        <w:t>Bank. Irrespective of the entity undertaking the audit, the centers must ensure all EEPs (and ACE investments) are audited.  External auditors will be appointed within six months after project effectiveness</w:t>
      </w:r>
      <w:r w:rsidR="007C5E4D">
        <w:rPr>
          <w:rFonts w:ascii="Calibri" w:eastAsia="Batang" w:hAnsi="Calibri" w:cs="Calibri"/>
          <w:color w:val="auto"/>
          <w:sz w:val="22"/>
          <w:szCs w:val="22"/>
          <w:lang w:eastAsia="ko-KR"/>
        </w:rPr>
        <w:t xml:space="preserve"> for each c</w:t>
      </w:r>
      <w:r w:rsidR="00E00B72">
        <w:rPr>
          <w:rFonts w:ascii="Calibri" w:eastAsia="Batang" w:hAnsi="Calibri" w:cs="Calibri"/>
          <w:color w:val="auto"/>
          <w:sz w:val="22"/>
          <w:szCs w:val="22"/>
          <w:lang w:eastAsia="ko-KR"/>
        </w:rPr>
        <w:t>enter</w:t>
      </w:r>
      <w:r w:rsidRPr="007A6F32">
        <w:rPr>
          <w:rFonts w:ascii="Calibri" w:eastAsia="Batang" w:hAnsi="Calibri" w:cs="Calibri"/>
          <w:color w:val="auto"/>
          <w:sz w:val="22"/>
          <w:szCs w:val="22"/>
          <w:lang w:eastAsia="ko-KR"/>
        </w:rPr>
        <w:t xml:space="preserve">. Audit reports together with management letters must be submitted to the World Bank within six months after the end of the respective government’s fiscal year. In accordance with World Bank Policy on Access to Information, the </w:t>
      </w:r>
      <w:r w:rsidR="002C321F">
        <w:rPr>
          <w:rFonts w:ascii="Calibri" w:eastAsia="Batang" w:hAnsi="Calibri" w:cs="Calibri"/>
          <w:color w:val="auto"/>
          <w:sz w:val="22"/>
          <w:szCs w:val="22"/>
          <w:lang w:eastAsia="ko-KR"/>
        </w:rPr>
        <w:t>Recipient</w:t>
      </w:r>
      <w:r w:rsidRPr="007A6F32">
        <w:rPr>
          <w:rFonts w:ascii="Calibri" w:eastAsia="Batang" w:hAnsi="Calibri" w:cs="Calibri"/>
          <w:color w:val="auto"/>
          <w:sz w:val="22"/>
          <w:szCs w:val="22"/>
          <w:lang w:eastAsia="ko-KR"/>
        </w:rPr>
        <w:t xml:space="preserve"> is required to make its audited financial statements publicly available in a manner acceptable to IDA. Following the World Bank’s formal receipt of these statements from the borrower, the World Bank also makes them available to the public. Contributions to the scholarship fund (RSIF) will also be separately audited as part of the World Bank</w:t>
      </w:r>
      <w:r w:rsidR="009A45AF">
        <w:rPr>
          <w:rFonts w:ascii="Calibri" w:eastAsia="Batang" w:hAnsi="Calibri" w:cs="Calibri"/>
          <w:color w:val="auto"/>
          <w:sz w:val="22"/>
          <w:szCs w:val="22"/>
          <w:lang w:eastAsia="ko-KR"/>
        </w:rPr>
        <w:t>-</w:t>
      </w:r>
      <w:r w:rsidRPr="007A6F32">
        <w:rPr>
          <w:rFonts w:ascii="Calibri" w:eastAsia="Batang" w:hAnsi="Calibri" w:cs="Calibri"/>
          <w:color w:val="auto"/>
          <w:sz w:val="22"/>
          <w:szCs w:val="22"/>
          <w:lang w:eastAsia="ko-KR"/>
        </w:rPr>
        <w:t xml:space="preserve">funded RSIF </w:t>
      </w:r>
      <w:r w:rsidR="009A45AF">
        <w:rPr>
          <w:rFonts w:ascii="Calibri" w:eastAsia="Batang" w:hAnsi="Calibri" w:cs="Calibri"/>
          <w:color w:val="auto"/>
          <w:sz w:val="22"/>
          <w:szCs w:val="22"/>
          <w:lang w:eastAsia="ko-KR"/>
        </w:rPr>
        <w:t>P</w:t>
      </w:r>
      <w:r w:rsidRPr="007A6F32">
        <w:rPr>
          <w:rFonts w:ascii="Calibri" w:eastAsia="Batang" w:hAnsi="Calibri" w:cs="Calibri"/>
          <w:color w:val="auto"/>
          <w:sz w:val="22"/>
          <w:szCs w:val="22"/>
          <w:lang w:eastAsia="ko-KR"/>
        </w:rPr>
        <w:t>roject. A summary of the audit arrangement</w:t>
      </w:r>
      <w:r w:rsidR="00F70DBD">
        <w:rPr>
          <w:rFonts w:ascii="Calibri" w:eastAsia="Batang" w:hAnsi="Calibri" w:cs="Calibri"/>
          <w:color w:val="auto"/>
          <w:sz w:val="22"/>
          <w:szCs w:val="22"/>
          <w:lang w:eastAsia="ko-KR"/>
        </w:rPr>
        <w:t>s</w:t>
      </w:r>
      <w:r w:rsidRPr="007A6F32">
        <w:rPr>
          <w:rFonts w:ascii="Calibri" w:eastAsia="Batang" w:hAnsi="Calibri" w:cs="Calibri"/>
          <w:color w:val="auto"/>
          <w:sz w:val="22"/>
          <w:szCs w:val="22"/>
          <w:lang w:eastAsia="ko-KR"/>
        </w:rPr>
        <w:t xml:space="preserve"> for the respective ACEs in each country is included in Table </w:t>
      </w:r>
      <w:r>
        <w:rPr>
          <w:rFonts w:ascii="Calibri" w:eastAsia="Batang" w:hAnsi="Calibri" w:cs="Calibri"/>
          <w:color w:val="auto"/>
          <w:sz w:val="22"/>
          <w:szCs w:val="22"/>
          <w:lang w:eastAsia="ko-KR"/>
        </w:rPr>
        <w:t xml:space="preserve">A2.2 below. </w:t>
      </w:r>
    </w:p>
    <w:p w14:paraId="30F02A83" w14:textId="77777777" w:rsidR="003E66A9" w:rsidRPr="00B61106" w:rsidRDefault="003E66A9" w:rsidP="00FB4CA6">
      <w:pPr>
        <w:pStyle w:val="ListParagraph"/>
        <w:numPr>
          <w:ilvl w:val="0"/>
          <w:numId w:val="52"/>
        </w:numPr>
        <w:jc w:val="both"/>
        <w:rPr>
          <w:rFonts w:eastAsia="Times New Roman"/>
          <w:b/>
          <w:bCs/>
          <w:color w:val="7F7F7F"/>
        </w:rPr>
        <w:sectPr w:rsidR="003E66A9" w:rsidRPr="00B61106" w:rsidSect="0037713F">
          <w:pgSz w:w="12240" w:h="15840"/>
          <w:pgMar w:top="1440" w:right="720" w:bottom="1440" w:left="1440" w:header="720" w:footer="720" w:gutter="0"/>
          <w:cols w:space="720"/>
          <w:docGrid w:linePitch="360"/>
        </w:sectPr>
      </w:pPr>
    </w:p>
    <w:p w14:paraId="089BA54E" w14:textId="77777777" w:rsidR="003E66A9" w:rsidRDefault="00B00100" w:rsidP="003E66A9">
      <w:pPr>
        <w:spacing w:after="120"/>
        <w:ind w:left="-270" w:right="-270"/>
        <w:jc w:val="center"/>
        <w:rPr>
          <w:rFonts w:ascii="Calibri" w:eastAsia="Times New Roman" w:hAnsi="Calibri" w:cs="Calibri"/>
          <w:b/>
          <w:i/>
          <w:sz w:val="22"/>
          <w:szCs w:val="22"/>
        </w:rPr>
      </w:pPr>
      <w:r w:rsidRPr="002E1A3F">
        <w:rPr>
          <w:rFonts w:ascii="Calibri" w:eastAsia="Times New Roman" w:hAnsi="Calibri" w:cs="Calibri"/>
          <w:b/>
          <w:sz w:val="22"/>
          <w:szCs w:val="22"/>
        </w:rPr>
        <w:lastRenderedPageBreak/>
        <w:t xml:space="preserve">Table A2.2. </w:t>
      </w:r>
      <w:r w:rsidRPr="002E1A3F">
        <w:rPr>
          <w:rFonts w:ascii="Calibri" w:eastAsia="Times New Roman" w:hAnsi="Calibri" w:cs="Calibri"/>
          <w:b/>
          <w:i/>
          <w:sz w:val="22"/>
          <w:szCs w:val="22"/>
        </w:rPr>
        <w:t>Summary of Accounting, Banking and External Audit Arrangements</w:t>
      </w:r>
      <w:r w:rsidR="00E00B72">
        <w:rPr>
          <w:rFonts w:ascii="Calibri" w:eastAsia="Times New Roman" w:hAnsi="Calibri" w:cs="Calibri"/>
          <w:b/>
          <w:i/>
          <w:sz w:val="22"/>
          <w:szCs w:val="22"/>
        </w:rPr>
        <w:t xml:space="preserve"> for All Centers Supported Under the Second ACE Impact Project</w:t>
      </w:r>
    </w:p>
    <w:tbl>
      <w:tblPr>
        <w:tblStyle w:val="TableGrid20"/>
        <w:tblpPr w:leftFromText="180" w:rightFromText="180" w:vertAnchor="text" w:tblpXSpec="center" w:tblpY="1"/>
        <w:tblOverlap w:val="never"/>
        <w:tblW w:w="13230" w:type="dxa"/>
        <w:tblLayout w:type="fixed"/>
        <w:tblLook w:val="04A0" w:firstRow="1" w:lastRow="0" w:firstColumn="1" w:lastColumn="0" w:noHBand="0" w:noVBand="1"/>
      </w:tblPr>
      <w:tblGrid>
        <w:gridCol w:w="360"/>
        <w:gridCol w:w="990"/>
        <w:gridCol w:w="2160"/>
        <w:gridCol w:w="3626"/>
        <w:gridCol w:w="1679"/>
        <w:gridCol w:w="1080"/>
        <w:gridCol w:w="810"/>
        <w:gridCol w:w="990"/>
        <w:gridCol w:w="1535"/>
      </w:tblGrid>
      <w:tr w:rsidR="000C3959" w14:paraId="7465F24D" w14:textId="77777777" w:rsidTr="00126CD2">
        <w:trPr>
          <w:trHeight w:val="576"/>
          <w:tblHeader/>
        </w:trPr>
        <w:tc>
          <w:tcPr>
            <w:tcW w:w="360" w:type="dxa"/>
            <w:tcBorders>
              <w:bottom w:val="single" w:sz="12" w:space="0" w:color="auto"/>
            </w:tcBorders>
            <w:shd w:val="clear" w:color="auto" w:fill="BFBFBF"/>
          </w:tcPr>
          <w:p w14:paraId="56216046" w14:textId="77777777" w:rsidR="003E66A9" w:rsidRPr="002370B3" w:rsidRDefault="003E66A9" w:rsidP="00FB4CA6">
            <w:pPr>
              <w:pStyle w:val="ListParagraph"/>
              <w:widowControl/>
              <w:numPr>
                <w:ilvl w:val="0"/>
                <w:numId w:val="53"/>
              </w:numPr>
              <w:autoSpaceDE/>
              <w:autoSpaceDN/>
              <w:adjustRightInd/>
              <w:contextualSpacing w:val="0"/>
              <w:jc w:val="center"/>
              <w:rPr>
                <w:rFonts w:ascii="Calibri" w:eastAsia="Calibri" w:hAnsi="Calibri"/>
                <w:sz w:val="18"/>
                <w:szCs w:val="18"/>
              </w:rPr>
            </w:pPr>
          </w:p>
        </w:tc>
        <w:tc>
          <w:tcPr>
            <w:tcW w:w="3150" w:type="dxa"/>
            <w:gridSpan w:val="2"/>
            <w:tcBorders>
              <w:bottom w:val="single" w:sz="12" w:space="0" w:color="auto"/>
            </w:tcBorders>
            <w:shd w:val="clear" w:color="auto" w:fill="BFBFBF"/>
            <w:hideMark/>
          </w:tcPr>
          <w:p w14:paraId="59774D72" w14:textId="77777777" w:rsidR="003E66A9" w:rsidRPr="00653544" w:rsidRDefault="00B00100" w:rsidP="000E2725">
            <w:pPr>
              <w:jc w:val="center"/>
              <w:rPr>
                <w:rFonts w:ascii="Calibri" w:eastAsia="Calibri" w:hAnsi="Calibri" w:cs="Times New Roman"/>
                <w:b/>
                <w:sz w:val="18"/>
                <w:szCs w:val="18"/>
              </w:rPr>
            </w:pPr>
            <w:r w:rsidRPr="00653544">
              <w:rPr>
                <w:rFonts w:ascii="Calibri" w:eastAsia="Calibri" w:hAnsi="Calibri" w:cs="Times New Roman"/>
                <w:sz w:val="18"/>
                <w:szCs w:val="18"/>
              </w:rPr>
              <w:br w:type="page"/>
            </w:r>
            <w:r w:rsidRPr="00653544">
              <w:rPr>
                <w:rFonts w:ascii="Calibri" w:eastAsia="Calibri" w:hAnsi="Calibri" w:cs="Times New Roman"/>
                <w:b/>
                <w:sz w:val="18"/>
                <w:szCs w:val="18"/>
              </w:rPr>
              <w:t>University/National Coordination Unit</w:t>
            </w:r>
          </w:p>
        </w:tc>
        <w:tc>
          <w:tcPr>
            <w:tcW w:w="3626" w:type="dxa"/>
            <w:tcBorders>
              <w:bottom w:val="single" w:sz="12" w:space="0" w:color="auto"/>
            </w:tcBorders>
            <w:shd w:val="clear" w:color="auto" w:fill="BFBFBF"/>
          </w:tcPr>
          <w:p w14:paraId="50E2FD75" w14:textId="77777777" w:rsidR="003E66A9" w:rsidRPr="00B660A4" w:rsidRDefault="00B00100" w:rsidP="000E2725">
            <w:pPr>
              <w:jc w:val="center"/>
              <w:rPr>
                <w:rFonts w:ascii="Calibri" w:eastAsia="Calibri" w:hAnsi="Calibri" w:cs="Times New Roman"/>
                <w:b/>
                <w:sz w:val="18"/>
                <w:szCs w:val="18"/>
              </w:rPr>
            </w:pPr>
            <w:r w:rsidRPr="00B660A4">
              <w:rPr>
                <w:rFonts w:ascii="Calibri" w:eastAsia="Calibri" w:hAnsi="Calibri" w:cs="Times New Roman"/>
                <w:b/>
                <w:sz w:val="18"/>
                <w:szCs w:val="18"/>
              </w:rPr>
              <w:t>ACE</w:t>
            </w:r>
          </w:p>
        </w:tc>
        <w:tc>
          <w:tcPr>
            <w:tcW w:w="1679" w:type="dxa"/>
            <w:tcBorders>
              <w:bottom w:val="single" w:sz="12" w:space="0" w:color="auto"/>
            </w:tcBorders>
            <w:shd w:val="clear" w:color="auto" w:fill="BFBFBF"/>
          </w:tcPr>
          <w:p w14:paraId="2F2252B0" w14:textId="77777777" w:rsidR="003E66A9" w:rsidRPr="00B660A4" w:rsidRDefault="00B00100" w:rsidP="000E2725">
            <w:pPr>
              <w:jc w:val="center"/>
              <w:rPr>
                <w:rFonts w:ascii="Calibri" w:eastAsia="Calibri" w:hAnsi="Calibri" w:cs="Times New Roman"/>
                <w:b/>
                <w:sz w:val="18"/>
                <w:szCs w:val="18"/>
              </w:rPr>
            </w:pPr>
            <w:r w:rsidRPr="00B660A4">
              <w:rPr>
                <w:rFonts w:ascii="Calibri" w:eastAsia="Calibri" w:hAnsi="Calibri" w:cs="Times New Roman"/>
                <w:b/>
                <w:sz w:val="18"/>
                <w:szCs w:val="18"/>
              </w:rPr>
              <w:t>Accounting Standard</w:t>
            </w:r>
          </w:p>
        </w:tc>
        <w:tc>
          <w:tcPr>
            <w:tcW w:w="1080" w:type="dxa"/>
            <w:tcBorders>
              <w:bottom w:val="single" w:sz="12" w:space="0" w:color="auto"/>
            </w:tcBorders>
            <w:shd w:val="clear" w:color="auto" w:fill="BFBFBF"/>
          </w:tcPr>
          <w:p w14:paraId="52CAF3F7" w14:textId="77777777" w:rsidR="003E66A9" w:rsidRPr="00B660A4" w:rsidRDefault="00B00100" w:rsidP="000E2725">
            <w:pPr>
              <w:jc w:val="center"/>
              <w:rPr>
                <w:rFonts w:ascii="Calibri" w:eastAsia="Calibri" w:hAnsi="Calibri" w:cs="Times New Roman"/>
                <w:b/>
                <w:sz w:val="18"/>
                <w:szCs w:val="18"/>
              </w:rPr>
            </w:pPr>
            <w:r w:rsidRPr="00B660A4">
              <w:rPr>
                <w:rFonts w:ascii="Calibri" w:eastAsia="Calibri" w:hAnsi="Calibri" w:cs="Times New Roman"/>
                <w:b/>
                <w:sz w:val="18"/>
                <w:szCs w:val="18"/>
              </w:rPr>
              <w:t>Accounting Basis</w:t>
            </w:r>
          </w:p>
        </w:tc>
        <w:tc>
          <w:tcPr>
            <w:tcW w:w="810" w:type="dxa"/>
            <w:tcBorders>
              <w:bottom w:val="single" w:sz="12" w:space="0" w:color="auto"/>
            </w:tcBorders>
            <w:shd w:val="clear" w:color="auto" w:fill="BFBFBF"/>
          </w:tcPr>
          <w:p w14:paraId="4EFE3641" w14:textId="77777777" w:rsidR="003E66A9" w:rsidRPr="00B660A4" w:rsidRDefault="00B00100" w:rsidP="000E2725">
            <w:pPr>
              <w:jc w:val="center"/>
              <w:rPr>
                <w:rFonts w:ascii="Calibri" w:eastAsia="Calibri" w:hAnsi="Calibri" w:cs="Times New Roman"/>
                <w:b/>
                <w:sz w:val="18"/>
                <w:szCs w:val="18"/>
              </w:rPr>
            </w:pPr>
            <w:r w:rsidRPr="00B660A4">
              <w:rPr>
                <w:rFonts w:ascii="Calibri" w:eastAsia="Calibri" w:hAnsi="Calibri" w:cs="Times New Roman"/>
                <w:b/>
                <w:sz w:val="18"/>
                <w:szCs w:val="18"/>
              </w:rPr>
              <w:t>Auditor</w:t>
            </w:r>
          </w:p>
        </w:tc>
        <w:tc>
          <w:tcPr>
            <w:tcW w:w="990" w:type="dxa"/>
            <w:tcBorders>
              <w:bottom w:val="single" w:sz="12" w:space="0" w:color="auto"/>
            </w:tcBorders>
            <w:shd w:val="clear" w:color="auto" w:fill="BFBFBF"/>
          </w:tcPr>
          <w:p w14:paraId="09742832" w14:textId="77777777" w:rsidR="003E66A9" w:rsidRPr="00B660A4" w:rsidRDefault="00B00100" w:rsidP="000E2725">
            <w:pPr>
              <w:jc w:val="center"/>
              <w:rPr>
                <w:rFonts w:ascii="Calibri" w:eastAsia="Calibri" w:hAnsi="Calibri" w:cs="Times New Roman"/>
                <w:b/>
                <w:sz w:val="18"/>
                <w:szCs w:val="18"/>
              </w:rPr>
            </w:pPr>
            <w:r w:rsidRPr="00B660A4">
              <w:rPr>
                <w:rFonts w:ascii="Calibri" w:eastAsia="Calibri" w:hAnsi="Calibri" w:cs="Times New Roman"/>
                <w:b/>
                <w:sz w:val="18"/>
                <w:szCs w:val="18"/>
              </w:rPr>
              <w:t>Audit Standard</w:t>
            </w:r>
          </w:p>
        </w:tc>
        <w:tc>
          <w:tcPr>
            <w:tcW w:w="1535" w:type="dxa"/>
            <w:tcBorders>
              <w:bottom w:val="single" w:sz="12" w:space="0" w:color="auto"/>
            </w:tcBorders>
            <w:shd w:val="clear" w:color="auto" w:fill="BFBFBF"/>
          </w:tcPr>
          <w:p w14:paraId="4836ABB4" w14:textId="77777777" w:rsidR="003E66A9" w:rsidRPr="000C5398" w:rsidRDefault="00B00100" w:rsidP="000E2725">
            <w:pPr>
              <w:jc w:val="center"/>
              <w:rPr>
                <w:rFonts w:ascii="Calibri" w:eastAsia="Calibri" w:hAnsi="Calibri"/>
                <w:b/>
                <w:sz w:val="18"/>
                <w:szCs w:val="18"/>
              </w:rPr>
            </w:pPr>
            <w:r w:rsidRPr="000C5398">
              <w:rPr>
                <w:rFonts w:ascii="Calibri" w:eastAsia="Calibri" w:hAnsi="Calibri"/>
                <w:b/>
                <w:sz w:val="18"/>
                <w:szCs w:val="18"/>
              </w:rPr>
              <w:t>Audit Reporting Frequency</w:t>
            </w:r>
          </w:p>
        </w:tc>
      </w:tr>
      <w:tr w:rsidR="000C3959" w14:paraId="4D00B62A" w14:textId="77777777" w:rsidTr="00126CD2">
        <w:trPr>
          <w:trHeight w:val="279"/>
        </w:trPr>
        <w:tc>
          <w:tcPr>
            <w:tcW w:w="13230" w:type="dxa"/>
            <w:gridSpan w:val="9"/>
            <w:tcBorders>
              <w:bottom w:val="single" w:sz="12" w:space="0" w:color="auto"/>
            </w:tcBorders>
            <w:shd w:val="clear" w:color="auto" w:fill="DEEAF6" w:themeFill="accent1" w:themeFillTint="33"/>
          </w:tcPr>
          <w:p w14:paraId="060D72FB" w14:textId="77777777" w:rsidR="003E66A9" w:rsidRPr="000C5398" w:rsidRDefault="00B00100" w:rsidP="000E2725">
            <w:pPr>
              <w:jc w:val="center"/>
              <w:rPr>
                <w:rFonts w:ascii="Calibri" w:eastAsia="Calibri" w:hAnsi="Calibri"/>
                <w:b/>
                <w:sz w:val="18"/>
                <w:szCs w:val="18"/>
              </w:rPr>
            </w:pPr>
            <w:r w:rsidRPr="000C5398">
              <w:rPr>
                <w:rFonts w:ascii="Calibri" w:eastAsia="Calibri" w:hAnsi="Calibri"/>
                <w:b/>
                <w:sz w:val="18"/>
                <w:szCs w:val="18"/>
              </w:rPr>
              <w:t>Nigeria</w:t>
            </w:r>
          </w:p>
        </w:tc>
      </w:tr>
      <w:tr w:rsidR="000C3959" w14:paraId="75DF3CCF" w14:textId="77777777" w:rsidTr="00126CD2">
        <w:trPr>
          <w:trHeight w:val="540"/>
        </w:trPr>
        <w:tc>
          <w:tcPr>
            <w:tcW w:w="360" w:type="dxa"/>
            <w:tcBorders>
              <w:top w:val="single" w:sz="12" w:space="0" w:color="auto"/>
            </w:tcBorders>
          </w:tcPr>
          <w:p w14:paraId="2F593ED4"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lang w:val="fr-FR"/>
              </w:rPr>
            </w:pPr>
          </w:p>
        </w:tc>
        <w:tc>
          <w:tcPr>
            <w:tcW w:w="3150" w:type="dxa"/>
            <w:gridSpan w:val="2"/>
            <w:tcBorders>
              <w:top w:val="single" w:sz="12" w:space="0" w:color="auto"/>
            </w:tcBorders>
            <w:noWrap/>
          </w:tcPr>
          <w:p w14:paraId="0DCC0F21" w14:textId="77777777" w:rsidR="00D32BA9" w:rsidRPr="00653544" w:rsidRDefault="00B00100" w:rsidP="00D32BA9">
            <w:pPr>
              <w:rPr>
                <w:rFonts w:ascii="Calibri" w:eastAsia="Calibri" w:hAnsi="Calibri" w:cs="Times New Roman"/>
                <w:sz w:val="18"/>
                <w:szCs w:val="18"/>
                <w:lang w:val="fr-FR"/>
              </w:rPr>
            </w:pPr>
            <w:r w:rsidRPr="00653544">
              <w:rPr>
                <w:rFonts w:ascii="Calibri" w:eastAsia="Calibri" w:hAnsi="Calibri" w:cs="Times New Roman"/>
                <w:sz w:val="18"/>
                <w:szCs w:val="18"/>
                <w:lang w:val="fr-FR"/>
              </w:rPr>
              <w:t>Redeemers Universit</w:t>
            </w:r>
            <w:r>
              <w:rPr>
                <w:rFonts w:ascii="Calibri" w:eastAsia="Calibri" w:hAnsi="Calibri" w:cs="Times New Roman"/>
                <w:sz w:val="18"/>
                <w:szCs w:val="18"/>
                <w:lang w:val="fr-FR"/>
              </w:rPr>
              <w:t>y</w:t>
            </w:r>
          </w:p>
        </w:tc>
        <w:tc>
          <w:tcPr>
            <w:tcW w:w="3626" w:type="dxa"/>
            <w:tcBorders>
              <w:top w:val="single" w:sz="12" w:space="0" w:color="auto"/>
            </w:tcBorders>
          </w:tcPr>
          <w:p w14:paraId="686D1CBC"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 xml:space="preserve">ACE: Genomics </w:t>
            </w:r>
            <w:r w:rsidR="000A12E3" w:rsidRPr="001B6B4B">
              <w:rPr>
                <w:rFonts w:ascii="Calibri" w:eastAsia="Calibri" w:hAnsi="Calibri" w:cs="Times New Roman"/>
                <w:sz w:val="18"/>
                <w:szCs w:val="18"/>
              </w:rPr>
              <w:t>of</w:t>
            </w:r>
            <w:r w:rsidRPr="001B6B4B">
              <w:rPr>
                <w:rFonts w:ascii="Calibri" w:eastAsia="Calibri" w:hAnsi="Calibri" w:cs="Times New Roman"/>
                <w:sz w:val="18"/>
                <w:szCs w:val="18"/>
              </w:rPr>
              <w:t xml:space="preserve"> Infectious Diseases (A</w:t>
            </w:r>
            <w:r>
              <w:rPr>
                <w:rFonts w:ascii="Calibri" w:eastAsia="Calibri" w:hAnsi="Calibri" w:cs="Times New Roman"/>
                <w:sz w:val="18"/>
                <w:szCs w:val="18"/>
              </w:rPr>
              <w:t>CEGID</w:t>
            </w:r>
          </w:p>
        </w:tc>
        <w:tc>
          <w:tcPr>
            <w:tcW w:w="1679" w:type="dxa"/>
            <w:tcBorders>
              <w:top w:val="single" w:sz="12" w:space="0" w:color="auto"/>
            </w:tcBorders>
          </w:tcPr>
          <w:p w14:paraId="3CF43788"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National Accounting and Auditing standards</w:t>
            </w:r>
          </w:p>
        </w:tc>
        <w:tc>
          <w:tcPr>
            <w:tcW w:w="1080" w:type="dxa"/>
            <w:tcBorders>
              <w:top w:val="single" w:sz="12" w:space="0" w:color="auto"/>
            </w:tcBorders>
          </w:tcPr>
          <w:p w14:paraId="00033114"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Borders>
              <w:top w:val="single" w:sz="12" w:space="0" w:color="auto"/>
            </w:tcBorders>
          </w:tcPr>
          <w:p w14:paraId="157E897C"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Borders>
              <w:top w:val="single" w:sz="12" w:space="0" w:color="auto"/>
            </w:tcBorders>
          </w:tcPr>
          <w:p w14:paraId="326D1CE3"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NAS</w:t>
            </w:r>
          </w:p>
        </w:tc>
        <w:tc>
          <w:tcPr>
            <w:tcW w:w="1535" w:type="dxa"/>
            <w:tcBorders>
              <w:top w:val="single" w:sz="12" w:space="0" w:color="auto"/>
            </w:tcBorders>
          </w:tcPr>
          <w:p w14:paraId="1EF9F2AB"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4D527D9D" w14:textId="77777777" w:rsidTr="00126CD2">
        <w:trPr>
          <w:trHeight w:val="540"/>
        </w:trPr>
        <w:tc>
          <w:tcPr>
            <w:tcW w:w="360" w:type="dxa"/>
          </w:tcPr>
          <w:p w14:paraId="102CB99D"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1ED98731"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Ahmadu Bello University</w:t>
            </w:r>
          </w:p>
        </w:tc>
        <w:tc>
          <w:tcPr>
            <w:tcW w:w="3626" w:type="dxa"/>
          </w:tcPr>
          <w:p w14:paraId="1A241D66"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A</w:t>
            </w:r>
            <w:r>
              <w:rPr>
                <w:rFonts w:ascii="Calibri" w:eastAsia="Calibri" w:hAnsi="Calibri" w:cs="Times New Roman"/>
                <w:sz w:val="18"/>
                <w:szCs w:val="18"/>
              </w:rPr>
              <w:t>CE:</w:t>
            </w:r>
            <w:r w:rsidRPr="001B6B4B">
              <w:rPr>
                <w:rFonts w:ascii="Calibri" w:eastAsia="Calibri" w:hAnsi="Calibri" w:cs="Times New Roman"/>
                <w:sz w:val="18"/>
                <w:szCs w:val="18"/>
              </w:rPr>
              <w:t xml:space="preserve"> Neglected Tropical Diseases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Forensic Biotechnology (A</w:t>
            </w:r>
            <w:r>
              <w:rPr>
                <w:rFonts w:ascii="Calibri" w:eastAsia="Calibri" w:hAnsi="Calibri" w:cs="Times New Roman"/>
                <w:sz w:val="18"/>
                <w:szCs w:val="18"/>
              </w:rPr>
              <w:t>CENTDFB</w:t>
            </w:r>
            <w:r w:rsidRPr="001B6B4B">
              <w:rPr>
                <w:rFonts w:ascii="Calibri" w:eastAsia="Calibri" w:hAnsi="Calibri" w:cs="Times New Roman"/>
                <w:sz w:val="18"/>
                <w:szCs w:val="18"/>
              </w:rPr>
              <w:t>)</w:t>
            </w:r>
          </w:p>
        </w:tc>
        <w:tc>
          <w:tcPr>
            <w:tcW w:w="1679" w:type="dxa"/>
          </w:tcPr>
          <w:p w14:paraId="7688872D"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6EB6C13B"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741FE63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06D0FBCC"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1A586CCC"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350B0476" w14:textId="77777777" w:rsidTr="00126CD2">
        <w:trPr>
          <w:trHeight w:val="540"/>
        </w:trPr>
        <w:tc>
          <w:tcPr>
            <w:tcW w:w="360" w:type="dxa"/>
          </w:tcPr>
          <w:p w14:paraId="70A9D004"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3D9E1D71"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University of Benin</w:t>
            </w:r>
          </w:p>
        </w:tc>
        <w:tc>
          <w:tcPr>
            <w:tcW w:w="3626" w:type="dxa"/>
          </w:tcPr>
          <w:p w14:paraId="75DC58C8"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ACE:</w:t>
            </w:r>
            <w:r w:rsidRPr="001B6B4B">
              <w:rPr>
                <w:rFonts w:ascii="Calibri" w:eastAsia="Calibri" w:hAnsi="Calibri" w:cs="Times New Roman"/>
                <w:sz w:val="18"/>
                <w:szCs w:val="18"/>
              </w:rPr>
              <w:t xml:space="preserve"> Reproductive Health Innovation (</w:t>
            </w:r>
            <w:r>
              <w:rPr>
                <w:rFonts w:ascii="Calibri" w:eastAsia="Calibri" w:hAnsi="Calibri" w:cs="Times New Roman"/>
                <w:sz w:val="18"/>
                <w:szCs w:val="18"/>
              </w:rPr>
              <w:t>CERHI</w:t>
            </w:r>
            <w:r w:rsidRPr="001B6B4B">
              <w:rPr>
                <w:rFonts w:ascii="Calibri" w:eastAsia="Calibri" w:hAnsi="Calibri" w:cs="Times New Roman"/>
                <w:sz w:val="18"/>
                <w:szCs w:val="18"/>
              </w:rPr>
              <w:t>)</w:t>
            </w:r>
          </w:p>
        </w:tc>
        <w:tc>
          <w:tcPr>
            <w:tcW w:w="1679" w:type="dxa"/>
          </w:tcPr>
          <w:p w14:paraId="2146DD9B"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36B03AFB"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Cash</w:t>
            </w:r>
          </w:p>
        </w:tc>
        <w:tc>
          <w:tcPr>
            <w:tcW w:w="810" w:type="dxa"/>
          </w:tcPr>
          <w:p w14:paraId="21D38774"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4B001F91" w14:textId="77777777" w:rsidR="00D32BA9" w:rsidRPr="005124CD"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5EC7E0E1"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3741AE06" w14:textId="77777777" w:rsidTr="00126CD2">
        <w:trPr>
          <w:trHeight w:val="540"/>
        </w:trPr>
        <w:tc>
          <w:tcPr>
            <w:tcW w:w="360" w:type="dxa"/>
          </w:tcPr>
          <w:p w14:paraId="02B6EBDA"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3E82BA86"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Bayero University, Kano</w:t>
            </w:r>
          </w:p>
        </w:tc>
        <w:tc>
          <w:tcPr>
            <w:tcW w:w="3626" w:type="dxa"/>
          </w:tcPr>
          <w:p w14:paraId="383A8697"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ACE</w:t>
            </w:r>
            <w:r w:rsidRPr="001B6B4B">
              <w:rPr>
                <w:rFonts w:ascii="Calibri" w:eastAsia="Calibri" w:hAnsi="Calibri" w:cs="Times New Roman"/>
                <w:sz w:val="18"/>
                <w:szCs w:val="18"/>
              </w:rPr>
              <w:t xml:space="preserve"> Dry Land Agriculture (C</w:t>
            </w:r>
            <w:r>
              <w:rPr>
                <w:rFonts w:ascii="Calibri" w:eastAsia="Calibri" w:hAnsi="Calibri" w:cs="Times New Roman"/>
                <w:sz w:val="18"/>
                <w:szCs w:val="18"/>
              </w:rPr>
              <w:t>DA</w:t>
            </w:r>
            <w:r w:rsidRPr="001B6B4B">
              <w:rPr>
                <w:rFonts w:ascii="Calibri" w:eastAsia="Calibri" w:hAnsi="Calibri" w:cs="Times New Roman"/>
                <w:sz w:val="18"/>
                <w:szCs w:val="18"/>
              </w:rPr>
              <w:t>)</w:t>
            </w:r>
          </w:p>
        </w:tc>
        <w:tc>
          <w:tcPr>
            <w:tcW w:w="1679" w:type="dxa"/>
          </w:tcPr>
          <w:p w14:paraId="384A2C84"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109A9FBE"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16EF030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6A55116A"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5C8A0DD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5D1D1001" w14:textId="77777777" w:rsidTr="00126CD2">
        <w:trPr>
          <w:trHeight w:val="540"/>
        </w:trPr>
        <w:tc>
          <w:tcPr>
            <w:tcW w:w="360" w:type="dxa"/>
          </w:tcPr>
          <w:p w14:paraId="6DBDE981"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29B3E516"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Benue State University</w:t>
            </w:r>
            <w:r w:rsidR="00E34A41">
              <w:rPr>
                <w:rFonts w:ascii="Calibri" w:eastAsia="Calibri" w:hAnsi="Calibri" w:cs="Times New Roman"/>
                <w:sz w:val="18"/>
                <w:szCs w:val="18"/>
              </w:rPr>
              <w:t xml:space="preserve"> </w:t>
            </w:r>
          </w:p>
        </w:tc>
        <w:tc>
          <w:tcPr>
            <w:tcW w:w="3626" w:type="dxa"/>
          </w:tcPr>
          <w:p w14:paraId="75685421"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ACE:</w:t>
            </w:r>
            <w:r w:rsidRPr="001B6B4B">
              <w:rPr>
                <w:rFonts w:ascii="Calibri" w:eastAsia="Calibri" w:hAnsi="Calibri" w:cs="Times New Roman"/>
                <w:sz w:val="18"/>
                <w:szCs w:val="18"/>
              </w:rPr>
              <w:t xml:space="preserve"> Food Technology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Research (C</w:t>
            </w:r>
            <w:r>
              <w:rPr>
                <w:rFonts w:ascii="Calibri" w:eastAsia="Calibri" w:hAnsi="Calibri" w:cs="Times New Roman"/>
                <w:sz w:val="18"/>
                <w:szCs w:val="18"/>
              </w:rPr>
              <w:t>EFTER</w:t>
            </w:r>
            <w:r w:rsidRPr="001B6B4B">
              <w:rPr>
                <w:rFonts w:ascii="Calibri" w:eastAsia="Calibri" w:hAnsi="Calibri" w:cs="Times New Roman"/>
                <w:sz w:val="18"/>
                <w:szCs w:val="18"/>
              </w:rPr>
              <w:t>)</w:t>
            </w:r>
          </w:p>
        </w:tc>
        <w:tc>
          <w:tcPr>
            <w:tcW w:w="1679" w:type="dxa"/>
          </w:tcPr>
          <w:p w14:paraId="3E707FB5"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7CE0173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3BE6CE34"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2081703E"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20BBBBB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457C48F6" w14:textId="77777777" w:rsidTr="00126CD2">
        <w:trPr>
          <w:trHeight w:val="540"/>
        </w:trPr>
        <w:tc>
          <w:tcPr>
            <w:tcW w:w="360" w:type="dxa"/>
          </w:tcPr>
          <w:p w14:paraId="3EFBDCDE"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5F54F6B4"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Obafemi Awolowo Univ</w:t>
            </w:r>
          </w:p>
        </w:tc>
        <w:tc>
          <w:tcPr>
            <w:tcW w:w="3626" w:type="dxa"/>
          </w:tcPr>
          <w:p w14:paraId="59895139"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ACE: O</w:t>
            </w:r>
            <w:r w:rsidR="005124CD">
              <w:rPr>
                <w:rFonts w:ascii="Calibri" w:eastAsia="Calibri" w:hAnsi="Calibri" w:cs="Times New Roman"/>
                <w:sz w:val="18"/>
                <w:szCs w:val="18"/>
              </w:rPr>
              <w:t>AU</w:t>
            </w:r>
            <w:r w:rsidRPr="001B6B4B">
              <w:rPr>
                <w:rFonts w:ascii="Calibri" w:eastAsia="Calibri" w:hAnsi="Calibri" w:cs="Times New Roman"/>
                <w:sz w:val="18"/>
                <w:szCs w:val="18"/>
              </w:rPr>
              <w:t xml:space="preserve"> </w:t>
            </w:r>
            <w:r w:rsidR="00E00B72">
              <w:rPr>
                <w:rFonts w:ascii="Calibri" w:eastAsia="Calibri" w:hAnsi="Calibri" w:cs="Times New Roman"/>
                <w:sz w:val="18"/>
                <w:szCs w:val="18"/>
              </w:rPr>
              <w:t>ICT</w:t>
            </w:r>
            <w:r w:rsidRPr="001B6B4B">
              <w:rPr>
                <w:rFonts w:ascii="Calibri" w:eastAsia="Calibri" w:hAnsi="Calibri" w:cs="Times New Roman"/>
                <w:sz w:val="18"/>
                <w:szCs w:val="18"/>
              </w:rPr>
              <w:t>-Driven Knowledge Park (O</w:t>
            </w:r>
            <w:r>
              <w:rPr>
                <w:rFonts w:ascii="Calibri" w:eastAsia="Calibri" w:hAnsi="Calibri" w:cs="Times New Roman"/>
                <w:sz w:val="18"/>
                <w:szCs w:val="18"/>
              </w:rPr>
              <w:t>AU</w:t>
            </w:r>
            <w:r w:rsidRPr="001B6B4B">
              <w:rPr>
                <w:rFonts w:ascii="Calibri" w:eastAsia="Calibri" w:hAnsi="Calibri" w:cs="Times New Roman"/>
                <w:sz w:val="18"/>
                <w:szCs w:val="18"/>
              </w:rPr>
              <w:t>-O</w:t>
            </w:r>
            <w:r>
              <w:rPr>
                <w:rFonts w:ascii="Calibri" w:eastAsia="Calibri" w:hAnsi="Calibri" w:cs="Times New Roman"/>
                <w:sz w:val="18"/>
                <w:szCs w:val="18"/>
              </w:rPr>
              <w:t>AK</w:t>
            </w:r>
            <w:r w:rsidRPr="001B6B4B">
              <w:rPr>
                <w:rFonts w:ascii="Calibri" w:eastAsia="Calibri" w:hAnsi="Calibri" w:cs="Times New Roman"/>
                <w:sz w:val="18"/>
                <w:szCs w:val="18"/>
              </w:rPr>
              <w:t>)</w:t>
            </w:r>
          </w:p>
        </w:tc>
        <w:tc>
          <w:tcPr>
            <w:tcW w:w="1679" w:type="dxa"/>
          </w:tcPr>
          <w:p w14:paraId="03FDDEE3"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National Accounting &amp; Auditing standards</w:t>
            </w:r>
          </w:p>
        </w:tc>
        <w:tc>
          <w:tcPr>
            <w:tcW w:w="1080" w:type="dxa"/>
          </w:tcPr>
          <w:p w14:paraId="3D5C6283"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Cash</w:t>
            </w:r>
          </w:p>
        </w:tc>
        <w:tc>
          <w:tcPr>
            <w:tcW w:w="810" w:type="dxa"/>
          </w:tcPr>
          <w:p w14:paraId="1C3C105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474B776D"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NAS</w:t>
            </w:r>
          </w:p>
        </w:tc>
        <w:tc>
          <w:tcPr>
            <w:tcW w:w="1535" w:type="dxa"/>
          </w:tcPr>
          <w:p w14:paraId="353175AD"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508669B2" w14:textId="77777777" w:rsidTr="00126CD2">
        <w:trPr>
          <w:trHeight w:val="540"/>
        </w:trPr>
        <w:tc>
          <w:tcPr>
            <w:tcW w:w="360" w:type="dxa"/>
          </w:tcPr>
          <w:p w14:paraId="4C07DA69"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6452CE33"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Univ. of Port Harcourt</w:t>
            </w:r>
          </w:p>
        </w:tc>
        <w:tc>
          <w:tcPr>
            <w:tcW w:w="3626" w:type="dxa"/>
          </w:tcPr>
          <w:p w14:paraId="57BD757C"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 xml:space="preserve">ACE: </w:t>
            </w:r>
            <w:r w:rsidRPr="001B6B4B">
              <w:rPr>
                <w:rFonts w:ascii="Calibri" w:eastAsia="Calibri" w:hAnsi="Calibri" w:cs="Times New Roman"/>
                <w:sz w:val="18"/>
                <w:szCs w:val="18"/>
              </w:rPr>
              <w:t>Oilfield</w:t>
            </w:r>
            <w:r>
              <w:rPr>
                <w:rFonts w:ascii="Calibri" w:eastAsia="Calibri" w:hAnsi="Calibri" w:cs="Times New Roman"/>
                <w:sz w:val="18"/>
                <w:szCs w:val="18"/>
              </w:rPr>
              <w:t>s</w:t>
            </w:r>
            <w:r w:rsidRPr="001B6B4B">
              <w:rPr>
                <w:rFonts w:ascii="Calibri" w:eastAsia="Calibri" w:hAnsi="Calibri" w:cs="Times New Roman"/>
                <w:sz w:val="18"/>
                <w:szCs w:val="18"/>
              </w:rPr>
              <w:t xml:space="preserve"> Chemicals Research (C</w:t>
            </w:r>
            <w:r>
              <w:rPr>
                <w:rFonts w:ascii="Calibri" w:eastAsia="Calibri" w:hAnsi="Calibri" w:cs="Times New Roman"/>
                <w:sz w:val="18"/>
                <w:szCs w:val="18"/>
              </w:rPr>
              <w:t>EFOR)</w:t>
            </w:r>
          </w:p>
        </w:tc>
        <w:tc>
          <w:tcPr>
            <w:tcW w:w="1679" w:type="dxa"/>
          </w:tcPr>
          <w:p w14:paraId="1A50F2A9"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2E7A045A"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1A05CB10"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6B4BDA89"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580B9CAC"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2664FB91" w14:textId="77777777" w:rsidTr="00126CD2">
        <w:trPr>
          <w:trHeight w:val="540"/>
        </w:trPr>
        <w:tc>
          <w:tcPr>
            <w:tcW w:w="360" w:type="dxa"/>
          </w:tcPr>
          <w:p w14:paraId="4F91AB21"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225EE62F"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University of Port Harcourt</w:t>
            </w:r>
          </w:p>
        </w:tc>
        <w:tc>
          <w:tcPr>
            <w:tcW w:w="3626" w:type="dxa"/>
          </w:tcPr>
          <w:p w14:paraId="2DB160B5"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A</w:t>
            </w:r>
            <w:r>
              <w:rPr>
                <w:rFonts w:ascii="Calibri" w:eastAsia="Calibri" w:hAnsi="Calibri" w:cs="Times New Roman"/>
                <w:sz w:val="18"/>
                <w:szCs w:val="18"/>
              </w:rPr>
              <w:t>CE</w:t>
            </w:r>
            <w:r w:rsidRPr="001B6B4B">
              <w:rPr>
                <w:rFonts w:ascii="Calibri" w:eastAsia="Calibri" w:hAnsi="Calibri" w:cs="Times New Roman"/>
                <w:sz w:val="18"/>
                <w:szCs w:val="18"/>
              </w:rPr>
              <w:t xml:space="preserve">: Public Health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Toxicological Research</w:t>
            </w:r>
          </w:p>
        </w:tc>
        <w:tc>
          <w:tcPr>
            <w:tcW w:w="1679" w:type="dxa"/>
          </w:tcPr>
          <w:p w14:paraId="08D7CC1C"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59BE052B"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69D928E5"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4B02D71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4701AD5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06D5D51E" w14:textId="77777777" w:rsidTr="00126CD2">
        <w:trPr>
          <w:trHeight w:val="540"/>
        </w:trPr>
        <w:tc>
          <w:tcPr>
            <w:tcW w:w="360" w:type="dxa"/>
          </w:tcPr>
          <w:p w14:paraId="0B13AC4A"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0CC558B8"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Bayero University, Kano</w:t>
            </w:r>
          </w:p>
        </w:tc>
        <w:tc>
          <w:tcPr>
            <w:tcW w:w="3626" w:type="dxa"/>
          </w:tcPr>
          <w:p w14:paraId="09E9496A"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 xml:space="preserve">ACE: Population Health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Policy</w:t>
            </w:r>
          </w:p>
        </w:tc>
        <w:tc>
          <w:tcPr>
            <w:tcW w:w="1679" w:type="dxa"/>
          </w:tcPr>
          <w:p w14:paraId="55B20E5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2ADC3D14"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5E1FE13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080FB04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5CE98D1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78EA08DF" w14:textId="77777777" w:rsidTr="00126CD2">
        <w:trPr>
          <w:trHeight w:val="540"/>
        </w:trPr>
        <w:tc>
          <w:tcPr>
            <w:tcW w:w="360" w:type="dxa"/>
          </w:tcPr>
          <w:p w14:paraId="545D90C0"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24870013"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Covenant University</w:t>
            </w:r>
          </w:p>
        </w:tc>
        <w:tc>
          <w:tcPr>
            <w:tcW w:w="3626" w:type="dxa"/>
          </w:tcPr>
          <w:p w14:paraId="6A1AA913"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 xml:space="preserve">ACE: </w:t>
            </w:r>
            <w:r w:rsidRPr="001B6B4B">
              <w:rPr>
                <w:rFonts w:ascii="Calibri" w:eastAsia="Calibri" w:hAnsi="Calibri" w:cs="Times New Roman"/>
                <w:sz w:val="18"/>
                <w:szCs w:val="18"/>
              </w:rPr>
              <w:t xml:space="preserve">Covenant Applied Informatics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Communication</w:t>
            </w:r>
          </w:p>
        </w:tc>
        <w:tc>
          <w:tcPr>
            <w:tcW w:w="1679" w:type="dxa"/>
          </w:tcPr>
          <w:p w14:paraId="1BD52561"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 xml:space="preserve">National </w:t>
            </w:r>
            <w:r w:rsidR="000A12E3" w:rsidRPr="00126CD2">
              <w:rPr>
                <w:rFonts w:asciiTheme="minorHAnsi" w:hAnsiTheme="minorHAnsi" w:cstheme="minorHAnsi"/>
                <w:sz w:val="18"/>
                <w:szCs w:val="18"/>
              </w:rPr>
              <w:t>Accounting &amp;</w:t>
            </w:r>
            <w:r w:rsidRPr="00126CD2">
              <w:rPr>
                <w:rFonts w:asciiTheme="minorHAnsi" w:hAnsiTheme="minorHAnsi" w:cstheme="minorHAnsi"/>
                <w:sz w:val="18"/>
                <w:szCs w:val="18"/>
              </w:rPr>
              <w:t xml:space="preserve"> Auditing Standards</w:t>
            </w:r>
          </w:p>
        </w:tc>
        <w:tc>
          <w:tcPr>
            <w:tcW w:w="1080" w:type="dxa"/>
          </w:tcPr>
          <w:p w14:paraId="5B07CE28"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Cash</w:t>
            </w:r>
          </w:p>
        </w:tc>
        <w:tc>
          <w:tcPr>
            <w:tcW w:w="810" w:type="dxa"/>
          </w:tcPr>
          <w:p w14:paraId="557CBF2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2DBE273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NAS</w:t>
            </w:r>
          </w:p>
        </w:tc>
        <w:tc>
          <w:tcPr>
            <w:tcW w:w="1535" w:type="dxa"/>
          </w:tcPr>
          <w:p w14:paraId="72F33FF8"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2EF77FA9" w14:textId="77777777" w:rsidTr="00126CD2">
        <w:trPr>
          <w:trHeight w:val="540"/>
        </w:trPr>
        <w:tc>
          <w:tcPr>
            <w:tcW w:w="360" w:type="dxa"/>
          </w:tcPr>
          <w:p w14:paraId="456355E9"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0EE3B213"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National Open University of Nigeria</w:t>
            </w:r>
          </w:p>
        </w:tc>
        <w:tc>
          <w:tcPr>
            <w:tcW w:w="3626" w:type="dxa"/>
          </w:tcPr>
          <w:p w14:paraId="503341FE"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A</w:t>
            </w:r>
            <w:r>
              <w:rPr>
                <w:rFonts w:ascii="Calibri" w:eastAsia="Calibri" w:hAnsi="Calibri" w:cs="Times New Roman"/>
                <w:sz w:val="18"/>
                <w:szCs w:val="18"/>
              </w:rPr>
              <w:t xml:space="preserve">CE: </w:t>
            </w:r>
            <w:r w:rsidRPr="001B6B4B">
              <w:rPr>
                <w:rFonts w:ascii="Calibri" w:eastAsia="Calibri" w:hAnsi="Calibri" w:cs="Times New Roman"/>
                <w:sz w:val="18"/>
                <w:szCs w:val="18"/>
              </w:rPr>
              <w:t>Technology Enhanced Learning (</w:t>
            </w:r>
            <w:r w:rsidR="000A03C5">
              <w:rPr>
                <w:rFonts w:ascii="Calibri" w:eastAsia="Calibri" w:hAnsi="Calibri" w:cs="Times New Roman"/>
                <w:sz w:val="18"/>
                <w:szCs w:val="18"/>
              </w:rPr>
              <w:t>ACETEL</w:t>
            </w:r>
            <w:r w:rsidRPr="001B6B4B">
              <w:rPr>
                <w:rFonts w:ascii="Calibri" w:eastAsia="Calibri" w:hAnsi="Calibri" w:cs="Times New Roman"/>
                <w:sz w:val="18"/>
                <w:szCs w:val="18"/>
              </w:rPr>
              <w:t>)</w:t>
            </w:r>
          </w:p>
        </w:tc>
        <w:tc>
          <w:tcPr>
            <w:tcW w:w="1679" w:type="dxa"/>
          </w:tcPr>
          <w:p w14:paraId="597784DD"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5930F91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46D0A2EC"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4D072115"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258D0B4E"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6079DA2D" w14:textId="77777777" w:rsidTr="00126CD2">
        <w:trPr>
          <w:trHeight w:val="540"/>
        </w:trPr>
        <w:tc>
          <w:tcPr>
            <w:tcW w:w="360" w:type="dxa"/>
          </w:tcPr>
          <w:p w14:paraId="67E94571"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7B19F217"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Lagos State University</w:t>
            </w:r>
          </w:p>
        </w:tc>
        <w:tc>
          <w:tcPr>
            <w:tcW w:w="3626" w:type="dxa"/>
          </w:tcPr>
          <w:p w14:paraId="2D6947BB" w14:textId="77777777" w:rsidR="00D32BA9" w:rsidRPr="001B6B4B" w:rsidRDefault="00B00100" w:rsidP="00D32BA9">
            <w:pPr>
              <w:rPr>
                <w:rFonts w:ascii="Calibri" w:eastAsia="Calibri" w:hAnsi="Calibri" w:cs="Times New Roman"/>
                <w:sz w:val="18"/>
                <w:szCs w:val="18"/>
              </w:rPr>
            </w:pPr>
            <w:r>
              <w:rPr>
                <w:rFonts w:ascii="Calibri" w:eastAsia="Calibri" w:hAnsi="Calibri" w:cs="Times New Roman"/>
                <w:sz w:val="18"/>
                <w:szCs w:val="18"/>
              </w:rPr>
              <w:t>ACE:</w:t>
            </w:r>
            <w:r w:rsidRPr="001B6B4B">
              <w:rPr>
                <w:rFonts w:ascii="Calibri" w:eastAsia="Calibri" w:hAnsi="Calibri" w:cs="Times New Roman"/>
                <w:sz w:val="18"/>
                <w:szCs w:val="18"/>
              </w:rPr>
              <w:t xml:space="preserve"> Innovative </w:t>
            </w:r>
            <w:r>
              <w:rPr>
                <w:rFonts w:ascii="Calibri" w:eastAsia="Calibri" w:hAnsi="Calibri" w:cs="Times New Roman"/>
                <w:sz w:val="18"/>
                <w:szCs w:val="18"/>
              </w:rPr>
              <w:t>a</w:t>
            </w:r>
            <w:r w:rsidRPr="001B6B4B">
              <w:rPr>
                <w:rFonts w:ascii="Calibri" w:eastAsia="Calibri" w:hAnsi="Calibri" w:cs="Times New Roman"/>
                <w:sz w:val="18"/>
                <w:szCs w:val="18"/>
              </w:rPr>
              <w:t>nd Transformations Stem Education (C</w:t>
            </w:r>
            <w:r w:rsidR="000A03C5">
              <w:rPr>
                <w:rFonts w:ascii="Calibri" w:eastAsia="Calibri" w:hAnsi="Calibri" w:cs="Times New Roman"/>
                <w:sz w:val="18"/>
                <w:szCs w:val="18"/>
              </w:rPr>
              <w:t>ITSE</w:t>
            </w:r>
            <w:r w:rsidRPr="001B6B4B">
              <w:rPr>
                <w:rFonts w:ascii="Calibri" w:eastAsia="Calibri" w:hAnsi="Calibri" w:cs="Times New Roman"/>
                <w:sz w:val="18"/>
                <w:szCs w:val="18"/>
              </w:rPr>
              <w:t>)</w:t>
            </w:r>
          </w:p>
        </w:tc>
        <w:tc>
          <w:tcPr>
            <w:tcW w:w="1679" w:type="dxa"/>
          </w:tcPr>
          <w:p w14:paraId="3AF18FA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6020AE6A"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60D013EA"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2998D811"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67A5D8C5"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244BA3D5" w14:textId="77777777" w:rsidTr="00126CD2">
        <w:trPr>
          <w:trHeight w:val="540"/>
        </w:trPr>
        <w:tc>
          <w:tcPr>
            <w:tcW w:w="360" w:type="dxa"/>
          </w:tcPr>
          <w:p w14:paraId="3DB3DDAB"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384BC37C" w14:textId="77777777" w:rsidR="00D32BA9" w:rsidRPr="00653544" w:rsidRDefault="00B00100" w:rsidP="00D32BA9">
            <w:pPr>
              <w:rPr>
                <w:rFonts w:ascii="Calibri" w:eastAsia="Calibri" w:hAnsi="Calibri" w:cs="Times New Roman"/>
                <w:sz w:val="18"/>
                <w:szCs w:val="18"/>
              </w:rPr>
            </w:pPr>
            <w:r w:rsidRPr="00653544">
              <w:rPr>
                <w:rFonts w:ascii="Calibri" w:eastAsia="Calibri" w:hAnsi="Calibri" w:cs="Times New Roman"/>
                <w:sz w:val="18"/>
                <w:szCs w:val="18"/>
              </w:rPr>
              <w:t xml:space="preserve">Federal Univ. of Technology, </w:t>
            </w:r>
            <w:r>
              <w:rPr>
                <w:rFonts w:ascii="Calibri" w:eastAsia="Calibri" w:hAnsi="Calibri" w:cs="Times New Roman"/>
                <w:sz w:val="18"/>
                <w:szCs w:val="18"/>
              </w:rPr>
              <w:t>Minna</w:t>
            </w:r>
          </w:p>
        </w:tc>
        <w:tc>
          <w:tcPr>
            <w:tcW w:w="3626" w:type="dxa"/>
          </w:tcPr>
          <w:p w14:paraId="4D974822" w14:textId="77777777" w:rsidR="00D32BA9" w:rsidRPr="001B6B4B" w:rsidRDefault="00B00100" w:rsidP="00D32BA9">
            <w:pPr>
              <w:rPr>
                <w:rFonts w:ascii="Calibri" w:eastAsia="Calibri" w:hAnsi="Calibri" w:cs="Times New Roman"/>
                <w:sz w:val="18"/>
                <w:szCs w:val="18"/>
              </w:rPr>
            </w:pPr>
            <w:r w:rsidRPr="001B6B4B">
              <w:rPr>
                <w:rFonts w:ascii="Calibri" w:eastAsia="Calibri" w:hAnsi="Calibri" w:cs="Times New Roman"/>
                <w:sz w:val="18"/>
                <w:szCs w:val="18"/>
              </w:rPr>
              <w:t xml:space="preserve">African Centre Of Excellence </w:t>
            </w:r>
            <w:r w:rsidR="000A12E3" w:rsidRPr="001B6B4B">
              <w:rPr>
                <w:rFonts w:ascii="Calibri" w:eastAsia="Calibri" w:hAnsi="Calibri" w:cs="Times New Roman"/>
                <w:sz w:val="18"/>
                <w:szCs w:val="18"/>
              </w:rPr>
              <w:t>for</w:t>
            </w:r>
            <w:r w:rsidRPr="001B6B4B">
              <w:rPr>
                <w:rFonts w:ascii="Calibri" w:eastAsia="Calibri" w:hAnsi="Calibri" w:cs="Times New Roman"/>
                <w:sz w:val="18"/>
                <w:szCs w:val="18"/>
              </w:rPr>
              <w:t xml:space="preserve"> Mycotoxin </w:t>
            </w:r>
            <w:r w:rsidR="000A12E3" w:rsidRPr="001B6B4B">
              <w:rPr>
                <w:rFonts w:ascii="Calibri" w:eastAsia="Calibri" w:hAnsi="Calibri" w:cs="Times New Roman"/>
                <w:sz w:val="18"/>
                <w:szCs w:val="18"/>
              </w:rPr>
              <w:t>and</w:t>
            </w:r>
            <w:r w:rsidRPr="001B6B4B">
              <w:rPr>
                <w:rFonts w:ascii="Calibri" w:eastAsia="Calibri" w:hAnsi="Calibri" w:cs="Times New Roman"/>
                <w:sz w:val="18"/>
                <w:szCs w:val="18"/>
              </w:rPr>
              <w:t xml:space="preserve"> Food Safety</w:t>
            </w:r>
          </w:p>
        </w:tc>
        <w:tc>
          <w:tcPr>
            <w:tcW w:w="1679" w:type="dxa"/>
          </w:tcPr>
          <w:p w14:paraId="3FB7234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6FD06BD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29C5571E"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12ABEF3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6905F31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27F29F86" w14:textId="77777777" w:rsidTr="00126CD2">
        <w:trPr>
          <w:trHeight w:val="540"/>
        </w:trPr>
        <w:tc>
          <w:tcPr>
            <w:tcW w:w="360" w:type="dxa"/>
          </w:tcPr>
          <w:p w14:paraId="04D8DA21"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0E34DCDD"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University of Lagos</w:t>
            </w:r>
          </w:p>
        </w:tc>
        <w:tc>
          <w:tcPr>
            <w:tcW w:w="3626" w:type="dxa"/>
          </w:tcPr>
          <w:p w14:paraId="1D09B898"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 xml:space="preserve">ACE: Drug Research, Herbal Medicine Development </w:t>
            </w:r>
            <w:r w:rsidR="000A12E3" w:rsidRPr="002370B3">
              <w:rPr>
                <w:rFonts w:ascii="Calibri" w:eastAsia="Calibri" w:hAnsi="Calibri" w:cs="Times New Roman"/>
                <w:sz w:val="18"/>
                <w:szCs w:val="18"/>
              </w:rPr>
              <w:t>and</w:t>
            </w:r>
            <w:r w:rsidRPr="002370B3">
              <w:rPr>
                <w:rFonts w:ascii="Calibri" w:eastAsia="Calibri" w:hAnsi="Calibri" w:cs="Times New Roman"/>
                <w:sz w:val="18"/>
                <w:szCs w:val="18"/>
              </w:rPr>
              <w:t xml:space="preserve"> Regulatory Science</w:t>
            </w:r>
          </w:p>
        </w:tc>
        <w:tc>
          <w:tcPr>
            <w:tcW w:w="1679" w:type="dxa"/>
          </w:tcPr>
          <w:p w14:paraId="18FB5C70"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7E15F785"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2BC5AA6B"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5927A383"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60B8ADDB"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2D3BD4CD" w14:textId="77777777" w:rsidTr="00126CD2">
        <w:trPr>
          <w:trHeight w:val="540"/>
        </w:trPr>
        <w:tc>
          <w:tcPr>
            <w:tcW w:w="360" w:type="dxa"/>
          </w:tcPr>
          <w:p w14:paraId="21DE9FEA"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74A98B60"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Ahmadu Belo University</w:t>
            </w:r>
          </w:p>
        </w:tc>
        <w:tc>
          <w:tcPr>
            <w:tcW w:w="3626" w:type="dxa"/>
          </w:tcPr>
          <w:p w14:paraId="2754EAFF"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 xml:space="preserve">ACE: Africa Centre Of Excellence </w:t>
            </w:r>
            <w:r w:rsidR="000A12E3" w:rsidRPr="002370B3">
              <w:rPr>
                <w:rFonts w:ascii="Calibri" w:eastAsia="Calibri" w:hAnsi="Calibri" w:cs="Times New Roman"/>
                <w:sz w:val="18"/>
                <w:szCs w:val="18"/>
              </w:rPr>
              <w:t>on</w:t>
            </w:r>
            <w:r w:rsidRPr="002370B3">
              <w:rPr>
                <w:rFonts w:ascii="Calibri" w:eastAsia="Calibri" w:hAnsi="Calibri" w:cs="Times New Roman"/>
                <w:sz w:val="18"/>
                <w:szCs w:val="18"/>
              </w:rPr>
              <w:t xml:space="preserve"> New Pedagogy </w:t>
            </w:r>
            <w:r w:rsidR="000A12E3" w:rsidRPr="002370B3">
              <w:rPr>
                <w:rFonts w:ascii="Calibri" w:eastAsia="Calibri" w:hAnsi="Calibri" w:cs="Times New Roman"/>
                <w:sz w:val="18"/>
                <w:szCs w:val="18"/>
              </w:rPr>
              <w:t>in</w:t>
            </w:r>
            <w:r w:rsidRPr="002370B3">
              <w:rPr>
                <w:rFonts w:ascii="Calibri" w:eastAsia="Calibri" w:hAnsi="Calibri" w:cs="Times New Roman"/>
                <w:sz w:val="18"/>
                <w:szCs w:val="18"/>
              </w:rPr>
              <w:t xml:space="preserve"> Engineering Education (A</w:t>
            </w:r>
            <w:r w:rsidR="00ED4A30">
              <w:rPr>
                <w:rFonts w:ascii="Calibri" w:eastAsia="Calibri" w:hAnsi="Calibri" w:cs="Times New Roman"/>
                <w:sz w:val="18"/>
                <w:szCs w:val="18"/>
              </w:rPr>
              <w:t>CENPEE</w:t>
            </w:r>
            <w:r w:rsidRPr="002370B3">
              <w:rPr>
                <w:rFonts w:ascii="Calibri" w:eastAsia="Calibri" w:hAnsi="Calibri" w:cs="Times New Roman"/>
                <w:sz w:val="18"/>
                <w:szCs w:val="18"/>
              </w:rPr>
              <w:t>)</w:t>
            </w:r>
          </w:p>
        </w:tc>
        <w:tc>
          <w:tcPr>
            <w:tcW w:w="1679" w:type="dxa"/>
          </w:tcPr>
          <w:p w14:paraId="7FC7FBB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360FCB4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16F7620E"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2B796A16"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6BE78DE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67318462" w14:textId="77777777" w:rsidTr="00126CD2">
        <w:trPr>
          <w:trHeight w:val="540"/>
        </w:trPr>
        <w:tc>
          <w:tcPr>
            <w:tcW w:w="360" w:type="dxa"/>
          </w:tcPr>
          <w:p w14:paraId="6B5F75F1"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483C849A"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Univ. of Nigeria Nsukka</w:t>
            </w:r>
          </w:p>
        </w:tc>
        <w:tc>
          <w:tcPr>
            <w:tcW w:w="3626" w:type="dxa"/>
          </w:tcPr>
          <w:p w14:paraId="54B7F112"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 xml:space="preserve">ACE: For Sustainable Power </w:t>
            </w:r>
            <w:r w:rsidR="000A12E3" w:rsidRPr="002370B3">
              <w:rPr>
                <w:rFonts w:ascii="Calibri" w:eastAsia="Calibri" w:hAnsi="Calibri" w:cs="Times New Roman"/>
                <w:sz w:val="18"/>
                <w:szCs w:val="18"/>
              </w:rPr>
              <w:t>and</w:t>
            </w:r>
            <w:r w:rsidRPr="002370B3">
              <w:rPr>
                <w:rFonts w:ascii="Calibri" w:eastAsia="Calibri" w:hAnsi="Calibri" w:cs="Times New Roman"/>
                <w:sz w:val="18"/>
                <w:szCs w:val="18"/>
              </w:rPr>
              <w:t xml:space="preserve"> Energy Development (</w:t>
            </w:r>
            <w:r w:rsidR="00ED4A30">
              <w:rPr>
                <w:rFonts w:ascii="Calibri" w:eastAsia="Calibri" w:hAnsi="Calibri" w:cs="Times New Roman"/>
                <w:sz w:val="18"/>
                <w:szCs w:val="18"/>
              </w:rPr>
              <w:t>ACE-SPED</w:t>
            </w:r>
            <w:r w:rsidRPr="002370B3">
              <w:rPr>
                <w:rFonts w:ascii="Calibri" w:eastAsia="Calibri" w:hAnsi="Calibri" w:cs="Times New Roman"/>
                <w:sz w:val="18"/>
                <w:szCs w:val="18"/>
              </w:rPr>
              <w:t>)</w:t>
            </w:r>
          </w:p>
        </w:tc>
        <w:tc>
          <w:tcPr>
            <w:tcW w:w="1679" w:type="dxa"/>
          </w:tcPr>
          <w:p w14:paraId="2FA8134F"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5DF99A62"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4BA495E4"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04172213"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0682E901"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40B3C6FE" w14:textId="77777777" w:rsidTr="00126CD2">
        <w:trPr>
          <w:trHeight w:val="540"/>
        </w:trPr>
        <w:tc>
          <w:tcPr>
            <w:tcW w:w="360" w:type="dxa"/>
          </w:tcPr>
          <w:p w14:paraId="71B08634" w14:textId="77777777" w:rsidR="00D32BA9" w:rsidRPr="002370B3" w:rsidRDefault="00D32BA9" w:rsidP="00FB4CA6">
            <w:pPr>
              <w:pStyle w:val="ListParagraph"/>
              <w:widowControl/>
              <w:numPr>
                <w:ilvl w:val="0"/>
                <w:numId w:val="54"/>
              </w:numPr>
              <w:autoSpaceDE/>
              <w:autoSpaceDN/>
              <w:adjustRightInd/>
              <w:contextualSpacing w:val="0"/>
              <w:rPr>
                <w:rFonts w:ascii="Calibri" w:eastAsia="Calibri" w:hAnsi="Calibri"/>
                <w:sz w:val="18"/>
                <w:szCs w:val="18"/>
              </w:rPr>
            </w:pPr>
          </w:p>
        </w:tc>
        <w:tc>
          <w:tcPr>
            <w:tcW w:w="3150" w:type="dxa"/>
            <w:gridSpan w:val="2"/>
          </w:tcPr>
          <w:p w14:paraId="1C197A98"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Federal Univ. of Technology, Owerri</w:t>
            </w:r>
          </w:p>
        </w:tc>
        <w:tc>
          <w:tcPr>
            <w:tcW w:w="3626" w:type="dxa"/>
          </w:tcPr>
          <w:p w14:paraId="1880DCE2" w14:textId="77777777" w:rsidR="00D32BA9" w:rsidRPr="002370B3" w:rsidRDefault="00B00100" w:rsidP="00D32BA9">
            <w:pPr>
              <w:rPr>
                <w:rFonts w:ascii="Calibri" w:eastAsia="Calibri" w:hAnsi="Calibri" w:cs="Times New Roman"/>
                <w:sz w:val="18"/>
                <w:szCs w:val="18"/>
              </w:rPr>
            </w:pPr>
            <w:r w:rsidRPr="002370B3">
              <w:rPr>
                <w:rFonts w:ascii="Calibri" w:eastAsia="Calibri" w:hAnsi="Calibri" w:cs="Times New Roman"/>
                <w:sz w:val="18"/>
                <w:szCs w:val="18"/>
              </w:rPr>
              <w:t xml:space="preserve">Centre Of Excellence </w:t>
            </w:r>
            <w:r w:rsidR="000A12E3" w:rsidRPr="002370B3">
              <w:rPr>
                <w:rFonts w:ascii="Calibri" w:eastAsia="Calibri" w:hAnsi="Calibri" w:cs="Times New Roman"/>
                <w:sz w:val="18"/>
                <w:szCs w:val="18"/>
              </w:rPr>
              <w:t>in</w:t>
            </w:r>
            <w:r w:rsidRPr="002370B3">
              <w:rPr>
                <w:rFonts w:ascii="Calibri" w:eastAsia="Calibri" w:hAnsi="Calibri" w:cs="Times New Roman"/>
                <w:sz w:val="18"/>
                <w:szCs w:val="18"/>
              </w:rPr>
              <w:t xml:space="preserve"> Future Energies </w:t>
            </w:r>
            <w:r w:rsidR="000A12E3" w:rsidRPr="002370B3">
              <w:rPr>
                <w:rFonts w:ascii="Calibri" w:eastAsia="Calibri" w:hAnsi="Calibri" w:cs="Times New Roman"/>
                <w:sz w:val="18"/>
                <w:szCs w:val="18"/>
              </w:rPr>
              <w:t>and</w:t>
            </w:r>
            <w:r w:rsidRPr="002370B3">
              <w:rPr>
                <w:rFonts w:ascii="Calibri" w:eastAsia="Calibri" w:hAnsi="Calibri" w:cs="Times New Roman"/>
                <w:sz w:val="18"/>
                <w:szCs w:val="18"/>
              </w:rPr>
              <w:t xml:space="preserve"> Electrochemical Systems</w:t>
            </w:r>
          </w:p>
        </w:tc>
        <w:tc>
          <w:tcPr>
            <w:tcW w:w="1679" w:type="dxa"/>
          </w:tcPr>
          <w:p w14:paraId="22A67E6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Public accounting standards</w:t>
            </w:r>
          </w:p>
        </w:tc>
        <w:tc>
          <w:tcPr>
            <w:tcW w:w="1080" w:type="dxa"/>
          </w:tcPr>
          <w:p w14:paraId="684C0703"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Accrual</w:t>
            </w:r>
          </w:p>
        </w:tc>
        <w:tc>
          <w:tcPr>
            <w:tcW w:w="810" w:type="dxa"/>
          </w:tcPr>
          <w:p w14:paraId="47B5F6E0"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Private</w:t>
            </w:r>
          </w:p>
        </w:tc>
        <w:tc>
          <w:tcPr>
            <w:tcW w:w="990" w:type="dxa"/>
          </w:tcPr>
          <w:p w14:paraId="2ACCC1B9"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ISA</w:t>
            </w:r>
          </w:p>
        </w:tc>
        <w:tc>
          <w:tcPr>
            <w:tcW w:w="1535" w:type="dxa"/>
          </w:tcPr>
          <w:p w14:paraId="0C30A197" w14:textId="77777777" w:rsidR="00D32BA9" w:rsidRPr="005A0CDE" w:rsidRDefault="00B00100" w:rsidP="00D32BA9">
            <w:pPr>
              <w:rPr>
                <w:rFonts w:asciiTheme="minorHAnsi" w:eastAsia="Calibri" w:hAnsiTheme="minorHAnsi" w:cstheme="minorHAnsi"/>
                <w:sz w:val="18"/>
                <w:szCs w:val="18"/>
              </w:rPr>
            </w:pPr>
            <w:r w:rsidRPr="00126CD2">
              <w:rPr>
                <w:rFonts w:asciiTheme="minorHAnsi" w:hAnsiTheme="minorHAnsi" w:cstheme="minorHAnsi"/>
                <w:sz w:val="18"/>
                <w:szCs w:val="18"/>
              </w:rPr>
              <w:t>Annual – due not later than six months after FY</w:t>
            </w:r>
          </w:p>
        </w:tc>
      </w:tr>
      <w:tr w:rsidR="000C3959" w14:paraId="53267E47" w14:textId="77777777" w:rsidTr="00126CD2">
        <w:trPr>
          <w:trHeight w:val="329"/>
        </w:trPr>
        <w:tc>
          <w:tcPr>
            <w:tcW w:w="11695" w:type="dxa"/>
            <w:gridSpan w:val="8"/>
            <w:shd w:val="clear" w:color="auto" w:fill="DEEAF6" w:themeFill="accent1" w:themeFillTint="33"/>
          </w:tcPr>
          <w:p w14:paraId="4BE5CD66" w14:textId="77777777" w:rsidR="003E66A9" w:rsidRPr="006D487D" w:rsidRDefault="00B00100" w:rsidP="000E2725">
            <w:pPr>
              <w:jc w:val="center"/>
              <w:rPr>
                <w:rFonts w:asciiTheme="minorHAnsi" w:eastAsia="Calibri" w:hAnsiTheme="minorHAnsi" w:cstheme="minorHAnsi"/>
                <w:b/>
                <w:sz w:val="18"/>
                <w:szCs w:val="18"/>
              </w:rPr>
            </w:pPr>
            <w:r w:rsidRPr="006D487D">
              <w:rPr>
                <w:rFonts w:asciiTheme="minorHAnsi" w:eastAsia="Calibri" w:hAnsiTheme="minorHAnsi" w:cstheme="minorHAnsi"/>
                <w:b/>
                <w:sz w:val="18"/>
                <w:szCs w:val="18"/>
              </w:rPr>
              <w:t>Togo</w:t>
            </w:r>
          </w:p>
        </w:tc>
        <w:tc>
          <w:tcPr>
            <w:tcW w:w="1535" w:type="dxa"/>
            <w:shd w:val="clear" w:color="auto" w:fill="DEEAF6" w:themeFill="accent1" w:themeFillTint="33"/>
          </w:tcPr>
          <w:p w14:paraId="4A0594B3" w14:textId="77777777" w:rsidR="003E66A9" w:rsidRPr="006D487D" w:rsidRDefault="003E66A9" w:rsidP="000E2725">
            <w:pPr>
              <w:jc w:val="center"/>
              <w:rPr>
                <w:rFonts w:asciiTheme="minorHAnsi" w:eastAsia="Calibri" w:hAnsiTheme="minorHAnsi" w:cstheme="minorHAnsi"/>
                <w:b/>
                <w:sz w:val="18"/>
                <w:szCs w:val="18"/>
              </w:rPr>
            </w:pPr>
          </w:p>
        </w:tc>
      </w:tr>
      <w:tr w:rsidR="000C3959" w14:paraId="19E27A5D" w14:textId="77777777" w:rsidTr="00126CD2">
        <w:trPr>
          <w:trHeight w:val="288"/>
        </w:trPr>
        <w:tc>
          <w:tcPr>
            <w:tcW w:w="360" w:type="dxa"/>
            <w:tcBorders>
              <w:top w:val="single" w:sz="12" w:space="0" w:color="auto"/>
            </w:tcBorders>
          </w:tcPr>
          <w:p w14:paraId="06C74F2D" w14:textId="77777777" w:rsidR="003E66A9" w:rsidRPr="00F62467" w:rsidRDefault="003E66A9" w:rsidP="00FB4CA6">
            <w:pPr>
              <w:pStyle w:val="ListParagraph"/>
              <w:widowControl/>
              <w:numPr>
                <w:ilvl w:val="0"/>
                <w:numId w:val="55"/>
              </w:numPr>
              <w:autoSpaceDE/>
              <w:autoSpaceDN/>
              <w:adjustRightInd/>
              <w:contextualSpacing w:val="0"/>
              <w:rPr>
                <w:rFonts w:ascii="Calibri" w:eastAsia="Calibri" w:hAnsi="Calibri"/>
                <w:sz w:val="18"/>
                <w:szCs w:val="18"/>
              </w:rPr>
            </w:pPr>
          </w:p>
        </w:tc>
        <w:tc>
          <w:tcPr>
            <w:tcW w:w="3150" w:type="dxa"/>
            <w:gridSpan w:val="2"/>
            <w:tcBorders>
              <w:top w:val="single" w:sz="12" w:space="0" w:color="auto"/>
            </w:tcBorders>
            <w:noWrap/>
          </w:tcPr>
          <w:p w14:paraId="27351B9C" w14:textId="77777777" w:rsidR="003E66A9"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Université de Lomé</w:t>
            </w:r>
          </w:p>
          <w:p w14:paraId="3B70F43B" w14:textId="77777777" w:rsidR="003E66A9" w:rsidRPr="00F62467" w:rsidRDefault="003E66A9" w:rsidP="000E2725">
            <w:pPr>
              <w:rPr>
                <w:rFonts w:ascii="Calibri" w:eastAsia="Calibri" w:hAnsi="Calibri" w:cs="Times New Roman"/>
                <w:sz w:val="18"/>
                <w:szCs w:val="18"/>
              </w:rPr>
            </w:pPr>
          </w:p>
        </w:tc>
        <w:tc>
          <w:tcPr>
            <w:tcW w:w="3626" w:type="dxa"/>
            <w:tcBorders>
              <w:top w:val="single" w:sz="12" w:space="0" w:color="auto"/>
              <w:bottom w:val="nil"/>
            </w:tcBorders>
            <w:shd w:val="clear" w:color="auto" w:fill="auto"/>
          </w:tcPr>
          <w:p w14:paraId="77565CFD"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Centre D’excellence Regional Sur Les Sciences Aviaires (C</w:t>
            </w:r>
            <w:r w:rsidR="003747AA">
              <w:rPr>
                <w:rFonts w:ascii="Calibri" w:eastAsia="Calibri" w:hAnsi="Calibri" w:cs="Times New Roman"/>
                <w:sz w:val="18"/>
                <w:szCs w:val="18"/>
                <w:lang w:val="fr-FR"/>
              </w:rPr>
              <w:t>ERSA</w:t>
            </w:r>
            <w:r w:rsidRPr="001B6B4B">
              <w:rPr>
                <w:rFonts w:ascii="Calibri" w:eastAsia="Calibri" w:hAnsi="Calibri" w:cs="Times New Roman"/>
                <w:sz w:val="18"/>
                <w:szCs w:val="18"/>
                <w:lang w:val="fr-FR"/>
              </w:rPr>
              <w:t>)</w:t>
            </w:r>
          </w:p>
        </w:tc>
        <w:tc>
          <w:tcPr>
            <w:tcW w:w="1679" w:type="dxa"/>
            <w:tcBorders>
              <w:top w:val="single" w:sz="12" w:space="0" w:color="auto"/>
              <w:bottom w:val="nil"/>
            </w:tcBorders>
            <w:shd w:val="clear" w:color="auto" w:fill="auto"/>
          </w:tcPr>
          <w:p w14:paraId="473A42C8"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SYSCOHADA</w:t>
            </w:r>
          </w:p>
        </w:tc>
        <w:tc>
          <w:tcPr>
            <w:tcW w:w="1080" w:type="dxa"/>
            <w:tcBorders>
              <w:top w:val="single" w:sz="12" w:space="0" w:color="auto"/>
            </w:tcBorders>
            <w:shd w:val="clear" w:color="auto" w:fill="auto"/>
          </w:tcPr>
          <w:p w14:paraId="2120C9A6"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Accrual</w:t>
            </w:r>
          </w:p>
        </w:tc>
        <w:tc>
          <w:tcPr>
            <w:tcW w:w="810" w:type="dxa"/>
            <w:tcBorders>
              <w:top w:val="single" w:sz="12" w:space="0" w:color="auto"/>
            </w:tcBorders>
            <w:shd w:val="clear" w:color="auto" w:fill="auto"/>
          </w:tcPr>
          <w:p w14:paraId="01E4BABA"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Private</w:t>
            </w:r>
          </w:p>
        </w:tc>
        <w:tc>
          <w:tcPr>
            <w:tcW w:w="990" w:type="dxa"/>
            <w:tcBorders>
              <w:top w:val="single" w:sz="12" w:space="0" w:color="auto"/>
            </w:tcBorders>
            <w:shd w:val="clear" w:color="auto" w:fill="auto"/>
          </w:tcPr>
          <w:p w14:paraId="3EDC27BE"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ISA</w:t>
            </w:r>
          </w:p>
        </w:tc>
        <w:tc>
          <w:tcPr>
            <w:tcW w:w="1535" w:type="dxa"/>
            <w:tcBorders>
              <w:top w:val="single" w:sz="12" w:space="0" w:color="auto"/>
            </w:tcBorders>
          </w:tcPr>
          <w:p w14:paraId="1EED8A61" w14:textId="77777777" w:rsidR="003E66A9" w:rsidRPr="006D487D" w:rsidRDefault="00B00100" w:rsidP="000E2725">
            <w:pPr>
              <w:rPr>
                <w:rFonts w:asciiTheme="minorHAns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0C3848C1" w14:textId="77777777" w:rsidTr="00126CD2">
        <w:trPr>
          <w:trHeight w:val="288"/>
        </w:trPr>
        <w:tc>
          <w:tcPr>
            <w:tcW w:w="360" w:type="dxa"/>
            <w:tcBorders>
              <w:top w:val="single" w:sz="12" w:space="0" w:color="auto"/>
            </w:tcBorders>
          </w:tcPr>
          <w:p w14:paraId="207D146F" w14:textId="77777777" w:rsidR="003E66A9" w:rsidRPr="00F62467" w:rsidRDefault="003E66A9" w:rsidP="00FB4CA6">
            <w:pPr>
              <w:pStyle w:val="ListParagraph"/>
              <w:widowControl/>
              <w:numPr>
                <w:ilvl w:val="0"/>
                <w:numId w:val="55"/>
              </w:numPr>
              <w:autoSpaceDE/>
              <w:autoSpaceDN/>
              <w:adjustRightInd/>
              <w:contextualSpacing w:val="0"/>
              <w:rPr>
                <w:rFonts w:ascii="Calibri" w:eastAsia="Calibri" w:hAnsi="Calibri"/>
                <w:sz w:val="18"/>
                <w:szCs w:val="18"/>
              </w:rPr>
            </w:pPr>
          </w:p>
        </w:tc>
        <w:tc>
          <w:tcPr>
            <w:tcW w:w="3150" w:type="dxa"/>
            <w:gridSpan w:val="2"/>
            <w:tcBorders>
              <w:top w:val="single" w:sz="12" w:space="0" w:color="auto"/>
            </w:tcBorders>
            <w:noWrap/>
          </w:tcPr>
          <w:p w14:paraId="7985A735" w14:textId="77777777" w:rsidR="003E66A9" w:rsidRPr="00F62467"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Universite de Lom</w:t>
            </w:r>
            <w:r w:rsidR="009D1D17" w:rsidRPr="00F62467">
              <w:rPr>
                <w:rFonts w:ascii="Calibri" w:eastAsia="Calibri" w:hAnsi="Calibri" w:cs="Times New Roman"/>
                <w:sz w:val="18"/>
                <w:szCs w:val="18"/>
              </w:rPr>
              <w:t>é</w:t>
            </w:r>
          </w:p>
        </w:tc>
        <w:tc>
          <w:tcPr>
            <w:tcW w:w="3626" w:type="dxa"/>
            <w:tcBorders>
              <w:top w:val="single" w:sz="12" w:space="0" w:color="auto"/>
              <w:bottom w:val="nil"/>
            </w:tcBorders>
            <w:shd w:val="clear" w:color="auto" w:fill="auto"/>
          </w:tcPr>
          <w:p w14:paraId="176CA7FF"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Centre D’excellence Regional Pour La Maitrise De L’</w:t>
            </w:r>
            <w:r w:rsidR="009D1D17" w:rsidRPr="001B6B4B">
              <w:rPr>
                <w:rFonts w:ascii="Calibri" w:eastAsia="Calibri" w:hAnsi="Calibri" w:cs="Times New Roman"/>
                <w:sz w:val="18"/>
                <w:szCs w:val="18"/>
                <w:lang w:val="fr-FR"/>
              </w:rPr>
              <w:t>électricité</w:t>
            </w:r>
            <w:r w:rsidRPr="001B6B4B">
              <w:rPr>
                <w:rFonts w:ascii="Calibri" w:eastAsia="Calibri" w:hAnsi="Calibri" w:cs="Times New Roman"/>
                <w:sz w:val="18"/>
                <w:szCs w:val="18"/>
                <w:lang w:val="fr-FR"/>
              </w:rPr>
              <w:t xml:space="preserve"> (</w:t>
            </w:r>
            <w:r w:rsidR="003747AA" w:rsidRPr="001B6B4B">
              <w:rPr>
                <w:rFonts w:ascii="Calibri" w:eastAsia="Calibri" w:hAnsi="Calibri" w:cs="Times New Roman"/>
                <w:sz w:val="18"/>
                <w:szCs w:val="18"/>
                <w:lang w:val="fr-FR"/>
              </w:rPr>
              <w:t>C</w:t>
            </w:r>
            <w:r w:rsidR="003747AA">
              <w:rPr>
                <w:rFonts w:ascii="Calibri" w:eastAsia="Calibri" w:hAnsi="Calibri" w:cs="Times New Roman"/>
                <w:sz w:val="18"/>
                <w:szCs w:val="18"/>
                <w:lang w:val="fr-FR"/>
              </w:rPr>
              <w:t>ERME</w:t>
            </w:r>
            <w:r w:rsidRPr="001B6B4B">
              <w:rPr>
                <w:rFonts w:ascii="Calibri" w:eastAsia="Calibri" w:hAnsi="Calibri" w:cs="Times New Roman"/>
                <w:sz w:val="18"/>
                <w:szCs w:val="18"/>
                <w:lang w:val="fr-FR"/>
              </w:rPr>
              <w:t>)</w:t>
            </w:r>
          </w:p>
        </w:tc>
        <w:tc>
          <w:tcPr>
            <w:tcW w:w="1679" w:type="dxa"/>
            <w:tcBorders>
              <w:top w:val="single" w:sz="12" w:space="0" w:color="auto"/>
              <w:bottom w:val="nil"/>
            </w:tcBorders>
            <w:shd w:val="clear" w:color="auto" w:fill="auto"/>
          </w:tcPr>
          <w:p w14:paraId="3E75B256"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SYSCOHADA</w:t>
            </w:r>
          </w:p>
        </w:tc>
        <w:tc>
          <w:tcPr>
            <w:tcW w:w="1080" w:type="dxa"/>
            <w:tcBorders>
              <w:top w:val="single" w:sz="12" w:space="0" w:color="auto"/>
            </w:tcBorders>
            <w:shd w:val="clear" w:color="auto" w:fill="auto"/>
          </w:tcPr>
          <w:p w14:paraId="444758C5"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Accrual</w:t>
            </w:r>
          </w:p>
        </w:tc>
        <w:tc>
          <w:tcPr>
            <w:tcW w:w="810" w:type="dxa"/>
            <w:tcBorders>
              <w:top w:val="single" w:sz="12" w:space="0" w:color="auto"/>
            </w:tcBorders>
            <w:shd w:val="clear" w:color="auto" w:fill="auto"/>
          </w:tcPr>
          <w:p w14:paraId="00255B02"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Private</w:t>
            </w:r>
          </w:p>
        </w:tc>
        <w:tc>
          <w:tcPr>
            <w:tcW w:w="990" w:type="dxa"/>
            <w:tcBorders>
              <w:top w:val="single" w:sz="12" w:space="0" w:color="auto"/>
            </w:tcBorders>
            <w:shd w:val="clear" w:color="auto" w:fill="auto"/>
          </w:tcPr>
          <w:p w14:paraId="3420FC3F"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ISA</w:t>
            </w:r>
          </w:p>
        </w:tc>
        <w:tc>
          <w:tcPr>
            <w:tcW w:w="1535" w:type="dxa"/>
            <w:tcBorders>
              <w:top w:val="single" w:sz="12" w:space="0" w:color="auto"/>
            </w:tcBorders>
          </w:tcPr>
          <w:p w14:paraId="7079D048" w14:textId="77777777" w:rsidR="003E66A9" w:rsidRPr="006D487D" w:rsidRDefault="00B00100" w:rsidP="000E2725">
            <w:pPr>
              <w:rPr>
                <w:rFonts w:asciiTheme="minorHAns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537B3FBF" w14:textId="77777777" w:rsidTr="00126CD2">
        <w:trPr>
          <w:trHeight w:val="288"/>
        </w:trPr>
        <w:tc>
          <w:tcPr>
            <w:tcW w:w="360" w:type="dxa"/>
            <w:tcBorders>
              <w:top w:val="single" w:sz="12" w:space="0" w:color="auto"/>
            </w:tcBorders>
          </w:tcPr>
          <w:p w14:paraId="664BCB7C" w14:textId="77777777" w:rsidR="003E66A9" w:rsidRPr="00F62467" w:rsidRDefault="003E66A9" w:rsidP="00FB4CA6">
            <w:pPr>
              <w:pStyle w:val="ListParagraph"/>
              <w:widowControl/>
              <w:numPr>
                <w:ilvl w:val="0"/>
                <w:numId w:val="55"/>
              </w:numPr>
              <w:autoSpaceDE/>
              <w:autoSpaceDN/>
              <w:adjustRightInd/>
              <w:contextualSpacing w:val="0"/>
              <w:rPr>
                <w:rFonts w:ascii="Calibri" w:eastAsia="Calibri" w:hAnsi="Calibri"/>
                <w:sz w:val="18"/>
                <w:szCs w:val="18"/>
              </w:rPr>
            </w:pPr>
          </w:p>
        </w:tc>
        <w:tc>
          <w:tcPr>
            <w:tcW w:w="3150" w:type="dxa"/>
            <w:gridSpan w:val="2"/>
            <w:tcBorders>
              <w:top w:val="single" w:sz="12" w:space="0" w:color="auto"/>
            </w:tcBorders>
            <w:noWrap/>
          </w:tcPr>
          <w:p w14:paraId="04CA36CE" w14:textId="77777777" w:rsidR="003E66A9" w:rsidRPr="00F62467"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Université de Lomé</w:t>
            </w:r>
          </w:p>
        </w:tc>
        <w:tc>
          <w:tcPr>
            <w:tcW w:w="3626" w:type="dxa"/>
            <w:tcBorders>
              <w:top w:val="single" w:sz="12" w:space="0" w:color="auto"/>
              <w:bottom w:val="nil"/>
            </w:tcBorders>
            <w:shd w:val="clear" w:color="auto" w:fill="auto"/>
          </w:tcPr>
          <w:p w14:paraId="5CA53FBF"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Centre D’excellence Regional Villes Durables En Afrique (D</w:t>
            </w:r>
            <w:r w:rsidR="00615B38">
              <w:rPr>
                <w:rFonts w:ascii="Calibri" w:eastAsia="Calibri" w:hAnsi="Calibri" w:cs="Times New Roman"/>
                <w:sz w:val="18"/>
                <w:szCs w:val="18"/>
                <w:lang w:val="fr-FR"/>
              </w:rPr>
              <w:t>OUNEDON</w:t>
            </w:r>
            <w:r w:rsidRPr="001B6B4B">
              <w:rPr>
                <w:rFonts w:ascii="Calibri" w:eastAsia="Calibri" w:hAnsi="Calibri" w:cs="Times New Roman"/>
                <w:sz w:val="18"/>
                <w:szCs w:val="18"/>
                <w:lang w:val="fr-FR"/>
              </w:rPr>
              <w:t>)</w:t>
            </w:r>
          </w:p>
        </w:tc>
        <w:tc>
          <w:tcPr>
            <w:tcW w:w="1679" w:type="dxa"/>
            <w:tcBorders>
              <w:top w:val="single" w:sz="12" w:space="0" w:color="auto"/>
              <w:bottom w:val="nil"/>
            </w:tcBorders>
            <w:shd w:val="clear" w:color="auto" w:fill="auto"/>
          </w:tcPr>
          <w:p w14:paraId="4A8B6418"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SYSCOHADA</w:t>
            </w:r>
          </w:p>
        </w:tc>
        <w:tc>
          <w:tcPr>
            <w:tcW w:w="1080" w:type="dxa"/>
            <w:tcBorders>
              <w:top w:val="single" w:sz="12" w:space="0" w:color="auto"/>
            </w:tcBorders>
            <w:shd w:val="clear" w:color="auto" w:fill="auto"/>
          </w:tcPr>
          <w:p w14:paraId="608BC129"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Accrual</w:t>
            </w:r>
          </w:p>
        </w:tc>
        <w:tc>
          <w:tcPr>
            <w:tcW w:w="810" w:type="dxa"/>
            <w:tcBorders>
              <w:top w:val="single" w:sz="12" w:space="0" w:color="auto"/>
            </w:tcBorders>
            <w:shd w:val="clear" w:color="auto" w:fill="auto"/>
          </w:tcPr>
          <w:p w14:paraId="6C7E36EE"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Private</w:t>
            </w:r>
          </w:p>
        </w:tc>
        <w:tc>
          <w:tcPr>
            <w:tcW w:w="990" w:type="dxa"/>
            <w:tcBorders>
              <w:top w:val="single" w:sz="12" w:space="0" w:color="auto"/>
            </w:tcBorders>
            <w:shd w:val="clear" w:color="auto" w:fill="auto"/>
          </w:tcPr>
          <w:p w14:paraId="410E3E06"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ISA</w:t>
            </w:r>
          </w:p>
        </w:tc>
        <w:tc>
          <w:tcPr>
            <w:tcW w:w="1535" w:type="dxa"/>
            <w:tcBorders>
              <w:top w:val="single" w:sz="12" w:space="0" w:color="auto"/>
            </w:tcBorders>
          </w:tcPr>
          <w:p w14:paraId="5A6E45DE" w14:textId="77777777" w:rsidR="003E66A9" w:rsidRPr="006D487D" w:rsidRDefault="00B00100" w:rsidP="000E2725">
            <w:pPr>
              <w:rPr>
                <w:rFonts w:asciiTheme="minorHAns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0065CD0C" w14:textId="77777777" w:rsidTr="00126CD2">
        <w:trPr>
          <w:trHeight w:val="288"/>
        </w:trPr>
        <w:tc>
          <w:tcPr>
            <w:tcW w:w="11695" w:type="dxa"/>
            <w:gridSpan w:val="8"/>
            <w:tcBorders>
              <w:top w:val="single" w:sz="12" w:space="0" w:color="auto"/>
            </w:tcBorders>
            <w:shd w:val="clear" w:color="auto" w:fill="DEEAF6" w:themeFill="accent1" w:themeFillTint="33"/>
          </w:tcPr>
          <w:p w14:paraId="3A496405" w14:textId="77777777" w:rsidR="003E66A9" w:rsidRPr="006D487D" w:rsidRDefault="00B00100" w:rsidP="000E2725">
            <w:pPr>
              <w:jc w:val="center"/>
              <w:rPr>
                <w:rFonts w:asciiTheme="minorHAnsi" w:eastAsia="Calibri" w:hAnsiTheme="minorHAnsi" w:cstheme="minorHAnsi"/>
                <w:b/>
                <w:sz w:val="18"/>
                <w:szCs w:val="18"/>
              </w:rPr>
            </w:pPr>
            <w:r w:rsidRPr="006D487D">
              <w:rPr>
                <w:rFonts w:asciiTheme="minorHAnsi" w:eastAsia="Calibri" w:hAnsiTheme="minorHAnsi" w:cstheme="minorHAnsi"/>
                <w:b/>
                <w:sz w:val="18"/>
                <w:szCs w:val="18"/>
              </w:rPr>
              <w:t>Benin</w:t>
            </w:r>
          </w:p>
        </w:tc>
        <w:tc>
          <w:tcPr>
            <w:tcW w:w="1535" w:type="dxa"/>
            <w:tcBorders>
              <w:top w:val="single" w:sz="12" w:space="0" w:color="auto"/>
            </w:tcBorders>
            <w:shd w:val="clear" w:color="auto" w:fill="DEEAF6" w:themeFill="accent1" w:themeFillTint="33"/>
          </w:tcPr>
          <w:p w14:paraId="2C8EE14B" w14:textId="77777777" w:rsidR="003E66A9" w:rsidRPr="006D487D" w:rsidRDefault="003E66A9" w:rsidP="000E2725">
            <w:pPr>
              <w:jc w:val="center"/>
              <w:rPr>
                <w:rFonts w:asciiTheme="minorHAnsi" w:eastAsia="Calibri" w:hAnsiTheme="minorHAnsi" w:cstheme="minorHAnsi"/>
                <w:b/>
                <w:sz w:val="18"/>
                <w:szCs w:val="18"/>
              </w:rPr>
            </w:pPr>
          </w:p>
        </w:tc>
      </w:tr>
      <w:tr w:rsidR="000C3959" w14:paraId="1EDD8233" w14:textId="77777777" w:rsidTr="00126CD2">
        <w:trPr>
          <w:trHeight w:val="288"/>
        </w:trPr>
        <w:tc>
          <w:tcPr>
            <w:tcW w:w="360" w:type="dxa"/>
            <w:tcBorders>
              <w:top w:val="single" w:sz="12" w:space="0" w:color="auto"/>
            </w:tcBorders>
          </w:tcPr>
          <w:p w14:paraId="5C77EDD2" w14:textId="77777777" w:rsidR="003E66A9" w:rsidRPr="002370B3" w:rsidRDefault="003E66A9" w:rsidP="00FB4CA6">
            <w:pPr>
              <w:pStyle w:val="ListParagraph"/>
              <w:widowControl/>
              <w:numPr>
                <w:ilvl w:val="0"/>
                <w:numId w:val="56"/>
              </w:numPr>
              <w:autoSpaceDE/>
              <w:autoSpaceDN/>
              <w:adjustRightInd/>
              <w:contextualSpacing w:val="0"/>
              <w:rPr>
                <w:rFonts w:ascii="Calibri" w:eastAsia="Calibri" w:hAnsi="Calibri"/>
                <w:sz w:val="18"/>
                <w:szCs w:val="18"/>
                <w:lang w:val="fr-FR"/>
              </w:rPr>
            </w:pPr>
          </w:p>
        </w:tc>
        <w:tc>
          <w:tcPr>
            <w:tcW w:w="3150" w:type="dxa"/>
            <w:gridSpan w:val="2"/>
            <w:tcBorders>
              <w:top w:val="single" w:sz="12" w:space="0" w:color="auto"/>
            </w:tcBorders>
            <w:noWrap/>
          </w:tcPr>
          <w:p w14:paraId="7FEB6E6C" w14:textId="77777777" w:rsidR="003E66A9" w:rsidRPr="00F62467"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 Abomey Calavi</w:t>
            </w:r>
          </w:p>
        </w:tc>
        <w:tc>
          <w:tcPr>
            <w:tcW w:w="3626" w:type="dxa"/>
            <w:tcBorders>
              <w:top w:val="single" w:sz="12" w:space="0" w:color="auto"/>
            </w:tcBorders>
          </w:tcPr>
          <w:p w14:paraId="05F82B5C"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 xml:space="preserve">Centre </w:t>
            </w:r>
            <w:r w:rsidR="000A12E3">
              <w:rPr>
                <w:rFonts w:ascii="Calibri" w:eastAsia="Calibri" w:hAnsi="Calibri" w:cs="Times New Roman"/>
                <w:sz w:val="18"/>
                <w:szCs w:val="18"/>
                <w:lang w:val="fr-FR"/>
              </w:rPr>
              <w:t>d</w:t>
            </w:r>
            <w:r w:rsidR="000A12E3" w:rsidRPr="001B6B4B">
              <w:rPr>
                <w:rFonts w:ascii="Calibri" w:eastAsia="Calibri" w:hAnsi="Calibri" w:cs="Times New Roman"/>
                <w:sz w:val="18"/>
                <w:szCs w:val="18"/>
                <w:lang w:val="fr-FR"/>
              </w:rPr>
              <w:t>’excellence En</w:t>
            </w:r>
            <w:r w:rsidR="00F65677" w:rsidRPr="001B6B4B">
              <w:rPr>
                <w:rFonts w:ascii="Calibri" w:eastAsia="Calibri" w:hAnsi="Calibri" w:cs="Times New Roman"/>
                <w:sz w:val="18"/>
                <w:szCs w:val="18"/>
                <w:lang w:val="fr-FR"/>
              </w:rPr>
              <w:t xml:space="preserve"> Sciences </w:t>
            </w:r>
            <w:r w:rsidR="009D1D17" w:rsidRPr="001B6B4B">
              <w:rPr>
                <w:rFonts w:ascii="Calibri" w:eastAsia="Calibri" w:hAnsi="Calibri" w:cs="Times New Roman"/>
                <w:sz w:val="18"/>
                <w:szCs w:val="18"/>
                <w:lang w:val="fr-FR"/>
              </w:rPr>
              <w:t>Mathématiques</w:t>
            </w:r>
            <w:r w:rsidR="00F65677" w:rsidRPr="001B6B4B">
              <w:rPr>
                <w:rFonts w:ascii="Calibri" w:eastAsia="Calibri" w:hAnsi="Calibri" w:cs="Times New Roman"/>
                <w:sz w:val="18"/>
                <w:szCs w:val="18"/>
                <w:lang w:val="fr-FR"/>
              </w:rPr>
              <w:t>, Informatique Et Applications</w:t>
            </w:r>
            <w:r>
              <w:rPr>
                <w:rFonts w:ascii="Calibri" w:eastAsia="Calibri" w:hAnsi="Calibri" w:cs="Times New Roman"/>
                <w:sz w:val="18"/>
                <w:szCs w:val="18"/>
                <w:lang w:val="fr-FR"/>
              </w:rPr>
              <w:t xml:space="preserve"> (CEA-SMIA)</w:t>
            </w:r>
          </w:p>
        </w:tc>
        <w:tc>
          <w:tcPr>
            <w:tcW w:w="1679" w:type="dxa"/>
            <w:tcBorders>
              <w:top w:val="single" w:sz="12" w:space="0" w:color="auto"/>
            </w:tcBorders>
          </w:tcPr>
          <w:p w14:paraId="1CA4214C"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SYSCOHADA</w:t>
            </w:r>
          </w:p>
        </w:tc>
        <w:tc>
          <w:tcPr>
            <w:tcW w:w="1080" w:type="dxa"/>
            <w:tcBorders>
              <w:top w:val="single" w:sz="12" w:space="0" w:color="auto"/>
            </w:tcBorders>
          </w:tcPr>
          <w:p w14:paraId="5F9E0EEA"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tcBorders>
              <w:top w:val="single" w:sz="12" w:space="0" w:color="auto"/>
            </w:tcBorders>
          </w:tcPr>
          <w:p w14:paraId="4DAF0A96"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Private</w:t>
            </w:r>
          </w:p>
        </w:tc>
        <w:tc>
          <w:tcPr>
            <w:tcW w:w="990" w:type="dxa"/>
            <w:tcBorders>
              <w:top w:val="single" w:sz="12" w:space="0" w:color="auto"/>
            </w:tcBorders>
          </w:tcPr>
          <w:p w14:paraId="4F3605B1"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tcBorders>
              <w:top w:val="single" w:sz="12" w:space="0" w:color="auto"/>
            </w:tcBorders>
          </w:tcPr>
          <w:p w14:paraId="66853209"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16B1CAAE" w14:textId="77777777" w:rsidTr="00126CD2">
        <w:trPr>
          <w:trHeight w:val="288"/>
        </w:trPr>
        <w:tc>
          <w:tcPr>
            <w:tcW w:w="360" w:type="dxa"/>
          </w:tcPr>
          <w:p w14:paraId="32D8ACD4" w14:textId="77777777" w:rsidR="003E66A9" w:rsidRPr="001B6B4B" w:rsidRDefault="003E66A9" w:rsidP="00FB4CA6">
            <w:pPr>
              <w:pStyle w:val="ListParagraph"/>
              <w:widowControl/>
              <w:numPr>
                <w:ilvl w:val="0"/>
                <w:numId w:val="56"/>
              </w:numPr>
              <w:autoSpaceDE/>
              <w:autoSpaceDN/>
              <w:adjustRightInd/>
              <w:contextualSpacing w:val="0"/>
              <w:rPr>
                <w:rFonts w:ascii="Calibri" w:eastAsia="Calibri" w:hAnsi="Calibri"/>
                <w:sz w:val="18"/>
                <w:szCs w:val="18"/>
              </w:rPr>
            </w:pPr>
          </w:p>
        </w:tc>
        <w:tc>
          <w:tcPr>
            <w:tcW w:w="3150" w:type="dxa"/>
            <w:gridSpan w:val="2"/>
            <w:noWrap/>
          </w:tcPr>
          <w:p w14:paraId="3D6B13BD" w14:textId="77777777" w:rsidR="003E66A9" w:rsidRPr="00F62467"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Université Abomey Calavi</w:t>
            </w:r>
          </w:p>
        </w:tc>
        <w:tc>
          <w:tcPr>
            <w:tcW w:w="3626" w:type="dxa"/>
          </w:tcPr>
          <w:p w14:paraId="4FE10184"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 xml:space="preserve">Centre </w:t>
            </w:r>
            <w:r w:rsidR="00623C0E">
              <w:rPr>
                <w:rFonts w:ascii="Calibri" w:eastAsia="Calibri" w:hAnsi="Calibri" w:cs="Times New Roman"/>
                <w:sz w:val="18"/>
                <w:szCs w:val="18"/>
                <w:lang w:val="fr-FR"/>
              </w:rPr>
              <w:t>d</w:t>
            </w:r>
            <w:r w:rsidRPr="001B6B4B">
              <w:rPr>
                <w:rFonts w:ascii="Calibri" w:eastAsia="Calibri" w:hAnsi="Calibri" w:cs="Times New Roman"/>
                <w:sz w:val="18"/>
                <w:szCs w:val="18"/>
                <w:lang w:val="fr-FR"/>
              </w:rPr>
              <w:t xml:space="preserve">’excellence Africain Pour L’eau Et </w:t>
            </w:r>
            <w:r w:rsidRPr="001B6B4B">
              <w:rPr>
                <w:rFonts w:ascii="Calibri" w:eastAsia="Calibri" w:hAnsi="Calibri" w:cs="Times New Roman"/>
                <w:sz w:val="18"/>
                <w:szCs w:val="18"/>
                <w:lang w:val="fr-FR"/>
              </w:rPr>
              <w:lastRenderedPageBreak/>
              <w:t>L’assainissement (C2</w:t>
            </w:r>
            <w:r w:rsidR="00C244AB">
              <w:rPr>
                <w:rFonts w:ascii="Calibri" w:eastAsia="Calibri" w:hAnsi="Calibri" w:cs="Times New Roman"/>
                <w:sz w:val="18"/>
                <w:szCs w:val="18"/>
                <w:lang w:val="fr-FR"/>
              </w:rPr>
              <w:t>EA</w:t>
            </w:r>
            <w:r w:rsidRPr="001B6B4B">
              <w:rPr>
                <w:rFonts w:ascii="Calibri" w:eastAsia="Calibri" w:hAnsi="Calibri" w:cs="Times New Roman"/>
                <w:sz w:val="18"/>
                <w:szCs w:val="18"/>
                <w:lang w:val="fr-FR"/>
              </w:rPr>
              <w:t>)</w:t>
            </w:r>
          </w:p>
        </w:tc>
        <w:tc>
          <w:tcPr>
            <w:tcW w:w="1679" w:type="dxa"/>
          </w:tcPr>
          <w:p w14:paraId="06040637"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lastRenderedPageBreak/>
              <w:t>SYSCOHADA</w:t>
            </w:r>
          </w:p>
        </w:tc>
        <w:tc>
          <w:tcPr>
            <w:tcW w:w="1080" w:type="dxa"/>
          </w:tcPr>
          <w:p w14:paraId="636F169D"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tcPr>
          <w:p w14:paraId="37C36C70"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Private</w:t>
            </w:r>
          </w:p>
        </w:tc>
        <w:tc>
          <w:tcPr>
            <w:tcW w:w="990" w:type="dxa"/>
          </w:tcPr>
          <w:p w14:paraId="5F23D1A3"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tcPr>
          <w:p w14:paraId="7C2E48F5"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 xml:space="preserve">Annual – due not </w:t>
            </w:r>
            <w:r w:rsidRPr="006D487D">
              <w:rPr>
                <w:rFonts w:asciiTheme="minorHAnsi" w:hAnsiTheme="minorHAnsi" w:cstheme="minorHAnsi"/>
                <w:sz w:val="18"/>
                <w:szCs w:val="18"/>
              </w:rPr>
              <w:lastRenderedPageBreak/>
              <w:t>later than six months after FY</w:t>
            </w:r>
          </w:p>
        </w:tc>
      </w:tr>
      <w:tr w:rsidR="000C3959" w14:paraId="62A2D517" w14:textId="77777777" w:rsidTr="00BF6E86">
        <w:trPr>
          <w:trHeight w:val="288"/>
        </w:trPr>
        <w:tc>
          <w:tcPr>
            <w:tcW w:w="360" w:type="dxa"/>
          </w:tcPr>
          <w:p w14:paraId="3DB92970" w14:textId="77777777" w:rsidR="0016488D" w:rsidRPr="001B6B4B" w:rsidRDefault="0016488D" w:rsidP="00FB4CA6">
            <w:pPr>
              <w:pStyle w:val="ListParagraph"/>
              <w:widowControl/>
              <w:numPr>
                <w:ilvl w:val="0"/>
                <w:numId w:val="56"/>
              </w:numPr>
              <w:autoSpaceDE/>
              <w:autoSpaceDN/>
              <w:adjustRightInd/>
              <w:contextualSpacing w:val="0"/>
              <w:rPr>
                <w:rFonts w:ascii="Calibri" w:eastAsia="Calibri" w:hAnsi="Calibri"/>
                <w:sz w:val="18"/>
                <w:szCs w:val="18"/>
              </w:rPr>
            </w:pPr>
          </w:p>
        </w:tc>
        <w:tc>
          <w:tcPr>
            <w:tcW w:w="3150" w:type="dxa"/>
            <w:gridSpan w:val="2"/>
            <w:noWrap/>
          </w:tcPr>
          <w:p w14:paraId="03777852" w14:textId="77777777" w:rsidR="0016488D" w:rsidRPr="00592212" w:rsidRDefault="00B00100" w:rsidP="0016488D">
            <w:pPr>
              <w:rPr>
                <w:rFonts w:ascii="Calibri" w:eastAsia="Calibri" w:hAnsi="Calibri" w:cs="Times New Roman"/>
                <w:sz w:val="18"/>
                <w:szCs w:val="18"/>
                <w:lang w:val="fr-FR"/>
              </w:rPr>
            </w:pPr>
            <w:r>
              <w:rPr>
                <w:rFonts w:ascii="Calibri" w:eastAsia="Calibri" w:hAnsi="Calibri" w:cs="Times New Roman"/>
                <w:sz w:val="18"/>
                <w:szCs w:val="18"/>
                <w:lang w:val="fr-FR"/>
              </w:rPr>
              <w:t>Université Abomey Calavi</w:t>
            </w:r>
          </w:p>
        </w:tc>
        <w:tc>
          <w:tcPr>
            <w:tcW w:w="3626" w:type="dxa"/>
          </w:tcPr>
          <w:p w14:paraId="194F91F8" w14:textId="77777777" w:rsidR="0016488D" w:rsidRPr="001B6B4B" w:rsidRDefault="00B00100" w:rsidP="0016488D">
            <w:pPr>
              <w:rPr>
                <w:rFonts w:ascii="Calibri" w:eastAsia="Calibri" w:hAnsi="Calibri" w:cs="Times New Roman"/>
                <w:sz w:val="18"/>
                <w:szCs w:val="18"/>
                <w:lang w:val="fr-FR"/>
              </w:rPr>
            </w:pPr>
            <w:r w:rsidRPr="00046FA5">
              <w:rPr>
                <w:rFonts w:ascii="Calibri" w:eastAsia="Calibri" w:hAnsi="Calibri" w:cs="Times New Roman"/>
                <w:sz w:val="18"/>
                <w:szCs w:val="18"/>
                <w:lang w:val="fr-FR"/>
              </w:rPr>
              <w:t>Collège d’</w:t>
            </w:r>
            <w:r w:rsidR="0089479F">
              <w:rPr>
                <w:rFonts w:ascii="Calibri" w:eastAsia="Calibri" w:hAnsi="Calibri" w:cs="Times New Roman"/>
                <w:sz w:val="18"/>
                <w:szCs w:val="18"/>
                <w:lang w:val="fr-FR"/>
              </w:rPr>
              <w:t>I</w:t>
            </w:r>
            <w:r w:rsidR="0089479F" w:rsidRPr="00046FA5">
              <w:rPr>
                <w:rFonts w:ascii="Calibri" w:eastAsia="Calibri" w:hAnsi="Calibri" w:cs="Times New Roman"/>
                <w:sz w:val="18"/>
                <w:szCs w:val="18"/>
                <w:lang w:val="fr-FR"/>
              </w:rPr>
              <w:t>ngénierie</w:t>
            </w:r>
            <w:r w:rsidRPr="00046FA5">
              <w:rPr>
                <w:rFonts w:ascii="Calibri" w:eastAsia="Calibri" w:hAnsi="Calibri" w:cs="Times New Roman"/>
                <w:sz w:val="18"/>
                <w:szCs w:val="18"/>
                <w:lang w:val="fr-FR"/>
              </w:rPr>
              <w:t xml:space="preserve"> en Énergie, Infrastructure des </w:t>
            </w:r>
            <w:r>
              <w:rPr>
                <w:rFonts w:ascii="Calibri" w:eastAsia="Calibri" w:hAnsi="Calibri" w:cs="Times New Roman"/>
                <w:sz w:val="18"/>
                <w:szCs w:val="18"/>
                <w:lang w:val="fr-FR"/>
              </w:rPr>
              <w:t>transports et</w:t>
            </w:r>
            <w:r w:rsidR="0089479F">
              <w:rPr>
                <w:rFonts w:ascii="Calibri" w:eastAsia="Calibri" w:hAnsi="Calibri" w:cs="Times New Roman"/>
                <w:sz w:val="18"/>
                <w:szCs w:val="18"/>
                <w:lang w:val="fr-FR"/>
              </w:rPr>
              <w:t xml:space="preserve"> Environnement (C</w:t>
            </w:r>
            <w:r w:rsidR="00A63730">
              <w:rPr>
                <w:rFonts w:ascii="Calibri" w:eastAsia="Calibri" w:hAnsi="Calibri" w:cs="Times New Roman"/>
                <w:sz w:val="18"/>
                <w:szCs w:val="18"/>
                <w:lang w:val="fr-FR"/>
              </w:rPr>
              <w:t>o</w:t>
            </w:r>
            <w:r w:rsidR="005B6E84">
              <w:rPr>
                <w:rFonts w:ascii="Calibri" w:eastAsia="Calibri" w:hAnsi="Calibri" w:cs="Times New Roman"/>
                <w:sz w:val="18"/>
                <w:szCs w:val="18"/>
                <w:lang w:val="fr-FR"/>
              </w:rPr>
              <w:t>E-EIE)</w:t>
            </w:r>
          </w:p>
        </w:tc>
        <w:tc>
          <w:tcPr>
            <w:tcW w:w="1679" w:type="dxa"/>
          </w:tcPr>
          <w:p w14:paraId="1C9FA911" w14:textId="77777777" w:rsidR="0016488D" w:rsidRPr="00592212" w:rsidRDefault="00B00100" w:rsidP="0016488D">
            <w:pPr>
              <w:rPr>
                <w:rFonts w:asciiTheme="minorHAnsi" w:eastAsia="Calibri" w:hAnsiTheme="minorHAnsi" w:cstheme="minorHAnsi"/>
                <w:sz w:val="18"/>
                <w:szCs w:val="18"/>
                <w:lang w:val="fr-FR"/>
              </w:rPr>
            </w:pPr>
            <w:r>
              <w:rPr>
                <w:rFonts w:asciiTheme="minorHAnsi" w:eastAsia="Calibri" w:hAnsiTheme="minorHAnsi" w:cstheme="minorHAnsi"/>
                <w:sz w:val="18"/>
                <w:szCs w:val="18"/>
                <w:lang w:val="fr-FR"/>
              </w:rPr>
              <w:t>SYSCOHADA</w:t>
            </w:r>
          </w:p>
        </w:tc>
        <w:tc>
          <w:tcPr>
            <w:tcW w:w="1080" w:type="dxa"/>
          </w:tcPr>
          <w:p w14:paraId="3425C014" w14:textId="77777777" w:rsidR="0016488D" w:rsidRPr="00592212" w:rsidRDefault="00B00100" w:rsidP="0016488D">
            <w:pPr>
              <w:rPr>
                <w:rFonts w:asciiTheme="minorHAnsi" w:eastAsia="Calibri" w:hAnsiTheme="minorHAnsi" w:cstheme="minorHAnsi"/>
                <w:sz w:val="18"/>
                <w:szCs w:val="18"/>
                <w:lang w:val="fr-FR"/>
              </w:rPr>
            </w:pPr>
            <w:r>
              <w:rPr>
                <w:rFonts w:asciiTheme="minorHAnsi" w:eastAsia="Calibri" w:hAnsiTheme="minorHAnsi" w:cstheme="minorHAnsi"/>
                <w:sz w:val="18"/>
                <w:szCs w:val="18"/>
                <w:lang w:val="fr-FR"/>
              </w:rPr>
              <w:t>Accrual</w:t>
            </w:r>
          </w:p>
        </w:tc>
        <w:tc>
          <w:tcPr>
            <w:tcW w:w="810" w:type="dxa"/>
          </w:tcPr>
          <w:p w14:paraId="27467D02" w14:textId="77777777" w:rsidR="0016488D" w:rsidRPr="00592212" w:rsidRDefault="00B00100" w:rsidP="0016488D">
            <w:pPr>
              <w:rPr>
                <w:rFonts w:asciiTheme="minorHAnsi" w:eastAsia="Calibri" w:hAnsiTheme="minorHAnsi" w:cstheme="minorHAnsi"/>
                <w:sz w:val="18"/>
                <w:szCs w:val="18"/>
                <w:lang w:val="fr-FR"/>
              </w:rPr>
            </w:pPr>
            <w:r>
              <w:rPr>
                <w:rFonts w:asciiTheme="minorHAnsi" w:eastAsia="Calibri" w:hAnsiTheme="minorHAnsi" w:cstheme="minorHAnsi"/>
                <w:sz w:val="18"/>
                <w:szCs w:val="18"/>
                <w:lang w:val="fr-FR"/>
              </w:rPr>
              <w:t>Private</w:t>
            </w:r>
          </w:p>
        </w:tc>
        <w:tc>
          <w:tcPr>
            <w:tcW w:w="990" w:type="dxa"/>
          </w:tcPr>
          <w:p w14:paraId="563682FA" w14:textId="77777777" w:rsidR="0016488D" w:rsidRPr="00592212" w:rsidRDefault="00B00100" w:rsidP="0016488D">
            <w:pPr>
              <w:rPr>
                <w:rFonts w:asciiTheme="minorHAnsi" w:eastAsia="Calibri" w:hAnsiTheme="minorHAnsi" w:cstheme="minorHAnsi"/>
                <w:sz w:val="18"/>
                <w:szCs w:val="18"/>
                <w:lang w:val="fr-FR"/>
              </w:rPr>
            </w:pPr>
            <w:r>
              <w:rPr>
                <w:rFonts w:asciiTheme="minorHAnsi" w:eastAsia="Calibri" w:hAnsiTheme="minorHAnsi" w:cstheme="minorHAnsi"/>
                <w:sz w:val="18"/>
                <w:szCs w:val="18"/>
                <w:lang w:val="fr-FR"/>
              </w:rPr>
              <w:t>ISA</w:t>
            </w:r>
          </w:p>
        </w:tc>
        <w:tc>
          <w:tcPr>
            <w:tcW w:w="1535" w:type="dxa"/>
          </w:tcPr>
          <w:p w14:paraId="044B9514" w14:textId="77777777" w:rsidR="0016488D" w:rsidRPr="00592212" w:rsidRDefault="00B00100" w:rsidP="0016488D">
            <w:pPr>
              <w:rPr>
                <w:rFonts w:asciiTheme="minorHAnsi" w:hAnsiTheme="minorHAnsi" w:cstheme="minorHAnsi"/>
                <w:sz w:val="18"/>
                <w:szCs w:val="18"/>
                <w:lang w:val="en-GB"/>
              </w:rPr>
            </w:pPr>
            <w:r w:rsidRPr="00592212">
              <w:rPr>
                <w:rFonts w:asciiTheme="minorHAnsi" w:hAnsiTheme="minorHAnsi" w:cstheme="minorHAnsi"/>
                <w:sz w:val="18"/>
                <w:szCs w:val="18"/>
                <w:lang w:val="en-GB"/>
              </w:rPr>
              <w:t>Annual – due not later than six months after FY</w:t>
            </w:r>
          </w:p>
        </w:tc>
      </w:tr>
      <w:tr w:rsidR="000C3959" w14:paraId="21BF71F7" w14:textId="77777777" w:rsidTr="00126CD2">
        <w:trPr>
          <w:trHeight w:val="288"/>
        </w:trPr>
        <w:tc>
          <w:tcPr>
            <w:tcW w:w="11695" w:type="dxa"/>
            <w:gridSpan w:val="8"/>
            <w:shd w:val="clear" w:color="auto" w:fill="DEEAF6" w:themeFill="accent1" w:themeFillTint="33"/>
          </w:tcPr>
          <w:p w14:paraId="1BD5AF5F" w14:textId="77777777" w:rsidR="003E66A9" w:rsidRPr="006D487D" w:rsidRDefault="00B00100" w:rsidP="000E2725">
            <w:pPr>
              <w:jc w:val="center"/>
              <w:rPr>
                <w:rFonts w:asciiTheme="minorHAnsi" w:eastAsia="Calibri" w:hAnsiTheme="minorHAnsi" w:cstheme="minorHAnsi"/>
                <w:b/>
                <w:sz w:val="18"/>
                <w:szCs w:val="18"/>
              </w:rPr>
            </w:pPr>
            <w:r w:rsidRPr="006D487D">
              <w:rPr>
                <w:rFonts w:asciiTheme="minorHAnsi" w:eastAsia="Calibri" w:hAnsiTheme="minorHAnsi" w:cstheme="minorHAnsi"/>
                <w:b/>
                <w:sz w:val="18"/>
                <w:szCs w:val="18"/>
              </w:rPr>
              <w:t>Niger</w:t>
            </w:r>
          </w:p>
        </w:tc>
        <w:tc>
          <w:tcPr>
            <w:tcW w:w="1535" w:type="dxa"/>
            <w:shd w:val="clear" w:color="auto" w:fill="DEEAF6" w:themeFill="accent1" w:themeFillTint="33"/>
          </w:tcPr>
          <w:p w14:paraId="6FB58515" w14:textId="77777777" w:rsidR="003E66A9" w:rsidRPr="006D487D" w:rsidRDefault="003E66A9" w:rsidP="000E2725">
            <w:pPr>
              <w:jc w:val="center"/>
              <w:rPr>
                <w:rFonts w:asciiTheme="minorHAnsi" w:eastAsia="Calibri" w:hAnsiTheme="minorHAnsi" w:cstheme="minorHAnsi"/>
                <w:b/>
                <w:sz w:val="18"/>
                <w:szCs w:val="18"/>
              </w:rPr>
            </w:pPr>
          </w:p>
        </w:tc>
      </w:tr>
      <w:tr w:rsidR="000C3959" w14:paraId="35CD40A9" w14:textId="77777777" w:rsidTr="00126CD2">
        <w:trPr>
          <w:trHeight w:val="288"/>
        </w:trPr>
        <w:tc>
          <w:tcPr>
            <w:tcW w:w="360" w:type="dxa"/>
            <w:tcBorders>
              <w:top w:val="single" w:sz="12" w:space="0" w:color="auto"/>
            </w:tcBorders>
            <w:shd w:val="clear" w:color="auto" w:fill="FFFFFF" w:themeFill="background1"/>
          </w:tcPr>
          <w:p w14:paraId="4883C39B" w14:textId="77777777" w:rsidR="003E66A9" w:rsidRPr="002370B3" w:rsidRDefault="003E66A9" w:rsidP="00FB4CA6">
            <w:pPr>
              <w:pStyle w:val="ListParagraph"/>
              <w:widowControl/>
              <w:numPr>
                <w:ilvl w:val="0"/>
                <w:numId w:val="57"/>
              </w:numPr>
              <w:autoSpaceDE/>
              <w:autoSpaceDN/>
              <w:adjustRightInd/>
              <w:contextualSpacing w:val="0"/>
              <w:rPr>
                <w:rFonts w:ascii="Calibri" w:eastAsia="Calibri" w:hAnsi="Calibri"/>
                <w:sz w:val="18"/>
                <w:szCs w:val="18"/>
              </w:rPr>
            </w:pPr>
          </w:p>
        </w:tc>
        <w:tc>
          <w:tcPr>
            <w:tcW w:w="3150" w:type="dxa"/>
            <w:gridSpan w:val="2"/>
            <w:tcBorders>
              <w:top w:val="single" w:sz="12" w:space="0" w:color="auto"/>
            </w:tcBorders>
            <w:shd w:val="clear" w:color="auto" w:fill="FFFFFF" w:themeFill="background1"/>
            <w:noWrap/>
          </w:tcPr>
          <w:p w14:paraId="01F3F7F7" w14:textId="77777777" w:rsidR="003E66A9" w:rsidRPr="00653544"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Université Abdou Moumouni</w:t>
            </w:r>
          </w:p>
        </w:tc>
        <w:tc>
          <w:tcPr>
            <w:tcW w:w="3626" w:type="dxa"/>
            <w:tcBorders>
              <w:top w:val="single" w:sz="12" w:space="0" w:color="auto"/>
            </w:tcBorders>
            <w:shd w:val="clear" w:color="auto" w:fill="FFFFFF" w:themeFill="background1"/>
          </w:tcPr>
          <w:p w14:paraId="077C6C5E" w14:textId="77777777" w:rsidR="003E66A9" w:rsidRPr="001B6B4B" w:rsidRDefault="00B00100" w:rsidP="000E2725">
            <w:pPr>
              <w:rPr>
                <w:rFonts w:ascii="Calibri" w:eastAsia="Calibri" w:hAnsi="Calibri" w:cs="Times New Roman"/>
                <w:sz w:val="18"/>
                <w:szCs w:val="18"/>
                <w:lang w:val="fr-FR"/>
              </w:rPr>
            </w:pPr>
            <w:r w:rsidRPr="001B6B4B">
              <w:rPr>
                <w:rFonts w:ascii="Calibri" w:eastAsia="Calibri" w:hAnsi="Calibri" w:cs="Times New Roman"/>
                <w:sz w:val="18"/>
                <w:szCs w:val="18"/>
                <w:lang w:val="fr-FR"/>
              </w:rPr>
              <w:t xml:space="preserve">Centre </w:t>
            </w:r>
            <w:r w:rsidR="00623C0E">
              <w:rPr>
                <w:rFonts w:ascii="Calibri" w:eastAsia="Calibri" w:hAnsi="Calibri" w:cs="Times New Roman"/>
                <w:sz w:val="18"/>
                <w:szCs w:val="18"/>
                <w:lang w:val="fr-FR"/>
              </w:rPr>
              <w:t>d</w:t>
            </w:r>
            <w:r w:rsidRPr="001B6B4B">
              <w:rPr>
                <w:rFonts w:ascii="Calibri" w:eastAsia="Calibri" w:hAnsi="Calibri" w:cs="Times New Roman"/>
                <w:sz w:val="18"/>
                <w:szCs w:val="18"/>
                <w:lang w:val="fr-FR"/>
              </w:rPr>
              <w:t xml:space="preserve">’excellence </w:t>
            </w:r>
            <w:r w:rsidR="00FF5851" w:rsidRPr="001B6B4B">
              <w:rPr>
                <w:rFonts w:ascii="Calibri" w:eastAsia="Calibri" w:hAnsi="Calibri" w:cs="Times New Roman"/>
                <w:sz w:val="18"/>
                <w:szCs w:val="18"/>
                <w:lang w:val="fr-FR"/>
              </w:rPr>
              <w:t>Régional</w:t>
            </w:r>
            <w:r w:rsidRPr="001B6B4B">
              <w:rPr>
                <w:rFonts w:ascii="Calibri" w:eastAsia="Calibri" w:hAnsi="Calibri" w:cs="Times New Roman"/>
                <w:sz w:val="18"/>
                <w:szCs w:val="18"/>
                <w:lang w:val="fr-FR"/>
              </w:rPr>
              <w:t xml:space="preserve"> Sur Les Productions Pastorales : Viande, Lait, Cuirs Et Peaux (</w:t>
            </w:r>
            <w:r w:rsidR="00E700D4">
              <w:rPr>
                <w:rFonts w:ascii="Calibri" w:eastAsia="Calibri" w:hAnsi="Calibri" w:cs="Times New Roman"/>
                <w:sz w:val="18"/>
                <w:szCs w:val="18"/>
                <w:lang w:val="fr-FR"/>
              </w:rPr>
              <w:t>CERPP</w:t>
            </w:r>
            <w:r w:rsidRPr="001B6B4B">
              <w:rPr>
                <w:rFonts w:ascii="Calibri" w:eastAsia="Calibri" w:hAnsi="Calibri" w:cs="Times New Roman"/>
                <w:sz w:val="18"/>
                <w:szCs w:val="18"/>
                <w:lang w:val="fr-FR"/>
              </w:rPr>
              <w:t>)</w:t>
            </w:r>
          </w:p>
        </w:tc>
        <w:tc>
          <w:tcPr>
            <w:tcW w:w="1679" w:type="dxa"/>
            <w:tcBorders>
              <w:top w:val="single" w:sz="12" w:space="0" w:color="auto"/>
            </w:tcBorders>
            <w:shd w:val="clear" w:color="auto" w:fill="FFFFFF" w:themeFill="background1"/>
          </w:tcPr>
          <w:p w14:paraId="4B55F704" w14:textId="77777777" w:rsidR="003E66A9" w:rsidRPr="006D487D" w:rsidRDefault="00B00100" w:rsidP="000E2725">
            <w:pPr>
              <w:rPr>
                <w:rFonts w:asciiTheme="minorHAnsi" w:eastAsia="Calibri" w:hAnsiTheme="minorHAnsi" w:cstheme="minorHAnsi"/>
                <w:sz w:val="18"/>
                <w:szCs w:val="18"/>
              </w:rPr>
            </w:pPr>
            <w:r w:rsidRPr="00DA01D5">
              <w:rPr>
                <w:rFonts w:asciiTheme="minorHAnsi" w:eastAsia="Calibri" w:hAnsiTheme="minorHAnsi" w:cstheme="minorHAnsi"/>
                <w:sz w:val="18"/>
                <w:szCs w:val="18"/>
              </w:rPr>
              <w:t>International Financial Reporting Standards</w:t>
            </w:r>
            <w:r w:rsidRPr="006D487D">
              <w:rPr>
                <w:rFonts w:asciiTheme="minorHAnsi" w:eastAsia="Calibri" w:hAnsiTheme="minorHAnsi" w:cstheme="minorHAnsi"/>
                <w:sz w:val="18"/>
                <w:szCs w:val="18"/>
              </w:rPr>
              <w:t xml:space="preserve"> </w:t>
            </w:r>
            <w:r>
              <w:rPr>
                <w:rFonts w:asciiTheme="minorHAnsi" w:eastAsia="Calibri" w:hAnsiTheme="minorHAnsi" w:cstheme="minorHAnsi"/>
                <w:sz w:val="18"/>
                <w:szCs w:val="18"/>
              </w:rPr>
              <w:t>(</w:t>
            </w:r>
            <w:r w:rsidR="00FB4CA6" w:rsidRPr="006D487D">
              <w:rPr>
                <w:rFonts w:asciiTheme="minorHAnsi" w:eastAsia="Calibri" w:hAnsiTheme="minorHAnsi" w:cstheme="minorHAnsi"/>
                <w:sz w:val="18"/>
                <w:szCs w:val="18"/>
              </w:rPr>
              <w:t>IFRS</w:t>
            </w:r>
            <w:r>
              <w:rPr>
                <w:rFonts w:asciiTheme="minorHAnsi" w:eastAsia="Calibri" w:hAnsiTheme="minorHAnsi" w:cstheme="minorHAnsi"/>
                <w:sz w:val="18"/>
                <w:szCs w:val="18"/>
              </w:rPr>
              <w:t>)</w:t>
            </w:r>
          </w:p>
        </w:tc>
        <w:tc>
          <w:tcPr>
            <w:tcW w:w="1080" w:type="dxa"/>
            <w:tcBorders>
              <w:top w:val="single" w:sz="12" w:space="0" w:color="auto"/>
            </w:tcBorders>
            <w:shd w:val="clear" w:color="auto" w:fill="FFFFFF" w:themeFill="background1"/>
          </w:tcPr>
          <w:p w14:paraId="3BF22D02"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tcBorders>
              <w:top w:val="single" w:sz="12" w:space="0" w:color="auto"/>
            </w:tcBorders>
            <w:shd w:val="clear" w:color="auto" w:fill="FFFFFF" w:themeFill="background1"/>
          </w:tcPr>
          <w:p w14:paraId="54B58B1B"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 xml:space="preserve">Private </w:t>
            </w:r>
          </w:p>
        </w:tc>
        <w:tc>
          <w:tcPr>
            <w:tcW w:w="990" w:type="dxa"/>
            <w:tcBorders>
              <w:top w:val="single" w:sz="12" w:space="0" w:color="auto"/>
            </w:tcBorders>
            <w:shd w:val="clear" w:color="auto" w:fill="FFFFFF" w:themeFill="background1"/>
          </w:tcPr>
          <w:p w14:paraId="53A65B6E"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tcBorders>
              <w:top w:val="single" w:sz="12" w:space="0" w:color="auto"/>
            </w:tcBorders>
            <w:shd w:val="clear" w:color="auto" w:fill="FFFFFF" w:themeFill="background1"/>
          </w:tcPr>
          <w:p w14:paraId="300E75E3"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0DF8CF86" w14:textId="77777777" w:rsidTr="00126CD2">
        <w:trPr>
          <w:trHeight w:val="288"/>
        </w:trPr>
        <w:tc>
          <w:tcPr>
            <w:tcW w:w="360" w:type="dxa"/>
            <w:shd w:val="clear" w:color="auto" w:fill="FFFFFF" w:themeFill="background1"/>
          </w:tcPr>
          <w:p w14:paraId="1E3659E8" w14:textId="77777777" w:rsidR="003E66A9" w:rsidRPr="002370B3" w:rsidRDefault="003E66A9" w:rsidP="00FB4CA6">
            <w:pPr>
              <w:pStyle w:val="ListParagraph"/>
              <w:widowControl/>
              <w:numPr>
                <w:ilvl w:val="0"/>
                <w:numId w:val="57"/>
              </w:numPr>
              <w:autoSpaceDE/>
              <w:autoSpaceDN/>
              <w:adjustRightInd/>
              <w:contextualSpacing w:val="0"/>
              <w:rPr>
                <w:rFonts w:ascii="Calibri" w:eastAsia="Calibri" w:hAnsi="Calibri"/>
                <w:sz w:val="18"/>
                <w:szCs w:val="18"/>
              </w:rPr>
            </w:pPr>
          </w:p>
        </w:tc>
        <w:tc>
          <w:tcPr>
            <w:tcW w:w="3150" w:type="dxa"/>
            <w:gridSpan w:val="2"/>
            <w:shd w:val="clear" w:color="auto" w:fill="FFFFFF" w:themeFill="background1"/>
            <w:noWrap/>
          </w:tcPr>
          <w:p w14:paraId="2623C9D6" w14:textId="77777777" w:rsidR="003E66A9" w:rsidRPr="00653544"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Université Abdou Moumouni</w:t>
            </w:r>
          </w:p>
        </w:tc>
        <w:tc>
          <w:tcPr>
            <w:tcW w:w="3626" w:type="dxa"/>
            <w:shd w:val="clear" w:color="auto" w:fill="FFFFFF" w:themeFill="background1"/>
          </w:tcPr>
          <w:p w14:paraId="4602E531" w14:textId="77777777" w:rsidR="003E66A9" w:rsidRPr="00B660A4" w:rsidRDefault="00B00100" w:rsidP="000E2725">
            <w:pPr>
              <w:rPr>
                <w:rFonts w:ascii="Calibri" w:eastAsia="Calibri" w:hAnsi="Calibri" w:cs="Times New Roman"/>
                <w:sz w:val="18"/>
                <w:szCs w:val="18"/>
              </w:rPr>
            </w:pPr>
            <w:r w:rsidRPr="00F62467">
              <w:rPr>
                <w:rFonts w:ascii="Calibri" w:eastAsia="Calibri" w:hAnsi="Calibri" w:cs="Times New Roman"/>
                <w:sz w:val="18"/>
                <w:szCs w:val="18"/>
              </w:rPr>
              <w:t xml:space="preserve">Innovative Teaching/Learning of Mathematics and the Sciences for </w:t>
            </w:r>
            <w:r w:rsidR="00741F70">
              <w:rPr>
                <w:rFonts w:ascii="Calibri" w:eastAsia="Calibri" w:hAnsi="Calibri" w:cs="Times New Roman"/>
                <w:sz w:val="18"/>
                <w:szCs w:val="18"/>
              </w:rPr>
              <w:t>SSA</w:t>
            </w:r>
            <w:r w:rsidR="00DE58F7">
              <w:rPr>
                <w:rFonts w:ascii="Calibri" w:eastAsia="Calibri" w:hAnsi="Calibri" w:cs="Times New Roman"/>
                <w:sz w:val="18"/>
                <w:szCs w:val="18"/>
              </w:rPr>
              <w:t xml:space="preserve"> (CE-IEA</w:t>
            </w:r>
            <w:r w:rsidR="00480A57">
              <w:rPr>
                <w:rFonts w:ascii="Calibri" w:eastAsia="Calibri" w:hAnsi="Calibri" w:cs="Times New Roman"/>
                <w:sz w:val="18"/>
                <w:szCs w:val="18"/>
              </w:rPr>
              <w:t>-</w:t>
            </w:r>
            <w:r w:rsidR="00DE58F7">
              <w:rPr>
                <w:rFonts w:ascii="Calibri" w:eastAsia="Calibri" w:hAnsi="Calibri" w:cs="Times New Roman"/>
                <w:sz w:val="18"/>
                <w:szCs w:val="18"/>
              </w:rPr>
              <w:t>MS4SSA</w:t>
            </w:r>
            <w:r w:rsidR="00480A57">
              <w:rPr>
                <w:rFonts w:ascii="Calibri" w:eastAsia="Calibri" w:hAnsi="Calibri" w:cs="Times New Roman"/>
                <w:sz w:val="18"/>
                <w:szCs w:val="18"/>
              </w:rPr>
              <w:t>)</w:t>
            </w:r>
          </w:p>
        </w:tc>
        <w:tc>
          <w:tcPr>
            <w:tcW w:w="1679" w:type="dxa"/>
            <w:shd w:val="clear" w:color="auto" w:fill="FFFFFF" w:themeFill="background1"/>
          </w:tcPr>
          <w:p w14:paraId="781F6975"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IPSAS</w:t>
            </w:r>
          </w:p>
        </w:tc>
        <w:tc>
          <w:tcPr>
            <w:tcW w:w="1080" w:type="dxa"/>
            <w:shd w:val="clear" w:color="auto" w:fill="FFFFFF" w:themeFill="background1"/>
          </w:tcPr>
          <w:p w14:paraId="681D937B"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shd w:val="clear" w:color="auto" w:fill="FFFFFF" w:themeFill="background1"/>
          </w:tcPr>
          <w:p w14:paraId="51AFB7C4"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SAI</w:t>
            </w:r>
          </w:p>
        </w:tc>
        <w:tc>
          <w:tcPr>
            <w:tcW w:w="990" w:type="dxa"/>
            <w:shd w:val="clear" w:color="auto" w:fill="FFFFFF" w:themeFill="background1"/>
          </w:tcPr>
          <w:p w14:paraId="5D29AB20" w14:textId="77777777" w:rsidR="003E66A9" w:rsidRPr="006D487D" w:rsidRDefault="00B00100" w:rsidP="000E2725">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shd w:val="clear" w:color="auto" w:fill="FFFFFF" w:themeFill="background1"/>
          </w:tcPr>
          <w:p w14:paraId="2296CB0F" w14:textId="77777777" w:rsidR="003E66A9" w:rsidRPr="006D487D" w:rsidRDefault="00B00100" w:rsidP="000E2725">
            <w:pPr>
              <w:rPr>
                <w:rFonts w:asciiTheme="minorHAnsi" w:eastAsia="Calibr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22ABB02B" w14:textId="77777777" w:rsidTr="00126CD2">
        <w:trPr>
          <w:trHeight w:val="456"/>
        </w:trPr>
        <w:tc>
          <w:tcPr>
            <w:tcW w:w="360" w:type="dxa"/>
          </w:tcPr>
          <w:p w14:paraId="1D3E0FB0" w14:textId="77777777" w:rsidR="00E25821" w:rsidRPr="002370B3" w:rsidRDefault="00E25821" w:rsidP="00FB4CA6">
            <w:pPr>
              <w:pStyle w:val="ListParagraph"/>
              <w:widowControl/>
              <w:numPr>
                <w:ilvl w:val="0"/>
                <w:numId w:val="57"/>
              </w:numPr>
              <w:autoSpaceDE/>
              <w:autoSpaceDN/>
              <w:adjustRightInd/>
              <w:contextualSpacing w:val="0"/>
              <w:rPr>
                <w:rFonts w:ascii="Calibri" w:eastAsia="Calibri" w:hAnsi="Calibri"/>
                <w:sz w:val="18"/>
                <w:szCs w:val="18"/>
              </w:rPr>
            </w:pPr>
          </w:p>
        </w:tc>
        <w:tc>
          <w:tcPr>
            <w:tcW w:w="3150" w:type="dxa"/>
            <w:gridSpan w:val="2"/>
          </w:tcPr>
          <w:p w14:paraId="70EC9BC4" w14:textId="77777777" w:rsidR="00E25821" w:rsidRPr="00126CD2" w:rsidRDefault="00B00100" w:rsidP="00E25821">
            <w:pPr>
              <w:rPr>
                <w:rFonts w:ascii="Calibri" w:eastAsia="Calibri" w:hAnsi="Calibri" w:cs="Times New Roman"/>
                <w:sz w:val="18"/>
                <w:szCs w:val="18"/>
                <w:lang w:val="fr-FR"/>
              </w:rPr>
            </w:pPr>
            <w:r w:rsidRPr="00126CD2">
              <w:rPr>
                <w:rFonts w:ascii="Calibri" w:eastAsia="Calibri" w:hAnsi="Calibri" w:cs="Times New Roman"/>
                <w:sz w:val="18"/>
                <w:szCs w:val="18"/>
              </w:rPr>
              <w:t xml:space="preserve"> </w:t>
            </w:r>
            <w:r w:rsidRPr="001B6B4B">
              <w:rPr>
                <w:rFonts w:ascii="Calibri" w:eastAsia="Calibri" w:hAnsi="Calibri" w:cs="Times New Roman"/>
                <w:sz w:val="18"/>
                <w:szCs w:val="18"/>
                <w:lang w:val="fr-FR"/>
              </w:rPr>
              <w:t>l’Ecole des Mines, de l’Industrie et de la  Géologie  – EMIG</w:t>
            </w:r>
          </w:p>
        </w:tc>
        <w:tc>
          <w:tcPr>
            <w:tcW w:w="3626" w:type="dxa"/>
          </w:tcPr>
          <w:p w14:paraId="40209D52" w14:textId="77777777" w:rsidR="00E25821" w:rsidRPr="001B6B4B" w:rsidRDefault="00B00100" w:rsidP="00E25821">
            <w:pPr>
              <w:rPr>
                <w:rFonts w:ascii="Calibri" w:eastAsia="Calibri" w:hAnsi="Calibri" w:cs="Times New Roman"/>
                <w:sz w:val="18"/>
                <w:szCs w:val="18"/>
                <w:lang w:val="fr-FR"/>
              </w:rPr>
            </w:pPr>
            <w:r w:rsidRPr="003E0CBD">
              <w:rPr>
                <w:rFonts w:ascii="Calibri" w:eastAsia="Times New Roman" w:hAnsi="Calibri" w:cs="Calibri"/>
                <w:sz w:val="18"/>
                <w:szCs w:val="18"/>
              </w:rPr>
              <w:t>Emerging Center:  Mining Environment</w:t>
            </w:r>
          </w:p>
        </w:tc>
        <w:tc>
          <w:tcPr>
            <w:tcW w:w="1679" w:type="dxa"/>
          </w:tcPr>
          <w:p w14:paraId="3E403B04"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IPSAS</w:t>
            </w:r>
          </w:p>
        </w:tc>
        <w:tc>
          <w:tcPr>
            <w:tcW w:w="1080" w:type="dxa"/>
          </w:tcPr>
          <w:p w14:paraId="4124D554"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tcPr>
          <w:p w14:paraId="3D18DF4B"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SAI</w:t>
            </w:r>
          </w:p>
        </w:tc>
        <w:tc>
          <w:tcPr>
            <w:tcW w:w="990" w:type="dxa"/>
            <w:shd w:val="clear" w:color="auto" w:fill="auto"/>
          </w:tcPr>
          <w:p w14:paraId="7E3B09AC"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tcPr>
          <w:p w14:paraId="39EF0BFD" w14:textId="77777777" w:rsidR="00E25821" w:rsidRPr="006D487D" w:rsidRDefault="00B00100" w:rsidP="00E25821">
            <w:pPr>
              <w:rPr>
                <w:rFonts w:asciiTheme="minorHAnsi" w:eastAsia="Calibri" w:hAnsiTheme="minorHAnsi" w:cstheme="minorHAnsi"/>
                <w:sz w:val="18"/>
                <w:szCs w:val="18"/>
              </w:rPr>
            </w:pPr>
            <w:r w:rsidRPr="006D487D">
              <w:rPr>
                <w:rFonts w:asciiTheme="minorHAnsi" w:hAnsiTheme="minorHAnsi" w:cstheme="minorHAnsi"/>
                <w:sz w:val="18"/>
                <w:szCs w:val="18"/>
              </w:rPr>
              <w:t>Annual – due not later than six months after FY</w:t>
            </w:r>
          </w:p>
        </w:tc>
      </w:tr>
      <w:tr w:rsidR="000C3959" w14:paraId="06005711" w14:textId="77777777" w:rsidTr="00126CD2">
        <w:trPr>
          <w:trHeight w:val="329"/>
        </w:trPr>
        <w:tc>
          <w:tcPr>
            <w:tcW w:w="11695" w:type="dxa"/>
            <w:gridSpan w:val="8"/>
            <w:shd w:val="clear" w:color="auto" w:fill="DEEAF6" w:themeFill="accent1" w:themeFillTint="33"/>
          </w:tcPr>
          <w:p w14:paraId="2F92317F" w14:textId="77777777" w:rsidR="00E25821" w:rsidRPr="006D487D" w:rsidRDefault="00B00100" w:rsidP="00E25821">
            <w:pPr>
              <w:jc w:val="center"/>
              <w:rPr>
                <w:rFonts w:asciiTheme="minorHAnsi" w:eastAsia="Calibri" w:hAnsiTheme="minorHAnsi" w:cstheme="minorHAnsi"/>
                <w:b/>
                <w:sz w:val="18"/>
                <w:szCs w:val="18"/>
              </w:rPr>
            </w:pPr>
            <w:r>
              <w:rPr>
                <w:rFonts w:asciiTheme="minorHAnsi" w:eastAsia="Calibri" w:hAnsiTheme="minorHAnsi" w:cstheme="minorHAnsi"/>
                <w:b/>
                <w:sz w:val="18"/>
                <w:szCs w:val="18"/>
              </w:rPr>
              <w:t xml:space="preserve">The </w:t>
            </w:r>
            <w:r w:rsidR="004E68F9" w:rsidRPr="006D487D">
              <w:rPr>
                <w:rFonts w:asciiTheme="minorHAnsi" w:eastAsia="Calibri" w:hAnsiTheme="minorHAnsi" w:cstheme="minorHAnsi"/>
                <w:b/>
                <w:sz w:val="18"/>
                <w:szCs w:val="18"/>
              </w:rPr>
              <w:t>Gambia</w:t>
            </w:r>
          </w:p>
        </w:tc>
        <w:tc>
          <w:tcPr>
            <w:tcW w:w="1535" w:type="dxa"/>
            <w:shd w:val="clear" w:color="auto" w:fill="DEEAF6" w:themeFill="accent1" w:themeFillTint="33"/>
          </w:tcPr>
          <w:p w14:paraId="1681A0BE" w14:textId="77777777" w:rsidR="00E25821" w:rsidRPr="006D487D" w:rsidRDefault="00E25821" w:rsidP="00E25821">
            <w:pPr>
              <w:jc w:val="center"/>
              <w:rPr>
                <w:rFonts w:asciiTheme="minorHAnsi" w:eastAsia="Calibri" w:hAnsiTheme="minorHAnsi" w:cstheme="minorHAnsi"/>
                <w:b/>
                <w:sz w:val="18"/>
                <w:szCs w:val="18"/>
              </w:rPr>
            </w:pPr>
          </w:p>
        </w:tc>
      </w:tr>
      <w:tr w:rsidR="000C3959" w14:paraId="36B16A86" w14:textId="77777777" w:rsidTr="00126CD2">
        <w:trPr>
          <w:trHeight w:val="288"/>
        </w:trPr>
        <w:tc>
          <w:tcPr>
            <w:tcW w:w="360" w:type="dxa"/>
            <w:tcBorders>
              <w:top w:val="single" w:sz="12" w:space="0" w:color="auto"/>
            </w:tcBorders>
          </w:tcPr>
          <w:p w14:paraId="5618E9F0" w14:textId="77777777" w:rsidR="00E25821" w:rsidRPr="008A7F02" w:rsidRDefault="00E25821" w:rsidP="00FB4CA6">
            <w:pPr>
              <w:pStyle w:val="ListParagraph"/>
              <w:widowControl/>
              <w:numPr>
                <w:ilvl w:val="0"/>
                <w:numId w:val="58"/>
              </w:numPr>
              <w:autoSpaceDE/>
              <w:autoSpaceDN/>
              <w:adjustRightInd/>
              <w:contextualSpacing w:val="0"/>
              <w:rPr>
                <w:rFonts w:ascii="Calibri" w:eastAsia="Calibri" w:hAnsi="Calibri"/>
                <w:sz w:val="18"/>
                <w:szCs w:val="18"/>
              </w:rPr>
            </w:pPr>
          </w:p>
        </w:tc>
        <w:tc>
          <w:tcPr>
            <w:tcW w:w="3150" w:type="dxa"/>
            <w:gridSpan w:val="2"/>
            <w:tcBorders>
              <w:top w:val="single" w:sz="12" w:space="0" w:color="auto"/>
            </w:tcBorders>
            <w:noWrap/>
          </w:tcPr>
          <w:p w14:paraId="14D36FF6" w14:textId="77777777" w:rsidR="00E25821" w:rsidRPr="00653544" w:rsidRDefault="00B00100" w:rsidP="00E25821">
            <w:pPr>
              <w:rPr>
                <w:rFonts w:ascii="Calibri" w:eastAsia="Calibri" w:hAnsi="Calibri" w:cs="Times New Roman"/>
                <w:sz w:val="18"/>
                <w:szCs w:val="18"/>
              </w:rPr>
            </w:pPr>
            <w:r>
              <w:rPr>
                <w:rFonts w:ascii="Calibri" w:eastAsia="Calibri" w:hAnsi="Calibri" w:cs="Times New Roman"/>
                <w:sz w:val="18"/>
                <w:szCs w:val="18"/>
              </w:rPr>
              <w:t xml:space="preserve">The </w:t>
            </w:r>
            <w:r w:rsidR="004E68F9" w:rsidRPr="008A7F02">
              <w:rPr>
                <w:rFonts w:ascii="Calibri" w:eastAsia="Calibri" w:hAnsi="Calibri" w:cs="Times New Roman"/>
                <w:sz w:val="18"/>
                <w:szCs w:val="18"/>
              </w:rPr>
              <w:t>Gambia Technical Training Institute</w:t>
            </w:r>
          </w:p>
        </w:tc>
        <w:tc>
          <w:tcPr>
            <w:tcW w:w="3626" w:type="dxa"/>
            <w:tcBorders>
              <w:top w:val="single" w:sz="12" w:space="0" w:color="auto"/>
            </w:tcBorders>
          </w:tcPr>
          <w:p w14:paraId="0E7AE6B2" w14:textId="77777777" w:rsidR="00E25821" w:rsidRPr="00B660A4" w:rsidRDefault="00B00100" w:rsidP="00E25821">
            <w:pPr>
              <w:rPr>
                <w:rFonts w:ascii="Calibri" w:eastAsia="Calibri" w:hAnsi="Calibri" w:cs="Times New Roman"/>
                <w:sz w:val="18"/>
                <w:szCs w:val="18"/>
              </w:rPr>
            </w:pPr>
            <w:r>
              <w:rPr>
                <w:rFonts w:ascii="Calibri" w:eastAsia="Calibri" w:hAnsi="Calibri" w:cs="Times New Roman"/>
                <w:sz w:val="18"/>
                <w:szCs w:val="18"/>
              </w:rPr>
              <w:t xml:space="preserve">Centre for </w:t>
            </w:r>
            <w:r w:rsidRPr="008A7F02">
              <w:rPr>
                <w:rFonts w:ascii="Calibri" w:eastAsia="Calibri" w:hAnsi="Calibri" w:cs="Times New Roman"/>
                <w:sz w:val="18"/>
                <w:szCs w:val="18"/>
              </w:rPr>
              <w:t>Science, Technology and Engineering for Entrepreneurship</w:t>
            </w:r>
          </w:p>
        </w:tc>
        <w:tc>
          <w:tcPr>
            <w:tcW w:w="1679" w:type="dxa"/>
            <w:tcBorders>
              <w:top w:val="single" w:sz="12" w:space="0" w:color="auto"/>
            </w:tcBorders>
            <w:shd w:val="clear" w:color="auto" w:fill="auto"/>
          </w:tcPr>
          <w:p w14:paraId="1BF0E23B"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SYSCOHADA</w:t>
            </w:r>
          </w:p>
        </w:tc>
        <w:tc>
          <w:tcPr>
            <w:tcW w:w="1080" w:type="dxa"/>
            <w:tcBorders>
              <w:top w:val="single" w:sz="12" w:space="0" w:color="auto"/>
            </w:tcBorders>
            <w:shd w:val="clear" w:color="auto" w:fill="auto"/>
          </w:tcPr>
          <w:p w14:paraId="0323A151"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Accrual</w:t>
            </w:r>
          </w:p>
        </w:tc>
        <w:tc>
          <w:tcPr>
            <w:tcW w:w="810" w:type="dxa"/>
            <w:tcBorders>
              <w:top w:val="single" w:sz="12" w:space="0" w:color="auto"/>
            </w:tcBorders>
            <w:shd w:val="clear" w:color="auto" w:fill="auto"/>
          </w:tcPr>
          <w:p w14:paraId="08F05687"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Private</w:t>
            </w:r>
          </w:p>
        </w:tc>
        <w:tc>
          <w:tcPr>
            <w:tcW w:w="990" w:type="dxa"/>
            <w:tcBorders>
              <w:top w:val="single" w:sz="12" w:space="0" w:color="auto"/>
            </w:tcBorders>
            <w:shd w:val="clear" w:color="auto" w:fill="auto"/>
          </w:tcPr>
          <w:p w14:paraId="07343212"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ISA</w:t>
            </w:r>
          </w:p>
        </w:tc>
        <w:tc>
          <w:tcPr>
            <w:tcW w:w="1535" w:type="dxa"/>
            <w:tcBorders>
              <w:top w:val="single" w:sz="12" w:space="0" w:color="auto"/>
            </w:tcBorders>
          </w:tcPr>
          <w:p w14:paraId="78718969" w14:textId="77777777" w:rsidR="00E25821" w:rsidRPr="006D487D" w:rsidRDefault="00B00100" w:rsidP="00E25821">
            <w:pPr>
              <w:rPr>
                <w:rFonts w:asciiTheme="minorHAnsi" w:eastAsia="Calibri" w:hAnsiTheme="minorHAnsi" w:cstheme="minorHAnsi"/>
                <w:sz w:val="18"/>
                <w:szCs w:val="18"/>
              </w:rPr>
            </w:pPr>
            <w:r w:rsidRPr="006D487D">
              <w:rPr>
                <w:rFonts w:asciiTheme="minorHAnsi" w:eastAsia="Calibri" w:hAnsiTheme="minorHAnsi" w:cstheme="minorHAnsi"/>
                <w:sz w:val="18"/>
                <w:szCs w:val="18"/>
              </w:rPr>
              <w:t>Annual – due not later than six months after FY</w:t>
            </w:r>
          </w:p>
        </w:tc>
      </w:tr>
      <w:tr w:rsidR="000C3959" w14:paraId="5C6D91B2" w14:textId="77777777" w:rsidTr="00126CD2">
        <w:trPr>
          <w:gridAfter w:val="7"/>
          <w:wAfter w:w="11880" w:type="dxa"/>
          <w:trHeight w:val="456"/>
        </w:trPr>
        <w:tc>
          <w:tcPr>
            <w:tcW w:w="360" w:type="dxa"/>
            <w:tcBorders>
              <w:top w:val="single" w:sz="4" w:space="0" w:color="auto"/>
              <w:left w:val="nil"/>
              <w:bottom w:val="nil"/>
              <w:right w:val="nil"/>
            </w:tcBorders>
          </w:tcPr>
          <w:p w14:paraId="4F50607C" w14:textId="77777777" w:rsidR="00E25821" w:rsidRPr="000C5398" w:rsidRDefault="00E25821" w:rsidP="00E25821">
            <w:pPr>
              <w:ind w:left="360"/>
              <w:rPr>
                <w:rFonts w:ascii="Calibri" w:eastAsia="Calibri" w:hAnsi="Calibri"/>
                <w:b/>
                <w:sz w:val="18"/>
                <w:szCs w:val="18"/>
              </w:rPr>
            </w:pPr>
          </w:p>
        </w:tc>
        <w:tc>
          <w:tcPr>
            <w:tcW w:w="990" w:type="dxa"/>
            <w:tcBorders>
              <w:top w:val="single" w:sz="4" w:space="0" w:color="auto"/>
              <w:left w:val="nil"/>
              <w:bottom w:val="nil"/>
              <w:right w:val="nil"/>
            </w:tcBorders>
          </w:tcPr>
          <w:p w14:paraId="59924BAA" w14:textId="77777777" w:rsidR="00E25821" w:rsidRPr="000C5398" w:rsidRDefault="00E25821" w:rsidP="00E25821">
            <w:pPr>
              <w:ind w:left="360"/>
              <w:rPr>
                <w:rFonts w:ascii="Calibri" w:eastAsia="Calibri" w:hAnsi="Calibri"/>
                <w:b/>
                <w:sz w:val="18"/>
                <w:szCs w:val="18"/>
              </w:rPr>
            </w:pPr>
          </w:p>
        </w:tc>
      </w:tr>
    </w:tbl>
    <w:p w14:paraId="727B4ACE" w14:textId="77777777" w:rsidR="003E66A9" w:rsidRPr="002E1A3F" w:rsidRDefault="003E66A9" w:rsidP="003E66A9">
      <w:pPr>
        <w:ind w:left="360"/>
        <w:contextualSpacing/>
        <w:jc w:val="both"/>
        <w:rPr>
          <w:rFonts w:ascii="Calibri" w:eastAsia="Times New Roman" w:hAnsi="Calibri" w:cs="Calibri"/>
          <w:b/>
          <w:bCs/>
          <w:color w:val="7F7F7F"/>
          <w:sz w:val="22"/>
          <w:szCs w:val="22"/>
        </w:rPr>
        <w:sectPr w:rsidR="003E66A9" w:rsidRPr="002E1A3F" w:rsidSect="0037713F">
          <w:pgSz w:w="15840" w:h="12240" w:orient="landscape"/>
          <w:pgMar w:top="1440" w:right="1440" w:bottom="720" w:left="1440" w:header="720" w:footer="720" w:gutter="0"/>
          <w:cols w:space="720"/>
          <w:docGrid w:linePitch="360"/>
        </w:sectPr>
      </w:pPr>
    </w:p>
    <w:p w14:paraId="7EF1A550" w14:textId="77777777" w:rsidR="003E66A9" w:rsidRDefault="00B00100" w:rsidP="00485412">
      <w:pPr>
        <w:spacing w:after="240"/>
        <w:ind w:left="360"/>
        <w:contextualSpacing/>
        <w:jc w:val="both"/>
        <w:rPr>
          <w:rFonts w:ascii="Calibri" w:eastAsia="Calibri" w:hAnsi="Calibri" w:cs="Times New Roman"/>
          <w:b/>
          <w:i/>
          <w:color w:val="0070C0"/>
          <w:sz w:val="22"/>
          <w:szCs w:val="22"/>
          <w:lang w:eastAsia="ko-KR"/>
        </w:rPr>
      </w:pPr>
      <w:r w:rsidRPr="002E1A3F">
        <w:rPr>
          <w:rFonts w:ascii="Calibri" w:eastAsia="Calibri" w:hAnsi="Calibri" w:cs="Times New Roman"/>
          <w:b/>
          <w:i/>
          <w:color w:val="0070C0"/>
          <w:sz w:val="22"/>
          <w:szCs w:val="22"/>
          <w:lang w:eastAsia="ko-KR"/>
        </w:rPr>
        <w:lastRenderedPageBreak/>
        <w:t xml:space="preserve">Financial Management Action Plan </w:t>
      </w:r>
    </w:p>
    <w:p w14:paraId="175FDE3C" w14:textId="77777777" w:rsidR="000A12E3" w:rsidRPr="002E1A3F" w:rsidRDefault="000A12E3" w:rsidP="006C70A5">
      <w:pPr>
        <w:spacing w:after="240"/>
        <w:ind w:left="360"/>
        <w:contextualSpacing/>
        <w:jc w:val="both"/>
        <w:rPr>
          <w:rFonts w:ascii="Calibri" w:eastAsia="Calibri" w:hAnsi="Calibri" w:cs="Times New Roman"/>
          <w:b/>
          <w:i/>
          <w:color w:val="0070C0"/>
          <w:sz w:val="22"/>
          <w:szCs w:val="22"/>
          <w:lang w:eastAsia="ko-KR"/>
        </w:rPr>
      </w:pPr>
    </w:p>
    <w:p w14:paraId="53DD5420" w14:textId="77777777" w:rsidR="003E66A9" w:rsidRPr="002E1A3F" w:rsidRDefault="00B00100" w:rsidP="006C70A5">
      <w:pPr>
        <w:widowControl/>
        <w:numPr>
          <w:ilvl w:val="0"/>
          <w:numId w:val="30"/>
        </w:numPr>
        <w:autoSpaceDE/>
        <w:autoSpaceDN/>
        <w:adjustRightInd/>
        <w:spacing w:after="240"/>
        <w:ind w:right="720" w:firstLine="0"/>
        <w:jc w:val="both"/>
        <w:rPr>
          <w:rFonts w:ascii="Calibri" w:eastAsia="Batang" w:hAnsi="Calibri" w:cs="Times New Roman"/>
          <w:color w:val="auto"/>
          <w:sz w:val="22"/>
          <w:szCs w:val="22"/>
          <w:lang w:eastAsia="ko-KR"/>
        </w:rPr>
      </w:pPr>
      <w:bookmarkStart w:id="414" w:name="_Hlk1551330"/>
      <w:bookmarkStart w:id="415" w:name="_Hlk535346657"/>
      <w:r w:rsidRPr="002E1A3F">
        <w:rPr>
          <w:rFonts w:ascii="Calibri" w:eastAsia="Batang" w:hAnsi="Calibri" w:cs="Times New Roman"/>
          <w:color w:val="auto"/>
          <w:sz w:val="22"/>
          <w:szCs w:val="22"/>
          <w:lang w:eastAsia="ko-KR"/>
        </w:rPr>
        <w:t xml:space="preserve">The FM risk mitigation measures will be developed upon completion of the FM assessments of the centers.  Based on the </w:t>
      </w:r>
      <w:r w:rsidR="00BB4A89">
        <w:rPr>
          <w:rFonts w:ascii="Calibri" w:eastAsia="Batang" w:hAnsi="Calibri" w:cs="Times New Roman"/>
          <w:color w:val="auto"/>
          <w:sz w:val="22"/>
          <w:szCs w:val="22"/>
          <w:lang w:eastAsia="ko-KR"/>
        </w:rPr>
        <w:t>ACE I Project</w:t>
      </w:r>
      <w:r w:rsidRPr="002E1A3F">
        <w:rPr>
          <w:rFonts w:ascii="Calibri" w:eastAsia="Batang" w:hAnsi="Calibri" w:cs="Times New Roman"/>
          <w:color w:val="auto"/>
          <w:sz w:val="22"/>
          <w:szCs w:val="22"/>
          <w:lang w:eastAsia="ko-KR"/>
        </w:rPr>
        <w:t xml:space="preserve"> experience, the FM-related DLIs (timely reporting, a functioning internal audit unit and audit committee, and publication of budgets, IFRs and audit reports) were effective in building FM capacity and addressing the FM risks and weaknesses identified at new ACE I centers. This operation will incorporate the same capacity-enhancing measures and put in place a robust implementation support to mitigate any potential FM weaknesses that may be identified for </w:t>
      </w:r>
      <w:r w:rsidR="003A535F">
        <w:rPr>
          <w:rFonts w:ascii="Calibri" w:eastAsia="Batang" w:hAnsi="Calibri" w:cs="Times New Roman"/>
          <w:color w:val="auto"/>
          <w:sz w:val="22"/>
          <w:szCs w:val="22"/>
          <w:lang w:eastAsia="ko-KR"/>
        </w:rPr>
        <w:t>N</w:t>
      </w:r>
      <w:r w:rsidRPr="002E1A3F">
        <w:rPr>
          <w:rFonts w:ascii="Calibri" w:eastAsia="Batang" w:hAnsi="Calibri" w:cs="Times New Roman"/>
          <w:color w:val="auto"/>
          <w:sz w:val="22"/>
          <w:szCs w:val="22"/>
          <w:lang w:eastAsia="ko-KR"/>
        </w:rPr>
        <w:t>ew centers</w:t>
      </w:r>
      <w:r w:rsidRPr="000C46A6">
        <w:rPr>
          <w:rFonts w:ascii="Calibri" w:eastAsia="Batang" w:hAnsi="Calibri" w:cs="Times New Roman"/>
          <w:color w:val="auto"/>
          <w:sz w:val="22"/>
          <w:szCs w:val="22"/>
          <w:lang w:eastAsia="ko-KR"/>
        </w:rPr>
        <w:t>.</w:t>
      </w:r>
      <w:r w:rsidRPr="002E1A3F">
        <w:rPr>
          <w:rFonts w:ascii="Calibri" w:eastAsia="Batang" w:hAnsi="Calibri" w:cs="Times New Roman"/>
          <w:b/>
          <w:color w:val="auto"/>
          <w:sz w:val="22"/>
          <w:szCs w:val="22"/>
          <w:lang w:eastAsia="ko-KR"/>
        </w:rPr>
        <w:t xml:space="preserve"> </w:t>
      </w:r>
      <w:r w:rsidRPr="002E1A3F">
        <w:rPr>
          <w:rFonts w:ascii="Calibri" w:eastAsia="Batang" w:hAnsi="Calibri" w:cs="Times New Roman"/>
          <w:color w:val="auto"/>
          <w:sz w:val="22"/>
          <w:szCs w:val="22"/>
          <w:lang w:eastAsia="ko-KR"/>
        </w:rPr>
        <w:t xml:space="preserve">Furthermore, the selection criteria for the ACE Impact centers includes the World Bank’s minimum FM requirements such as, having a qualified accountant, an FM manual and systems that can account for and report on project funds; internal controls that will ensure funds are used for the purposes of the project and safeguard project assets; and arrangements are in place to ensures that project funds will be audited. </w:t>
      </w:r>
      <w:bookmarkEnd w:id="414"/>
    </w:p>
    <w:p w14:paraId="6CF12F88" w14:textId="15F63E56" w:rsidR="003E66A9" w:rsidRPr="002E1A3F" w:rsidRDefault="00B00100" w:rsidP="00FC1A97">
      <w:pPr>
        <w:spacing w:after="80"/>
        <w:ind w:right="720"/>
        <w:jc w:val="center"/>
        <w:rPr>
          <w:rFonts w:ascii="Calibri" w:eastAsia="Batang" w:hAnsi="Calibri" w:cs="Calibri"/>
          <w:b/>
          <w:sz w:val="22"/>
          <w:szCs w:val="22"/>
          <w:lang w:eastAsia="ko-KR"/>
        </w:rPr>
      </w:pPr>
      <w:r w:rsidRPr="002E1A3F">
        <w:rPr>
          <w:rFonts w:ascii="Calibri" w:eastAsia="Batang" w:hAnsi="Calibri" w:cs="Calibri"/>
          <w:b/>
          <w:sz w:val="22"/>
          <w:szCs w:val="22"/>
          <w:lang w:eastAsia="ko-KR"/>
        </w:rPr>
        <w:t xml:space="preserve">Table A2.3. </w:t>
      </w:r>
      <w:r w:rsidRPr="002E1A3F">
        <w:rPr>
          <w:rFonts w:ascii="Calibri" w:eastAsia="Batang" w:hAnsi="Calibri" w:cs="Calibri"/>
          <w:b/>
          <w:i/>
          <w:sz w:val="22"/>
          <w:szCs w:val="22"/>
          <w:lang w:eastAsia="ko-KR"/>
        </w:rPr>
        <w:t>Financial Management Action Plan</w:t>
      </w:r>
      <w:bookmarkEnd w:id="415"/>
    </w:p>
    <w:tbl>
      <w:tblPr>
        <w:tblStyle w:val="TableGrid110"/>
        <w:tblW w:w="9000" w:type="dxa"/>
        <w:tblInd w:w="355" w:type="dxa"/>
        <w:tblLook w:val="04A0" w:firstRow="1" w:lastRow="0" w:firstColumn="1" w:lastColumn="0" w:noHBand="0" w:noVBand="1"/>
      </w:tblPr>
      <w:tblGrid>
        <w:gridCol w:w="578"/>
        <w:gridCol w:w="4054"/>
        <w:gridCol w:w="2087"/>
        <w:gridCol w:w="2281"/>
      </w:tblGrid>
      <w:tr w:rsidR="000C3959" w14:paraId="12E2A1B1" w14:textId="77777777" w:rsidTr="006C70A5">
        <w:trPr>
          <w:tblHeader/>
        </w:trPr>
        <w:tc>
          <w:tcPr>
            <w:tcW w:w="578" w:type="dxa"/>
            <w:shd w:val="clear" w:color="auto" w:fill="BFBFBF"/>
          </w:tcPr>
          <w:p w14:paraId="7BB9616C" w14:textId="77777777" w:rsidR="003E66A9" w:rsidRPr="006D487D" w:rsidRDefault="003E66A9" w:rsidP="003247A0">
            <w:pPr>
              <w:ind w:left="-450"/>
              <w:jc w:val="center"/>
              <w:rPr>
                <w:rFonts w:asciiTheme="minorHAnsi" w:hAnsiTheme="minorHAnsi" w:cstheme="minorHAnsi"/>
                <w:b/>
                <w:sz w:val="18"/>
                <w:szCs w:val="18"/>
              </w:rPr>
            </w:pPr>
          </w:p>
        </w:tc>
        <w:tc>
          <w:tcPr>
            <w:tcW w:w="4054" w:type="dxa"/>
            <w:shd w:val="clear" w:color="auto" w:fill="BFBFBF"/>
          </w:tcPr>
          <w:p w14:paraId="11DB7787" w14:textId="77777777" w:rsidR="003E66A9" w:rsidRPr="006D487D" w:rsidRDefault="00B00100" w:rsidP="003247A0">
            <w:pPr>
              <w:ind w:left="-450"/>
              <w:jc w:val="center"/>
              <w:rPr>
                <w:rFonts w:asciiTheme="minorHAnsi" w:hAnsiTheme="minorHAnsi" w:cstheme="minorHAnsi"/>
                <w:b/>
                <w:sz w:val="18"/>
                <w:szCs w:val="18"/>
              </w:rPr>
            </w:pPr>
            <w:r w:rsidRPr="006D487D">
              <w:rPr>
                <w:rFonts w:asciiTheme="minorHAnsi" w:hAnsiTheme="minorHAnsi" w:cstheme="minorHAnsi"/>
                <w:b/>
                <w:sz w:val="18"/>
                <w:szCs w:val="18"/>
              </w:rPr>
              <w:t>Action</w:t>
            </w:r>
          </w:p>
        </w:tc>
        <w:tc>
          <w:tcPr>
            <w:tcW w:w="2087" w:type="dxa"/>
            <w:shd w:val="clear" w:color="auto" w:fill="BFBFBF"/>
          </w:tcPr>
          <w:p w14:paraId="2B85434C" w14:textId="77777777" w:rsidR="003E66A9" w:rsidRPr="006D487D" w:rsidRDefault="00B00100" w:rsidP="00FC1A97">
            <w:pPr>
              <w:ind w:left="-450"/>
              <w:jc w:val="center"/>
              <w:rPr>
                <w:rFonts w:asciiTheme="minorHAnsi" w:hAnsiTheme="minorHAnsi" w:cstheme="minorHAnsi"/>
                <w:b/>
                <w:sz w:val="18"/>
                <w:szCs w:val="18"/>
              </w:rPr>
            </w:pPr>
            <w:r w:rsidRPr="006D487D">
              <w:rPr>
                <w:rFonts w:asciiTheme="minorHAnsi" w:hAnsiTheme="minorHAnsi" w:cstheme="minorHAnsi"/>
                <w:b/>
                <w:sz w:val="18"/>
                <w:szCs w:val="18"/>
              </w:rPr>
              <w:t>Due by</w:t>
            </w:r>
          </w:p>
        </w:tc>
        <w:tc>
          <w:tcPr>
            <w:tcW w:w="2281" w:type="dxa"/>
            <w:shd w:val="clear" w:color="auto" w:fill="BFBFBF"/>
          </w:tcPr>
          <w:p w14:paraId="32737880" w14:textId="77777777" w:rsidR="003E66A9" w:rsidRPr="006D487D" w:rsidRDefault="00B00100" w:rsidP="003247A0">
            <w:pPr>
              <w:ind w:left="-450"/>
              <w:jc w:val="center"/>
              <w:rPr>
                <w:rFonts w:asciiTheme="minorHAnsi" w:hAnsiTheme="minorHAnsi" w:cstheme="minorHAnsi"/>
                <w:b/>
                <w:sz w:val="18"/>
                <w:szCs w:val="18"/>
              </w:rPr>
            </w:pPr>
            <w:r w:rsidRPr="006D487D">
              <w:rPr>
                <w:rFonts w:asciiTheme="minorHAnsi" w:hAnsiTheme="minorHAnsi" w:cstheme="minorHAnsi"/>
                <w:b/>
                <w:sz w:val="18"/>
                <w:szCs w:val="18"/>
              </w:rPr>
              <w:t>Responsible ACE</w:t>
            </w:r>
          </w:p>
        </w:tc>
      </w:tr>
      <w:tr w:rsidR="000C3959" w14:paraId="0F011E38" w14:textId="77777777" w:rsidTr="006C70A5">
        <w:trPr>
          <w:tblHeader/>
        </w:trPr>
        <w:tc>
          <w:tcPr>
            <w:tcW w:w="9000" w:type="dxa"/>
            <w:gridSpan w:val="4"/>
            <w:shd w:val="clear" w:color="auto" w:fill="E7E6E6"/>
          </w:tcPr>
          <w:p w14:paraId="1B61B8F4" w14:textId="77777777" w:rsidR="003E66A9" w:rsidRPr="006D487D" w:rsidRDefault="00B00100">
            <w:pPr>
              <w:ind w:left="-450"/>
              <w:jc w:val="center"/>
              <w:rPr>
                <w:rFonts w:asciiTheme="minorHAnsi" w:hAnsiTheme="minorHAnsi" w:cstheme="minorHAnsi"/>
                <w:b/>
                <w:sz w:val="18"/>
                <w:szCs w:val="18"/>
              </w:rPr>
            </w:pPr>
            <w:r w:rsidRPr="006D487D">
              <w:rPr>
                <w:rFonts w:asciiTheme="minorHAnsi" w:hAnsiTheme="minorHAnsi" w:cstheme="minorHAnsi"/>
                <w:b/>
                <w:sz w:val="18"/>
                <w:szCs w:val="18"/>
              </w:rPr>
              <w:t>Country Specific Actions</w:t>
            </w:r>
          </w:p>
        </w:tc>
      </w:tr>
      <w:tr w:rsidR="000C3959" w14:paraId="0F8B5B5F" w14:textId="77777777" w:rsidTr="006C70A5">
        <w:tc>
          <w:tcPr>
            <w:tcW w:w="9000" w:type="dxa"/>
            <w:gridSpan w:val="4"/>
            <w:shd w:val="clear" w:color="auto" w:fill="E7E6E6"/>
          </w:tcPr>
          <w:p w14:paraId="38F0F8F3" w14:textId="77777777" w:rsidR="003E66A9" w:rsidRPr="006D487D" w:rsidRDefault="00B00100">
            <w:pPr>
              <w:ind w:left="-450"/>
              <w:jc w:val="center"/>
              <w:rPr>
                <w:rFonts w:asciiTheme="minorHAnsi" w:hAnsiTheme="minorHAnsi" w:cstheme="minorHAnsi"/>
                <w:b/>
                <w:sz w:val="18"/>
                <w:szCs w:val="18"/>
              </w:rPr>
            </w:pPr>
            <w:r w:rsidRPr="006D487D">
              <w:rPr>
                <w:rFonts w:asciiTheme="minorHAnsi" w:hAnsiTheme="minorHAnsi" w:cstheme="minorHAnsi"/>
                <w:b/>
                <w:sz w:val="18"/>
                <w:szCs w:val="18"/>
              </w:rPr>
              <w:t>Nigeria</w:t>
            </w:r>
          </w:p>
        </w:tc>
      </w:tr>
      <w:tr w:rsidR="000C3959" w14:paraId="51A09FB9" w14:textId="77777777" w:rsidTr="006C70A5">
        <w:tc>
          <w:tcPr>
            <w:tcW w:w="578" w:type="dxa"/>
          </w:tcPr>
          <w:p w14:paraId="703CFDDC" w14:textId="77777777" w:rsidR="003E66A9" w:rsidRPr="006D487D" w:rsidRDefault="003E66A9">
            <w:pPr>
              <w:pStyle w:val="ListParagraph"/>
              <w:widowControl/>
              <w:numPr>
                <w:ilvl w:val="0"/>
                <w:numId w:val="60"/>
              </w:numPr>
              <w:autoSpaceDE/>
              <w:autoSpaceDN/>
              <w:adjustRightInd/>
              <w:contextualSpacing w:val="0"/>
              <w:jc w:val="right"/>
              <w:rPr>
                <w:rFonts w:asciiTheme="minorHAnsi" w:hAnsiTheme="minorHAnsi" w:cstheme="minorHAnsi"/>
                <w:sz w:val="18"/>
                <w:szCs w:val="18"/>
              </w:rPr>
            </w:pPr>
          </w:p>
        </w:tc>
        <w:tc>
          <w:tcPr>
            <w:tcW w:w="4054" w:type="dxa"/>
            <w:shd w:val="clear" w:color="auto" w:fill="auto"/>
          </w:tcPr>
          <w:p w14:paraId="6EE3E385" w14:textId="77777777" w:rsidR="003E66A9" w:rsidRPr="006D487D" w:rsidRDefault="00B00100" w:rsidP="00F463C2">
            <w:pPr>
              <w:keepNext/>
              <w:keepLines/>
              <w:spacing w:after="120"/>
              <w:rPr>
                <w:rFonts w:asciiTheme="minorHAnsi" w:hAnsiTheme="minorHAnsi" w:cstheme="minorHAnsi"/>
                <w:sz w:val="18"/>
                <w:szCs w:val="18"/>
              </w:rPr>
            </w:pPr>
            <w:r w:rsidRPr="008E4CE3">
              <w:rPr>
                <w:rFonts w:asciiTheme="minorHAnsi" w:hAnsiTheme="minorHAnsi" w:cstheme="minorHAnsi"/>
                <w:sz w:val="18"/>
                <w:szCs w:val="18"/>
              </w:rPr>
              <w:t>U</w:t>
            </w:r>
            <w:r w:rsidR="001229EB" w:rsidRPr="008E4CE3">
              <w:rPr>
                <w:rFonts w:asciiTheme="minorHAnsi" w:hAnsiTheme="minorHAnsi" w:cstheme="minorHAnsi"/>
                <w:sz w:val="18"/>
                <w:szCs w:val="18"/>
              </w:rPr>
              <w:t>pdate the FM Manual.</w:t>
            </w:r>
          </w:p>
        </w:tc>
        <w:tc>
          <w:tcPr>
            <w:tcW w:w="2087" w:type="dxa"/>
          </w:tcPr>
          <w:p w14:paraId="379C563C"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after effectiveness</w:t>
            </w:r>
          </w:p>
        </w:tc>
        <w:tc>
          <w:tcPr>
            <w:tcW w:w="2281" w:type="dxa"/>
          </w:tcPr>
          <w:p w14:paraId="03A50B73"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NUC</w:t>
            </w:r>
          </w:p>
          <w:p w14:paraId="6DB4F179" w14:textId="77777777" w:rsidR="003E66A9" w:rsidRPr="00C128CC" w:rsidRDefault="003E66A9" w:rsidP="003247A0">
            <w:pPr>
              <w:pStyle w:val="ListParagraph"/>
              <w:widowControl/>
              <w:autoSpaceDE/>
              <w:autoSpaceDN/>
              <w:adjustRightInd/>
              <w:ind w:left="270"/>
              <w:contextualSpacing w:val="0"/>
              <w:jc w:val="both"/>
              <w:rPr>
                <w:rFonts w:asciiTheme="minorHAnsi" w:hAnsiTheme="minorHAnsi" w:cstheme="minorHAnsi"/>
                <w:sz w:val="18"/>
                <w:szCs w:val="18"/>
              </w:rPr>
            </w:pPr>
          </w:p>
        </w:tc>
      </w:tr>
      <w:tr w:rsidR="000C3959" w14:paraId="647347C7" w14:textId="77777777" w:rsidTr="006C70A5">
        <w:tc>
          <w:tcPr>
            <w:tcW w:w="578" w:type="dxa"/>
          </w:tcPr>
          <w:p w14:paraId="1A1C6449" w14:textId="77777777" w:rsidR="003E66A9" w:rsidRPr="006D487D" w:rsidRDefault="003E66A9">
            <w:pPr>
              <w:pStyle w:val="ListParagraph"/>
              <w:widowControl/>
              <w:numPr>
                <w:ilvl w:val="0"/>
                <w:numId w:val="60"/>
              </w:numPr>
              <w:autoSpaceDE/>
              <w:autoSpaceDN/>
              <w:adjustRightInd/>
              <w:contextualSpacing w:val="0"/>
              <w:jc w:val="right"/>
              <w:rPr>
                <w:rFonts w:asciiTheme="minorHAnsi" w:hAnsiTheme="minorHAnsi" w:cstheme="minorHAnsi"/>
                <w:sz w:val="18"/>
                <w:szCs w:val="18"/>
              </w:rPr>
            </w:pPr>
          </w:p>
        </w:tc>
        <w:tc>
          <w:tcPr>
            <w:tcW w:w="4054" w:type="dxa"/>
          </w:tcPr>
          <w:p w14:paraId="4E400375"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Prepare or update the FM Manual.</w:t>
            </w:r>
          </w:p>
        </w:tc>
        <w:tc>
          <w:tcPr>
            <w:tcW w:w="2087" w:type="dxa"/>
          </w:tcPr>
          <w:p w14:paraId="08D18F87" w14:textId="77777777" w:rsidR="003E66A9" w:rsidRPr="006D487D" w:rsidRDefault="00B00100" w:rsidP="00FC1A97">
            <w:pPr>
              <w:rPr>
                <w:rFonts w:asciiTheme="minorHAnsi" w:hAnsiTheme="minorHAnsi" w:cstheme="minorHAnsi"/>
                <w:sz w:val="18"/>
                <w:szCs w:val="18"/>
              </w:rPr>
            </w:pPr>
            <w:r w:rsidRPr="00B660A4">
              <w:rPr>
                <w:rFonts w:ascii="Calibri" w:eastAsia="Calibri" w:hAnsi="Calibri" w:cs="Times New Roman"/>
                <w:color w:val="auto"/>
                <w:sz w:val="18"/>
                <w:szCs w:val="18"/>
              </w:rPr>
              <w:t>Requirement for first disbursement (part of DLR#1)</w:t>
            </w:r>
          </w:p>
        </w:tc>
        <w:tc>
          <w:tcPr>
            <w:tcW w:w="2281" w:type="dxa"/>
          </w:tcPr>
          <w:p w14:paraId="6A7BD05C" w14:textId="77777777" w:rsidR="007D7D6D"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RU</w:t>
            </w:r>
            <w:r w:rsidR="00FB4CA6" w:rsidRPr="006D487D">
              <w:rPr>
                <w:rFonts w:asciiTheme="minorHAnsi" w:hAnsiTheme="minorHAnsi" w:cstheme="minorHAnsi"/>
                <w:sz w:val="18"/>
                <w:szCs w:val="18"/>
              </w:rPr>
              <w:t xml:space="preserve"> and Ahmadu Bello University</w:t>
            </w:r>
          </w:p>
          <w:p w14:paraId="2AF53A9B" w14:textId="77777777" w:rsidR="007D7D6D"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FUTMIN and NOUN</w:t>
            </w:r>
          </w:p>
          <w:p w14:paraId="1CD61657" w14:textId="77777777" w:rsidR="007D7D6D"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CU</w:t>
            </w:r>
            <w:r w:rsidR="00FB4CA6" w:rsidRPr="006D487D">
              <w:rPr>
                <w:rFonts w:asciiTheme="minorHAnsi" w:hAnsiTheme="minorHAnsi" w:cstheme="minorHAnsi"/>
                <w:sz w:val="18"/>
                <w:szCs w:val="18"/>
              </w:rPr>
              <w:t xml:space="preserve"> FUTO, Uniport, UniLag, LASU and UNN</w:t>
            </w:r>
          </w:p>
          <w:p w14:paraId="5C23CCC3" w14:textId="77777777" w:rsidR="003E66A9" w:rsidRPr="006D487D" w:rsidRDefault="003E66A9" w:rsidP="003C7D1F">
            <w:pPr>
              <w:ind w:left="-450"/>
              <w:jc w:val="right"/>
              <w:rPr>
                <w:rFonts w:asciiTheme="minorHAnsi" w:hAnsiTheme="minorHAnsi" w:cstheme="minorHAnsi"/>
                <w:sz w:val="18"/>
                <w:szCs w:val="18"/>
              </w:rPr>
            </w:pPr>
          </w:p>
        </w:tc>
      </w:tr>
      <w:tr w:rsidR="000C3959" w14:paraId="4CAE02E6" w14:textId="77777777" w:rsidTr="006C70A5">
        <w:tc>
          <w:tcPr>
            <w:tcW w:w="578" w:type="dxa"/>
          </w:tcPr>
          <w:p w14:paraId="35958F8F" w14:textId="77777777" w:rsidR="007D7D6D" w:rsidRPr="006D487D" w:rsidRDefault="007D7D6D">
            <w:pPr>
              <w:pStyle w:val="ListParagraph"/>
              <w:widowControl/>
              <w:numPr>
                <w:ilvl w:val="0"/>
                <w:numId w:val="60"/>
              </w:numPr>
              <w:autoSpaceDE/>
              <w:autoSpaceDN/>
              <w:adjustRightInd/>
              <w:contextualSpacing w:val="0"/>
              <w:jc w:val="right"/>
              <w:rPr>
                <w:rFonts w:asciiTheme="minorHAnsi" w:hAnsiTheme="minorHAnsi" w:cstheme="minorHAnsi"/>
                <w:sz w:val="18"/>
                <w:szCs w:val="18"/>
              </w:rPr>
            </w:pPr>
          </w:p>
        </w:tc>
        <w:tc>
          <w:tcPr>
            <w:tcW w:w="4054" w:type="dxa"/>
          </w:tcPr>
          <w:p w14:paraId="45B13ADD" w14:textId="77777777" w:rsidR="007D7D6D"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Complete the computerization and upgrades of accounting system</w:t>
            </w:r>
          </w:p>
        </w:tc>
        <w:tc>
          <w:tcPr>
            <w:tcW w:w="2087" w:type="dxa"/>
          </w:tcPr>
          <w:p w14:paraId="3B2C08ED" w14:textId="77777777" w:rsidR="007D7D6D" w:rsidRPr="006D487D" w:rsidRDefault="00B00100" w:rsidP="00FC1A97">
            <w:pPr>
              <w:rPr>
                <w:rFonts w:asciiTheme="minorHAnsi" w:hAnsiTheme="minorHAnsi" w:cstheme="minorHAnsi"/>
                <w:sz w:val="18"/>
                <w:szCs w:val="18"/>
              </w:rPr>
            </w:pPr>
            <w:r w:rsidRPr="006D487D">
              <w:rPr>
                <w:rFonts w:asciiTheme="minorHAnsi" w:hAnsiTheme="minorHAnsi" w:cstheme="minorHAnsi"/>
                <w:sz w:val="18"/>
                <w:szCs w:val="18"/>
              </w:rPr>
              <w:t>Within three (3) months after effectiveness</w:t>
            </w:r>
          </w:p>
        </w:tc>
        <w:tc>
          <w:tcPr>
            <w:tcW w:w="2281" w:type="dxa"/>
          </w:tcPr>
          <w:p w14:paraId="235F415E" w14:textId="77777777" w:rsidR="004C289C"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NUC</w:t>
            </w:r>
          </w:p>
          <w:p w14:paraId="185B81C0" w14:textId="77777777" w:rsidR="004C289C"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RU</w:t>
            </w:r>
            <w:r w:rsidR="00FB4CA6" w:rsidRPr="006D487D">
              <w:rPr>
                <w:rFonts w:asciiTheme="minorHAnsi" w:hAnsiTheme="minorHAnsi" w:cstheme="minorHAnsi"/>
                <w:sz w:val="18"/>
                <w:szCs w:val="18"/>
              </w:rPr>
              <w:t xml:space="preserve"> and Ahmadu Bello University</w:t>
            </w:r>
          </w:p>
          <w:p w14:paraId="098D6AFC" w14:textId="77777777" w:rsidR="004C289C"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FUTMIN and NOUN</w:t>
            </w:r>
          </w:p>
          <w:p w14:paraId="114DFCEC" w14:textId="77777777" w:rsidR="004C289C" w:rsidRPr="006D487D" w:rsidRDefault="00B00100" w:rsidP="003C7D1F">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CU</w:t>
            </w:r>
            <w:r w:rsidR="00FB4CA6" w:rsidRPr="006D487D">
              <w:rPr>
                <w:rFonts w:asciiTheme="minorHAnsi" w:hAnsiTheme="minorHAnsi" w:cstheme="minorHAnsi"/>
                <w:sz w:val="18"/>
                <w:szCs w:val="18"/>
              </w:rPr>
              <w:t xml:space="preserve"> FUTO, Uniport, UniLag, LASU and UNN</w:t>
            </w:r>
          </w:p>
          <w:p w14:paraId="77ECA620" w14:textId="77777777" w:rsidR="007D7D6D" w:rsidRPr="006D487D" w:rsidRDefault="007D7D6D" w:rsidP="00BF7B75">
            <w:pPr>
              <w:ind w:left="-450"/>
              <w:rPr>
                <w:rFonts w:asciiTheme="minorHAnsi" w:hAnsiTheme="minorHAnsi" w:cstheme="minorHAnsi"/>
                <w:sz w:val="18"/>
                <w:szCs w:val="18"/>
              </w:rPr>
            </w:pPr>
          </w:p>
        </w:tc>
      </w:tr>
      <w:tr w:rsidR="000C3959" w14:paraId="13FE6C45" w14:textId="77777777" w:rsidTr="006C70A5">
        <w:tc>
          <w:tcPr>
            <w:tcW w:w="578" w:type="dxa"/>
          </w:tcPr>
          <w:p w14:paraId="4AB21356" w14:textId="77777777" w:rsidR="003E66A9" w:rsidRPr="006D487D" w:rsidRDefault="003E66A9">
            <w:pPr>
              <w:pStyle w:val="ListParagraph"/>
              <w:widowControl/>
              <w:numPr>
                <w:ilvl w:val="0"/>
                <w:numId w:val="60"/>
              </w:numPr>
              <w:autoSpaceDE/>
              <w:autoSpaceDN/>
              <w:adjustRightInd/>
              <w:contextualSpacing w:val="0"/>
              <w:jc w:val="right"/>
              <w:rPr>
                <w:rFonts w:asciiTheme="minorHAnsi" w:hAnsiTheme="minorHAnsi" w:cstheme="minorHAnsi"/>
                <w:sz w:val="18"/>
                <w:szCs w:val="18"/>
              </w:rPr>
            </w:pPr>
          </w:p>
        </w:tc>
        <w:tc>
          <w:tcPr>
            <w:tcW w:w="4054" w:type="dxa"/>
          </w:tcPr>
          <w:p w14:paraId="2C9CA5A8"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 xml:space="preserve">Recruit a </w:t>
            </w:r>
            <w:r w:rsidR="00E63807">
              <w:rPr>
                <w:rFonts w:asciiTheme="minorHAnsi" w:hAnsiTheme="minorHAnsi" w:cstheme="minorHAnsi"/>
                <w:sz w:val="18"/>
                <w:szCs w:val="18"/>
              </w:rPr>
              <w:t>FM</w:t>
            </w:r>
            <w:r w:rsidRPr="00210AFB">
              <w:rPr>
                <w:rFonts w:asciiTheme="minorHAnsi" w:hAnsiTheme="minorHAnsi" w:cstheme="minorHAnsi"/>
                <w:sz w:val="18"/>
                <w:szCs w:val="18"/>
              </w:rPr>
              <w:t xml:space="preserve"> Consultant with qualifications and experience satisfactory to the World Bank to support </w:t>
            </w:r>
            <w:r w:rsidR="00171216" w:rsidRPr="00210AFB">
              <w:rPr>
                <w:rFonts w:asciiTheme="minorHAnsi" w:hAnsiTheme="minorHAnsi" w:cstheme="minorHAnsi"/>
                <w:sz w:val="18"/>
                <w:szCs w:val="18"/>
              </w:rPr>
              <w:t xml:space="preserve">the </w:t>
            </w:r>
            <w:r w:rsidR="008A4FA1" w:rsidRPr="00210AFB">
              <w:rPr>
                <w:rFonts w:asciiTheme="minorHAnsi" w:hAnsiTheme="minorHAnsi" w:cstheme="minorHAnsi"/>
                <w:sz w:val="18"/>
                <w:szCs w:val="18"/>
              </w:rPr>
              <w:t>NUC</w:t>
            </w:r>
            <w:r w:rsidR="00171216" w:rsidRPr="00210AFB">
              <w:rPr>
                <w:rFonts w:asciiTheme="minorHAnsi" w:hAnsiTheme="minorHAnsi" w:cstheme="minorHAnsi"/>
                <w:sz w:val="18"/>
                <w:szCs w:val="18"/>
              </w:rPr>
              <w:t xml:space="preserve"> in its </w:t>
            </w:r>
            <w:r w:rsidRPr="00210AFB">
              <w:rPr>
                <w:rFonts w:asciiTheme="minorHAnsi" w:hAnsiTheme="minorHAnsi" w:cstheme="minorHAnsi"/>
                <w:sz w:val="18"/>
                <w:szCs w:val="18"/>
              </w:rPr>
              <w:t>fiduciary work.</w:t>
            </w:r>
          </w:p>
        </w:tc>
        <w:tc>
          <w:tcPr>
            <w:tcW w:w="2087" w:type="dxa"/>
          </w:tcPr>
          <w:p w14:paraId="108BE897"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after effectiveness</w:t>
            </w:r>
          </w:p>
        </w:tc>
        <w:tc>
          <w:tcPr>
            <w:tcW w:w="2281" w:type="dxa"/>
          </w:tcPr>
          <w:p w14:paraId="62669210"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NUC</w:t>
            </w:r>
          </w:p>
        </w:tc>
      </w:tr>
      <w:tr w:rsidR="000C3959" w14:paraId="681363C9" w14:textId="77777777" w:rsidTr="006C70A5">
        <w:tc>
          <w:tcPr>
            <w:tcW w:w="578" w:type="dxa"/>
          </w:tcPr>
          <w:p w14:paraId="228C6198" w14:textId="77777777" w:rsidR="003E66A9" w:rsidRPr="006D487D" w:rsidRDefault="003E66A9">
            <w:pPr>
              <w:pStyle w:val="ListParagraph"/>
              <w:widowControl/>
              <w:numPr>
                <w:ilvl w:val="0"/>
                <w:numId w:val="60"/>
              </w:numPr>
              <w:autoSpaceDE/>
              <w:autoSpaceDN/>
              <w:adjustRightInd/>
              <w:contextualSpacing w:val="0"/>
              <w:jc w:val="both"/>
              <w:rPr>
                <w:rFonts w:asciiTheme="minorHAnsi" w:hAnsiTheme="minorHAnsi" w:cstheme="minorHAnsi"/>
                <w:sz w:val="18"/>
                <w:szCs w:val="18"/>
              </w:rPr>
            </w:pPr>
          </w:p>
        </w:tc>
        <w:tc>
          <w:tcPr>
            <w:tcW w:w="4054" w:type="dxa"/>
          </w:tcPr>
          <w:p w14:paraId="7E88C57A"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 xml:space="preserve">Recruit </w:t>
            </w:r>
            <w:r w:rsidR="00917364" w:rsidRPr="00210AFB">
              <w:rPr>
                <w:rFonts w:asciiTheme="minorHAnsi" w:hAnsiTheme="minorHAnsi" w:cstheme="minorHAnsi"/>
                <w:sz w:val="18"/>
                <w:szCs w:val="18"/>
              </w:rPr>
              <w:t xml:space="preserve">(where </w:t>
            </w:r>
            <w:r w:rsidR="005E4D30" w:rsidRPr="00210AFB">
              <w:rPr>
                <w:rFonts w:asciiTheme="minorHAnsi" w:hAnsiTheme="minorHAnsi" w:cstheme="minorHAnsi"/>
                <w:sz w:val="18"/>
                <w:szCs w:val="18"/>
              </w:rPr>
              <w:t>possible, second existing staff</w:t>
            </w:r>
            <w:r w:rsidR="009247A0" w:rsidRPr="00210AFB">
              <w:rPr>
                <w:rFonts w:asciiTheme="minorHAnsi" w:hAnsiTheme="minorHAnsi" w:cstheme="minorHAnsi"/>
                <w:sz w:val="18"/>
                <w:szCs w:val="18"/>
              </w:rPr>
              <w:t xml:space="preserve"> as</w:t>
            </w:r>
            <w:r w:rsidR="005E4D30" w:rsidRPr="00210AFB">
              <w:rPr>
                <w:rFonts w:asciiTheme="minorHAnsi" w:hAnsiTheme="minorHAnsi" w:cstheme="minorHAnsi"/>
                <w:sz w:val="18"/>
                <w:szCs w:val="18"/>
              </w:rPr>
              <w:t xml:space="preserve">) </w:t>
            </w:r>
            <w:r w:rsidR="000A12E3" w:rsidRPr="00210AFB">
              <w:rPr>
                <w:rFonts w:asciiTheme="minorHAnsi" w:hAnsiTheme="minorHAnsi" w:cstheme="minorHAnsi"/>
                <w:sz w:val="18"/>
                <w:szCs w:val="18"/>
              </w:rPr>
              <w:t>an accountant</w:t>
            </w:r>
            <w:r w:rsidR="00325673" w:rsidRPr="00210AFB">
              <w:rPr>
                <w:rFonts w:asciiTheme="minorHAnsi" w:hAnsiTheme="minorHAnsi" w:cstheme="minorHAnsi"/>
                <w:sz w:val="18"/>
                <w:szCs w:val="18"/>
              </w:rPr>
              <w:t xml:space="preserve"> and internal audit staff</w:t>
            </w:r>
            <w:r w:rsidRPr="00210AFB">
              <w:rPr>
                <w:rFonts w:asciiTheme="minorHAnsi" w:hAnsiTheme="minorHAnsi" w:cstheme="minorHAnsi"/>
                <w:sz w:val="18"/>
                <w:szCs w:val="18"/>
              </w:rPr>
              <w:t xml:space="preserve"> with qualifications and experience satisfactory to the World Bank</w:t>
            </w:r>
          </w:p>
          <w:p w14:paraId="600CE18A" w14:textId="77777777" w:rsidR="003E66A9" w:rsidRPr="00210AFB" w:rsidRDefault="003E66A9" w:rsidP="00FC1A97">
            <w:pPr>
              <w:keepNext/>
              <w:keepLines/>
              <w:spacing w:after="120"/>
              <w:rPr>
                <w:rFonts w:asciiTheme="minorHAnsi" w:hAnsiTheme="minorHAnsi" w:cstheme="minorHAnsi"/>
                <w:sz w:val="18"/>
                <w:szCs w:val="18"/>
              </w:rPr>
            </w:pPr>
          </w:p>
        </w:tc>
        <w:tc>
          <w:tcPr>
            <w:tcW w:w="2087" w:type="dxa"/>
          </w:tcPr>
          <w:p w14:paraId="69354DA9"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Within three (3) months after effectiveness </w:t>
            </w:r>
          </w:p>
        </w:tc>
        <w:tc>
          <w:tcPr>
            <w:tcW w:w="2281" w:type="dxa"/>
          </w:tcPr>
          <w:p w14:paraId="3CF14721" w14:textId="77777777" w:rsidR="003E66A9"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Ahmadu Bello,</w:t>
            </w:r>
          </w:p>
          <w:p w14:paraId="0F4284B3" w14:textId="77777777" w:rsidR="00A276ED"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BSU</w:t>
            </w:r>
          </w:p>
          <w:p w14:paraId="05E973FD" w14:textId="77777777" w:rsidR="003E66A9" w:rsidRPr="006D487D" w:rsidRDefault="003E66A9" w:rsidP="003C7D1F">
            <w:pPr>
              <w:pStyle w:val="ListParagraph"/>
              <w:widowControl/>
              <w:autoSpaceDE/>
              <w:autoSpaceDN/>
              <w:adjustRightInd/>
              <w:ind w:left="270"/>
              <w:contextualSpacing w:val="0"/>
              <w:jc w:val="both"/>
              <w:rPr>
                <w:rFonts w:asciiTheme="minorHAnsi" w:hAnsiTheme="minorHAnsi" w:cstheme="minorHAnsi"/>
                <w:sz w:val="18"/>
                <w:szCs w:val="18"/>
              </w:rPr>
            </w:pPr>
          </w:p>
        </w:tc>
      </w:tr>
      <w:tr w:rsidR="000C3959" w14:paraId="13848F25" w14:textId="77777777" w:rsidTr="006C70A5">
        <w:trPr>
          <w:trHeight w:val="701"/>
        </w:trPr>
        <w:tc>
          <w:tcPr>
            <w:tcW w:w="578" w:type="dxa"/>
          </w:tcPr>
          <w:p w14:paraId="4AE7FCAC" w14:textId="77777777" w:rsidR="003E66A9" w:rsidRPr="006D487D" w:rsidRDefault="003E66A9">
            <w:pPr>
              <w:pStyle w:val="ListParagraph"/>
              <w:widowControl/>
              <w:numPr>
                <w:ilvl w:val="0"/>
                <w:numId w:val="60"/>
              </w:numPr>
              <w:autoSpaceDE/>
              <w:autoSpaceDN/>
              <w:adjustRightInd/>
              <w:contextualSpacing w:val="0"/>
              <w:jc w:val="both"/>
              <w:rPr>
                <w:rFonts w:asciiTheme="minorHAnsi" w:hAnsiTheme="minorHAnsi" w:cstheme="minorHAnsi"/>
                <w:sz w:val="18"/>
                <w:szCs w:val="18"/>
              </w:rPr>
            </w:pPr>
          </w:p>
        </w:tc>
        <w:tc>
          <w:tcPr>
            <w:tcW w:w="4054" w:type="dxa"/>
          </w:tcPr>
          <w:p w14:paraId="40D5267B"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 xml:space="preserve">Adopt internal reforms aimed at ensuring timely submission of IFRs and Internal audit Reports. </w:t>
            </w:r>
          </w:p>
        </w:tc>
        <w:tc>
          <w:tcPr>
            <w:tcW w:w="2087" w:type="dxa"/>
          </w:tcPr>
          <w:p w14:paraId="4C3207E9"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six (6) months following effectiveness</w:t>
            </w:r>
          </w:p>
        </w:tc>
        <w:tc>
          <w:tcPr>
            <w:tcW w:w="2281" w:type="dxa"/>
          </w:tcPr>
          <w:p w14:paraId="36665D92"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NUC </w:t>
            </w:r>
          </w:p>
          <w:p w14:paraId="10208169" w14:textId="77777777" w:rsidR="003E66A9"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Ahmadu Bello, </w:t>
            </w:r>
            <w:r w:rsidR="00970C07">
              <w:rPr>
                <w:rFonts w:asciiTheme="minorHAnsi" w:hAnsiTheme="minorHAnsi" w:cstheme="minorHAnsi"/>
                <w:sz w:val="18"/>
                <w:szCs w:val="18"/>
              </w:rPr>
              <w:t>BSU</w:t>
            </w:r>
          </w:p>
          <w:p w14:paraId="4A1144AD" w14:textId="77777777" w:rsidR="003E66A9" w:rsidRPr="006D487D" w:rsidRDefault="003E66A9" w:rsidP="003247A0">
            <w:pPr>
              <w:pStyle w:val="ListParagraph"/>
              <w:widowControl/>
              <w:autoSpaceDE/>
              <w:autoSpaceDN/>
              <w:adjustRightInd/>
              <w:ind w:left="270"/>
              <w:contextualSpacing w:val="0"/>
              <w:jc w:val="both"/>
              <w:rPr>
                <w:rFonts w:asciiTheme="minorHAnsi" w:hAnsiTheme="minorHAnsi" w:cstheme="minorHAnsi"/>
                <w:sz w:val="18"/>
                <w:szCs w:val="18"/>
              </w:rPr>
            </w:pPr>
          </w:p>
        </w:tc>
      </w:tr>
      <w:tr w:rsidR="000C3959" w14:paraId="7602ED99" w14:textId="77777777" w:rsidTr="006C70A5">
        <w:tc>
          <w:tcPr>
            <w:tcW w:w="578" w:type="dxa"/>
          </w:tcPr>
          <w:p w14:paraId="5F74404D" w14:textId="77777777" w:rsidR="003E66A9" w:rsidRPr="006D487D" w:rsidRDefault="003E66A9">
            <w:pPr>
              <w:pStyle w:val="ListParagraph"/>
              <w:widowControl/>
              <w:numPr>
                <w:ilvl w:val="0"/>
                <w:numId w:val="60"/>
              </w:numPr>
              <w:autoSpaceDE/>
              <w:autoSpaceDN/>
              <w:adjustRightInd/>
              <w:contextualSpacing w:val="0"/>
              <w:jc w:val="both"/>
              <w:rPr>
                <w:rFonts w:asciiTheme="minorHAnsi" w:hAnsiTheme="minorHAnsi" w:cstheme="minorHAnsi"/>
                <w:sz w:val="18"/>
                <w:szCs w:val="18"/>
              </w:rPr>
            </w:pPr>
          </w:p>
        </w:tc>
        <w:tc>
          <w:tcPr>
            <w:tcW w:w="4054" w:type="dxa"/>
          </w:tcPr>
          <w:p w14:paraId="09D3BD37"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 xml:space="preserve">Put in place a functional audit committee that will follow-up on audit recommendations to ensure they are addressed appropriately by management. </w:t>
            </w:r>
          </w:p>
        </w:tc>
        <w:tc>
          <w:tcPr>
            <w:tcW w:w="2087" w:type="dxa"/>
          </w:tcPr>
          <w:p w14:paraId="1B0EA865"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1C5EF420"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UniBen</w:t>
            </w:r>
            <w:r w:rsidR="004E68F9" w:rsidRPr="006D487D">
              <w:rPr>
                <w:rFonts w:asciiTheme="minorHAnsi" w:hAnsiTheme="minorHAnsi" w:cstheme="minorHAnsi"/>
                <w:sz w:val="18"/>
                <w:szCs w:val="18"/>
              </w:rPr>
              <w:t xml:space="preserve">, </w:t>
            </w:r>
          </w:p>
          <w:p w14:paraId="01C82368" w14:textId="77777777" w:rsidR="003E66A9" w:rsidRPr="006D487D" w:rsidRDefault="00B00100" w:rsidP="003247A0">
            <w:pPr>
              <w:pStyle w:val="ListParagraph"/>
              <w:widowControl/>
              <w:numPr>
                <w:ilvl w:val="0"/>
                <w:numId w:val="59"/>
              </w:numPr>
              <w:autoSpaceDE/>
              <w:autoSpaceDN/>
              <w:adjustRightInd/>
              <w:contextualSpacing w:val="0"/>
              <w:rPr>
                <w:rFonts w:asciiTheme="minorHAnsi" w:hAnsiTheme="minorHAnsi" w:cstheme="minorHAnsi"/>
                <w:sz w:val="18"/>
                <w:szCs w:val="18"/>
              </w:rPr>
            </w:pPr>
            <w:r>
              <w:rPr>
                <w:rFonts w:asciiTheme="minorHAnsi" w:hAnsiTheme="minorHAnsi" w:cstheme="minorHAnsi"/>
                <w:sz w:val="18"/>
                <w:szCs w:val="18"/>
              </w:rPr>
              <w:t>BSU</w:t>
            </w:r>
            <w:r w:rsidR="00FB4CA6" w:rsidRPr="006D487D">
              <w:rPr>
                <w:rFonts w:asciiTheme="minorHAnsi" w:hAnsiTheme="minorHAnsi" w:cstheme="minorHAnsi"/>
                <w:sz w:val="18"/>
                <w:szCs w:val="18"/>
              </w:rPr>
              <w:t>, UniPort, Ahmadu Bello University</w:t>
            </w:r>
            <w:r w:rsidR="003E0CBD">
              <w:rPr>
                <w:rFonts w:asciiTheme="minorHAnsi" w:hAnsiTheme="minorHAnsi" w:cstheme="minorHAnsi"/>
                <w:sz w:val="18"/>
                <w:szCs w:val="18"/>
              </w:rPr>
              <w:t xml:space="preserve">, </w:t>
            </w:r>
            <w:r w:rsidR="008B46CE">
              <w:rPr>
                <w:rFonts w:asciiTheme="minorHAnsi" w:hAnsiTheme="minorHAnsi" w:cstheme="minorHAnsi"/>
                <w:sz w:val="18"/>
                <w:szCs w:val="18"/>
              </w:rPr>
              <w:t>CU</w:t>
            </w:r>
            <w:r w:rsidR="00FB4CA6" w:rsidRPr="006D487D">
              <w:rPr>
                <w:rFonts w:asciiTheme="minorHAnsi" w:hAnsiTheme="minorHAnsi" w:cstheme="minorHAnsi"/>
                <w:sz w:val="18"/>
                <w:szCs w:val="18"/>
              </w:rPr>
              <w:t xml:space="preserve">, FUTO, NOUN, and OAU </w:t>
            </w:r>
          </w:p>
        </w:tc>
      </w:tr>
      <w:tr w:rsidR="000C3959" w14:paraId="7F3F3BA5" w14:textId="77777777" w:rsidTr="006C70A5">
        <w:tc>
          <w:tcPr>
            <w:tcW w:w="578" w:type="dxa"/>
          </w:tcPr>
          <w:p w14:paraId="6961F5DA" w14:textId="77777777" w:rsidR="003E66A9" w:rsidRPr="006D487D" w:rsidRDefault="003E66A9">
            <w:pPr>
              <w:pStyle w:val="ListParagraph"/>
              <w:widowControl/>
              <w:numPr>
                <w:ilvl w:val="0"/>
                <w:numId w:val="60"/>
              </w:numPr>
              <w:autoSpaceDE/>
              <w:autoSpaceDN/>
              <w:adjustRightInd/>
              <w:contextualSpacing w:val="0"/>
              <w:jc w:val="both"/>
              <w:rPr>
                <w:rFonts w:asciiTheme="minorHAnsi" w:hAnsiTheme="minorHAnsi" w:cstheme="minorHAnsi"/>
                <w:sz w:val="18"/>
                <w:szCs w:val="18"/>
              </w:rPr>
            </w:pPr>
          </w:p>
        </w:tc>
        <w:tc>
          <w:tcPr>
            <w:tcW w:w="4054" w:type="dxa"/>
          </w:tcPr>
          <w:p w14:paraId="6E2192EB" w14:textId="77777777" w:rsidR="003E66A9" w:rsidRPr="00210AFB" w:rsidRDefault="00B00100" w:rsidP="00F463C2">
            <w:pPr>
              <w:keepNext/>
              <w:keepLines/>
              <w:spacing w:after="120"/>
              <w:rPr>
                <w:rFonts w:asciiTheme="minorHAnsi" w:hAnsiTheme="minorHAnsi" w:cstheme="minorHAnsi"/>
                <w:sz w:val="18"/>
                <w:szCs w:val="18"/>
              </w:rPr>
            </w:pPr>
            <w:r w:rsidRPr="00210AFB">
              <w:rPr>
                <w:rFonts w:asciiTheme="minorHAnsi" w:hAnsiTheme="minorHAnsi" w:cstheme="minorHAnsi"/>
                <w:sz w:val="18"/>
                <w:szCs w:val="18"/>
              </w:rPr>
              <w:t xml:space="preserve">Some </w:t>
            </w:r>
            <w:r w:rsidR="003A535F">
              <w:rPr>
                <w:rFonts w:asciiTheme="minorHAnsi" w:hAnsiTheme="minorHAnsi" w:cstheme="minorHAnsi"/>
                <w:sz w:val="18"/>
                <w:szCs w:val="18"/>
              </w:rPr>
              <w:t>N</w:t>
            </w:r>
            <w:r w:rsidRPr="00210AFB">
              <w:rPr>
                <w:rFonts w:asciiTheme="minorHAnsi" w:hAnsiTheme="minorHAnsi" w:cstheme="minorHAnsi"/>
                <w:sz w:val="18"/>
                <w:szCs w:val="18"/>
              </w:rPr>
              <w:t xml:space="preserve">ew </w:t>
            </w:r>
            <w:r w:rsidR="006D487D" w:rsidRPr="00210AFB">
              <w:rPr>
                <w:rFonts w:asciiTheme="minorHAnsi" w:hAnsiTheme="minorHAnsi" w:cstheme="minorHAnsi"/>
                <w:sz w:val="18"/>
                <w:szCs w:val="18"/>
              </w:rPr>
              <w:t>center</w:t>
            </w:r>
            <w:r w:rsidRPr="00210AFB">
              <w:rPr>
                <w:rFonts w:asciiTheme="minorHAnsi" w:hAnsiTheme="minorHAnsi" w:cstheme="minorHAnsi"/>
                <w:sz w:val="18"/>
                <w:szCs w:val="18"/>
              </w:rPr>
              <w:t>s to submit the audit report conducted for fiscal year 2016 -2018 to the World Bank FMS for review</w:t>
            </w:r>
          </w:p>
        </w:tc>
        <w:tc>
          <w:tcPr>
            <w:tcW w:w="2087" w:type="dxa"/>
          </w:tcPr>
          <w:p w14:paraId="190E42B3"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Within three (3) months after effectiveness </w:t>
            </w:r>
          </w:p>
        </w:tc>
        <w:tc>
          <w:tcPr>
            <w:tcW w:w="2281" w:type="dxa"/>
          </w:tcPr>
          <w:p w14:paraId="53219449"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FUTO, </w:t>
            </w:r>
          </w:p>
          <w:p w14:paraId="4A428465" w14:textId="77777777" w:rsidR="003E66A9"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A</w:t>
            </w:r>
            <w:r w:rsidR="00336A55" w:rsidRPr="006D487D">
              <w:rPr>
                <w:rFonts w:asciiTheme="minorHAnsi" w:hAnsiTheme="minorHAnsi" w:cstheme="minorHAnsi"/>
                <w:sz w:val="18"/>
                <w:szCs w:val="18"/>
              </w:rPr>
              <w:t>hmadu</w:t>
            </w:r>
            <w:r w:rsidRPr="006D487D">
              <w:rPr>
                <w:rFonts w:asciiTheme="minorHAnsi" w:hAnsiTheme="minorHAnsi" w:cstheme="minorHAnsi"/>
                <w:sz w:val="18"/>
                <w:szCs w:val="18"/>
              </w:rPr>
              <w:t xml:space="preserve"> Bello, UniPort, </w:t>
            </w:r>
          </w:p>
          <w:p w14:paraId="74DDE24B" w14:textId="77777777" w:rsidR="003E66A9" w:rsidRPr="006D487D" w:rsidRDefault="00B00100" w:rsidP="003247A0">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hAnsiTheme="minorHAnsi" w:cstheme="minorHAnsi"/>
                <w:sz w:val="18"/>
                <w:szCs w:val="18"/>
              </w:rPr>
              <w:t>Unilag, FUTMIN &amp; Bayero Universities</w:t>
            </w:r>
          </w:p>
        </w:tc>
      </w:tr>
      <w:tr w:rsidR="000C3959" w14:paraId="2FE1A7CF" w14:textId="77777777" w:rsidTr="006C70A5">
        <w:tc>
          <w:tcPr>
            <w:tcW w:w="9000" w:type="dxa"/>
            <w:gridSpan w:val="4"/>
            <w:shd w:val="clear" w:color="auto" w:fill="BFBFBF"/>
          </w:tcPr>
          <w:p w14:paraId="37E0386E" w14:textId="77777777" w:rsidR="003E66A9" w:rsidRPr="006D487D" w:rsidRDefault="00B00100">
            <w:pPr>
              <w:ind w:left="-450"/>
              <w:jc w:val="center"/>
              <w:rPr>
                <w:rFonts w:asciiTheme="minorHAnsi" w:hAnsiTheme="minorHAnsi" w:cstheme="minorHAnsi"/>
                <w:b/>
                <w:sz w:val="18"/>
                <w:szCs w:val="18"/>
              </w:rPr>
            </w:pPr>
            <w:r w:rsidRPr="006D487D">
              <w:rPr>
                <w:rFonts w:asciiTheme="minorHAnsi" w:hAnsiTheme="minorHAnsi" w:cstheme="minorHAnsi"/>
                <w:b/>
                <w:sz w:val="18"/>
                <w:szCs w:val="18"/>
              </w:rPr>
              <w:t>Togo</w:t>
            </w:r>
          </w:p>
        </w:tc>
      </w:tr>
      <w:tr w:rsidR="000C3959" w14:paraId="6993E92A" w14:textId="77777777" w:rsidTr="006C70A5">
        <w:tc>
          <w:tcPr>
            <w:tcW w:w="578" w:type="dxa"/>
          </w:tcPr>
          <w:p w14:paraId="7EEF6D7D"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42484494"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Prepare or update the FM Manual - Update CERSA’s current </w:t>
            </w:r>
            <w:r w:rsidR="00864D46">
              <w:rPr>
                <w:rFonts w:asciiTheme="minorHAnsi" w:hAnsiTheme="minorHAnsi" w:cstheme="minorHAnsi"/>
                <w:sz w:val="18"/>
                <w:szCs w:val="18"/>
              </w:rPr>
              <w:t>FM</w:t>
            </w:r>
            <w:r w:rsidRPr="006D487D">
              <w:rPr>
                <w:rFonts w:asciiTheme="minorHAnsi" w:hAnsiTheme="minorHAnsi" w:cstheme="minorHAnsi"/>
                <w:sz w:val="18"/>
                <w:szCs w:val="18"/>
              </w:rPr>
              <w:t xml:space="preserve"> manual of procedures to be adapted to CERME, and ACE-DOUNEDON. (detailing the FM and accounting procedures)</w:t>
            </w:r>
          </w:p>
        </w:tc>
        <w:tc>
          <w:tcPr>
            <w:tcW w:w="2087" w:type="dxa"/>
          </w:tcPr>
          <w:p w14:paraId="697BB875" w14:textId="77777777" w:rsidR="003E66A9" w:rsidRPr="006D487D" w:rsidRDefault="00B00100" w:rsidP="00FC1A97">
            <w:pPr>
              <w:keepNext/>
              <w:keepLines/>
              <w:spacing w:after="120"/>
              <w:rPr>
                <w:rFonts w:asciiTheme="minorHAnsi" w:hAnsiTheme="minorHAnsi" w:cstheme="minorHAnsi"/>
                <w:sz w:val="18"/>
                <w:szCs w:val="18"/>
              </w:rPr>
            </w:pPr>
            <w:r w:rsidRPr="00B660A4">
              <w:rPr>
                <w:rFonts w:ascii="Calibri" w:eastAsia="Calibri" w:hAnsi="Calibri" w:cs="Times New Roman"/>
                <w:color w:val="auto"/>
                <w:sz w:val="18"/>
                <w:szCs w:val="18"/>
              </w:rPr>
              <w:t>Requirement for first disbursement (part of DLR#1)</w:t>
            </w:r>
          </w:p>
        </w:tc>
        <w:tc>
          <w:tcPr>
            <w:tcW w:w="2281" w:type="dxa"/>
          </w:tcPr>
          <w:p w14:paraId="4A604069"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CERSA, CERME, and ACE-DOUNEDON</w:t>
            </w:r>
          </w:p>
        </w:tc>
      </w:tr>
      <w:tr w:rsidR="000C3959" w14:paraId="0BC66B78" w14:textId="77777777" w:rsidTr="006C70A5">
        <w:tc>
          <w:tcPr>
            <w:tcW w:w="578" w:type="dxa"/>
          </w:tcPr>
          <w:p w14:paraId="6A64D51C"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39507FBE"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Recruit two FMS, with experience and qualifications acceptable to the World Bank, respectively for CERME, and the ACE-DOUNEDON.</w:t>
            </w:r>
          </w:p>
          <w:p w14:paraId="60417D6E" w14:textId="77777777" w:rsidR="003E66A9" w:rsidRPr="006D487D" w:rsidRDefault="003E66A9" w:rsidP="00FC1A97">
            <w:pPr>
              <w:keepNext/>
              <w:keepLines/>
              <w:spacing w:after="120"/>
              <w:rPr>
                <w:rFonts w:asciiTheme="minorHAnsi" w:hAnsiTheme="minorHAnsi" w:cstheme="minorHAnsi"/>
                <w:sz w:val="18"/>
                <w:szCs w:val="18"/>
              </w:rPr>
            </w:pPr>
          </w:p>
        </w:tc>
        <w:tc>
          <w:tcPr>
            <w:tcW w:w="2087" w:type="dxa"/>
          </w:tcPr>
          <w:p w14:paraId="4B75C3E5"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7FE90759" w14:textId="77777777" w:rsidR="003E66A9"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CERME, and ACE-DOUNEDON </w:t>
            </w:r>
          </w:p>
          <w:p w14:paraId="29CBD566" w14:textId="77777777" w:rsidR="003E66A9" w:rsidRPr="006D487D" w:rsidRDefault="003E66A9" w:rsidP="003247A0">
            <w:pPr>
              <w:pStyle w:val="ListParagraph"/>
              <w:widowControl/>
              <w:autoSpaceDE/>
              <w:autoSpaceDN/>
              <w:adjustRightInd/>
              <w:ind w:left="270"/>
              <w:contextualSpacing w:val="0"/>
              <w:jc w:val="both"/>
              <w:rPr>
                <w:rFonts w:asciiTheme="minorHAnsi" w:hAnsiTheme="minorHAnsi" w:cstheme="minorHAnsi"/>
                <w:sz w:val="18"/>
                <w:szCs w:val="18"/>
              </w:rPr>
            </w:pPr>
          </w:p>
        </w:tc>
      </w:tr>
      <w:tr w:rsidR="000C3959" w14:paraId="256D0883" w14:textId="77777777" w:rsidTr="006C70A5">
        <w:tc>
          <w:tcPr>
            <w:tcW w:w="578" w:type="dxa"/>
          </w:tcPr>
          <w:p w14:paraId="5615A406"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17425452"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Assign two civil servants as Accountants for CERME, and ACE-DOUNEDON.</w:t>
            </w:r>
          </w:p>
        </w:tc>
        <w:tc>
          <w:tcPr>
            <w:tcW w:w="2087" w:type="dxa"/>
          </w:tcPr>
          <w:p w14:paraId="66A994F8"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12C4DD5E"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UL</w:t>
            </w:r>
          </w:p>
        </w:tc>
      </w:tr>
      <w:tr w:rsidR="000C3959" w14:paraId="37D66AC3" w14:textId="77777777" w:rsidTr="006C70A5">
        <w:tc>
          <w:tcPr>
            <w:tcW w:w="578" w:type="dxa"/>
          </w:tcPr>
          <w:p w14:paraId="62EC4741"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1D767543" w14:textId="77777777" w:rsidR="003E66A9" w:rsidRPr="006D487D" w:rsidRDefault="00B00100" w:rsidP="00F463C2">
            <w:pPr>
              <w:keepNext/>
              <w:keepLines/>
              <w:spacing w:after="120"/>
              <w:rPr>
                <w:rFonts w:asciiTheme="minorHAnsi" w:hAnsiTheme="minorHAnsi" w:cstheme="minorHAnsi"/>
                <w:sz w:val="18"/>
                <w:szCs w:val="18"/>
              </w:rPr>
            </w:pPr>
            <w:bookmarkStart w:id="416" w:name="_Hlk19011079"/>
            <w:r w:rsidRPr="006D487D">
              <w:rPr>
                <w:rFonts w:asciiTheme="minorHAnsi" w:hAnsiTheme="minorHAnsi" w:cstheme="minorHAnsi"/>
                <w:sz w:val="18"/>
                <w:szCs w:val="18"/>
              </w:rPr>
              <w:t xml:space="preserve">Extend </w:t>
            </w:r>
            <w:r>
              <w:rPr>
                <w:rFonts w:asciiTheme="minorHAnsi" w:hAnsiTheme="minorHAnsi" w:cstheme="minorHAnsi"/>
                <w:sz w:val="18"/>
                <w:szCs w:val="18"/>
              </w:rPr>
              <w:t>CERSA</w:t>
            </w:r>
            <w:r w:rsidRPr="006D487D">
              <w:rPr>
                <w:rFonts w:asciiTheme="minorHAnsi" w:hAnsiTheme="minorHAnsi" w:cstheme="minorHAnsi"/>
                <w:sz w:val="18"/>
                <w:szCs w:val="18"/>
              </w:rPr>
              <w:t>’s internal audit as well as its audit committee arrangements to</w:t>
            </w:r>
            <w:r>
              <w:rPr>
                <w:rFonts w:asciiTheme="minorHAnsi" w:hAnsiTheme="minorHAnsi" w:cstheme="minorHAnsi"/>
                <w:sz w:val="18"/>
                <w:szCs w:val="18"/>
              </w:rPr>
              <w:t xml:space="preserve"> </w:t>
            </w:r>
            <w:r w:rsidRPr="006D487D">
              <w:rPr>
                <w:rFonts w:asciiTheme="minorHAnsi" w:hAnsiTheme="minorHAnsi" w:cstheme="minorHAnsi"/>
                <w:sz w:val="18"/>
                <w:szCs w:val="18"/>
              </w:rPr>
              <w:t>CERME, and ACE-DOUNEDON</w:t>
            </w:r>
            <w:bookmarkEnd w:id="416"/>
          </w:p>
        </w:tc>
        <w:tc>
          <w:tcPr>
            <w:tcW w:w="2087" w:type="dxa"/>
          </w:tcPr>
          <w:p w14:paraId="647D4D5A"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360D5082"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UL</w:t>
            </w:r>
          </w:p>
        </w:tc>
      </w:tr>
      <w:tr w:rsidR="000C3959" w14:paraId="102476DA" w14:textId="77777777" w:rsidTr="006C70A5">
        <w:tc>
          <w:tcPr>
            <w:tcW w:w="578" w:type="dxa"/>
          </w:tcPr>
          <w:p w14:paraId="37CA8505"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6F5DE3E9"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Replace CERSA’s current accounting software TOM2PRO with TOM2PRO software with multi-projects, multi-sites, and multi-</w:t>
            </w:r>
            <w:r w:rsidR="000A12E3" w:rsidRPr="006D487D">
              <w:rPr>
                <w:rFonts w:asciiTheme="minorHAnsi" w:hAnsiTheme="minorHAnsi" w:cstheme="minorHAnsi"/>
                <w:sz w:val="18"/>
                <w:szCs w:val="18"/>
              </w:rPr>
              <w:t>donors’</w:t>
            </w:r>
            <w:r w:rsidRPr="006D487D">
              <w:rPr>
                <w:rFonts w:asciiTheme="minorHAnsi" w:hAnsiTheme="minorHAnsi" w:cstheme="minorHAnsi"/>
                <w:sz w:val="18"/>
                <w:szCs w:val="18"/>
              </w:rPr>
              <w:t xml:space="preserve"> characteristics and deploy same at CERME, and ACE-DOUNEDON level</w:t>
            </w:r>
          </w:p>
          <w:p w14:paraId="7FFD4C57"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for the management of the proposed project,</w:t>
            </w:r>
          </w:p>
        </w:tc>
        <w:tc>
          <w:tcPr>
            <w:tcW w:w="2087" w:type="dxa"/>
          </w:tcPr>
          <w:p w14:paraId="3366989F"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01F9DEB6" w14:textId="77777777" w:rsidR="003E66A9"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 xml:space="preserve">CERSA, </w:t>
            </w:r>
            <w:r w:rsidR="006A37D7" w:rsidRPr="006D487D">
              <w:rPr>
                <w:rFonts w:asciiTheme="minorHAnsi" w:hAnsiTheme="minorHAnsi" w:cstheme="minorHAnsi"/>
                <w:sz w:val="18"/>
                <w:szCs w:val="18"/>
              </w:rPr>
              <w:t xml:space="preserve">CERME, and ACE-DOUNEDON </w:t>
            </w:r>
          </w:p>
          <w:p w14:paraId="69E1A283" w14:textId="77777777" w:rsidR="003E66A9" w:rsidRPr="006D487D" w:rsidRDefault="003E66A9" w:rsidP="003247A0">
            <w:pPr>
              <w:pStyle w:val="ListParagraph"/>
              <w:widowControl/>
              <w:autoSpaceDE/>
              <w:autoSpaceDN/>
              <w:adjustRightInd/>
              <w:ind w:left="270"/>
              <w:contextualSpacing w:val="0"/>
              <w:jc w:val="both"/>
              <w:rPr>
                <w:rFonts w:asciiTheme="minorHAnsi" w:hAnsiTheme="minorHAnsi" w:cstheme="minorHAnsi"/>
                <w:sz w:val="18"/>
                <w:szCs w:val="18"/>
              </w:rPr>
            </w:pPr>
          </w:p>
        </w:tc>
      </w:tr>
      <w:tr w:rsidR="000C3959" w14:paraId="1779D48E" w14:textId="77777777" w:rsidTr="006C70A5">
        <w:tc>
          <w:tcPr>
            <w:tcW w:w="578" w:type="dxa"/>
          </w:tcPr>
          <w:p w14:paraId="61F04BF4" w14:textId="77777777" w:rsidR="003E66A9" w:rsidRPr="006D487D" w:rsidRDefault="003E66A9">
            <w:pPr>
              <w:pStyle w:val="ListParagraph"/>
              <w:widowControl/>
              <w:numPr>
                <w:ilvl w:val="0"/>
                <w:numId w:val="61"/>
              </w:numPr>
              <w:autoSpaceDE/>
              <w:autoSpaceDN/>
              <w:adjustRightInd/>
              <w:contextualSpacing w:val="0"/>
              <w:jc w:val="both"/>
              <w:rPr>
                <w:rFonts w:asciiTheme="minorHAnsi" w:hAnsiTheme="minorHAnsi" w:cstheme="minorHAnsi"/>
                <w:sz w:val="18"/>
                <w:szCs w:val="18"/>
              </w:rPr>
            </w:pPr>
          </w:p>
        </w:tc>
        <w:tc>
          <w:tcPr>
            <w:tcW w:w="4054" w:type="dxa"/>
          </w:tcPr>
          <w:p w14:paraId="5A9EC9C6"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Recruit an external auditor with ToRs acceptable to the World Bank</w:t>
            </w:r>
          </w:p>
        </w:tc>
        <w:tc>
          <w:tcPr>
            <w:tcW w:w="2087" w:type="dxa"/>
          </w:tcPr>
          <w:p w14:paraId="18AF8D9E" w14:textId="77777777" w:rsidR="003E66A9"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six (6) months following effectiveness</w:t>
            </w:r>
          </w:p>
        </w:tc>
        <w:tc>
          <w:tcPr>
            <w:tcW w:w="2281" w:type="dxa"/>
          </w:tcPr>
          <w:p w14:paraId="21D8B453"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CERSA</w:t>
            </w:r>
          </w:p>
          <w:p w14:paraId="118AAA66" w14:textId="77777777" w:rsidR="003E66A9"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CERME, and ACE-DOUNEDON </w:t>
            </w:r>
          </w:p>
          <w:p w14:paraId="0FB7C128" w14:textId="77777777" w:rsidR="003E66A9" w:rsidRPr="006D487D" w:rsidRDefault="003E66A9" w:rsidP="003247A0">
            <w:pPr>
              <w:widowControl/>
              <w:numPr>
                <w:ilvl w:val="0"/>
                <w:numId w:val="59"/>
              </w:numPr>
              <w:autoSpaceDE/>
              <w:autoSpaceDN/>
              <w:adjustRightInd/>
              <w:jc w:val="both"/>
              <w:rPr>
                <w:rFonts w:asciiTheme="minorHAnsi" w:hAnsiTheme="minorHAnsi" w:cstheme="minorHAnsi"/>
                <w:sz w:val="18"/>
                <w:szCs w:val="18"/>
              </w:rPr>
            </w:pPr>
          </w:p>
        </w:tc>
      </w:tr>
      <w:tr w:rsidR="000C3959" w14:paraId="0F252B5B" w14:textId="77777777" w:rsidTr="006C70A5">
        <w:tc>
          <w:tcPr>
            <w:tcW w:w="9000" w:type="dxa"/>
            <w:gridSpan w:val="4"/>
            <w:shd w:val="clear" w:color="auto" w:fill="E7E6E6"/>
          </w:tcPr>
          <w:p w14:paraId="37DC07D4" w14:textId="77777777" w:rsidR="003E66A9" w:rsidRPr="006D487D" w:rsidRDefault="00B00100">
            <w:pPr>
              <w:ind w:left="-450"/>
              <w:jc w:val="center"/>
              <w:rPr>
                <w:rFonts w:asciiTheme="minorHAnsi" w:hAnsiTheme="minorHAnsi" w:cstheme="minorHAnsi"/>
                <w:b/>
                <w:sz w:val="18"/>
                <w:szCs w:val="18"/>
              </w:rPr>
            </w:pPr>
            <w:r w:rsidRPr="006D487D">
              <w:rPr>
                <w:rFonts w:asciiTheme="minorHAnsi" w:hAnsiTheme="minorHAnsi" w:cstheme="minorHAnsi"/>
                <w:b/>
                <w:sz w:val="18"/>
                <w:szCs w:val="18"/>
              </w:rPr>
              <w:t>Benin</w:t>
            </w:r>
          </w:p>
        </w:tc>
      </w:tr>
      <w:tr w:rsidR="000C3959" w14:paraId="6357C2E1" w14:textId="77777777" w:rsidTr="006C70A5">
        <w:tc>
          <w:tcPr>
            <w:tcW w:w="578" w:type="dxa"/>
          </w:tcPr>
          <w:p w14:paraId="1FFD05A5" w14:textId="77777777" w:rsidR="003E66A9" w:rsidRPr="006D487D" w:rsidRDefault="003E66A9">
            <w:pPr>
              <w:pStyle w:val="ListParagraph"/>
              <w:widowControl/>
              <w:numPr>
                <w:ilvl w:val="0"/>
                <w:numId w:val="62"/>
              </w:numPr>
              <w:autoSpaceDE/>
              <w:autoSpaceDN/>
              <w:adjustRightInd/>
              <w:contextualSpacing w:val="0"/>
              <w:jc w:val="both"/>
              <w:rPr>
                <w:rFonts w:asciiTheme="minorHAnsi" w:hAnsiTheme="minorHAnsi" w:cstheme="minorHAnsi"/>
                <w:sz w:val="18"/>
                <w:szCs w:val="18"/>
              </w:rPr>
            </w:pPr>
          </w:p>
        </w:tc>
        <w:tc>
          <w:tcPr>
            <w:tcW w:w="4054" w:type="dxa"/>
          </w:tcPr>
          <w:p w14:paraId="48CE5EA3" w14:textId="77777777" w:rsidR="003E66A9"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Update </w:t>
            </w:r>
            <w:r w:rsidR="00DE4A61">
              <w:rPr>
                <w:rFonts w:asciiTheme="minorHAnsi" w:hAnsiTheme="minorHAnsi" w:cstheme="minorHAnsi"/>
                <w:sz w:val="18"/>
                <w:szCs w:val="18"/>
              </w:rPr>
              <w:t>CEA-SMIA</w:t>
            </w:r>
            <w:r w:rsidRPr="006D487D">
              <w:rPr>
                <w:rFonts w:asciiTheme="minorHAnsi" w:hAnsiTheme="minorHAnsi" w:cstheme="minorHAnsi"/>
                <w:sz w:val="18"/>
                <w:szCs w:val="18"/>
              </w:rPr>
              <w:t xml:space="preserve">’s current </w:t>
            </w:r>
            <w:r w:rsidR="00864D46">
              <w:rPr>
                <w:rFonts w:asciiTheme="minorHAnsi" w:hAnsiTheme="minorHAnsi" w:cstheme="minorHAnsi"/>
                <w:sz w:val="18"/>
                <w:szCs w:val="18"/>
              </w:rPr>
              <w:t>FM</w:t>
            </w:r>
            <w:r w:rsidRPr="006D487D">
              <w:rPr>
                <w:rFonts w:asciiTheme="minorHAnsi" w:hAnsiTheme="minorHAnsi" w:cstheme="minorHAnsi"/>
                <w:sz w:val="18"/>
                <w:szCs w:val="18"/>
              </w:rPr>
              <w:t xml:space="preserve"> manual and ensure it is adapted to C2EA, and CoE-</w:t>
            </w:r>
            <w:r w:rsidR="00A42251" w:rsidRPr="006D487D">
              <w:rPr>
                <w:rFonts w:asciiTheme="minorHAnsi" w:hAnsiTheme="minorHAnsi" w:cstheme="minorHAnsi"/>
                <w:sz w:val="18"/>
                <w:szCs w:val="18"/>
              </w:rPr>
              <w:t>E</w:t>
            </w:r>
            <w:r w:rsidR="00A42251">
              <w:rPr>
                <w:rFonts w:asciiTheme="minorHAnsi" w:hAnsiTheme="minorHAnsi" w:cstheme="minorHAnsi"/>
                <w:sz w:val="18"/>
                <w:szCs w:val="18"/>
              </w:rPr>
              <w:t>IE</w:t>
            </w:r>
            <w:r w:rsidRPr="006D487D">
              <w:rPr>
                <w:rFonts w:asciiTheme="minorHAnsi" w:hAnsiTheme="minorHAnsi" w:cstheme="minorHAnsi"/>
                <w:sz w:val="18"/>
                <w:szCs w:val="18"/>
              </w:rPr>
              <w:t>.</w:t>
            </w:r>
          </w:p>
        </w:tc>
        <w:tc>
          <w:tcPr>
            <w:tcW w:w="2087" w:type="dxa"/>
          </w:tcPr>
          <w:p w14:paraId="301168EF" w14:textId="77777777" w:rsidR="003E66A9" w:rsidRPr="006D487D" w:rsidRDefault="00B00100" w:rsidP="00FC1A97">
            <w:pPr>
              <w:keepNext/>
              <w:keepLines/>
              <w:spacing w:after="120"/>
              <w:rPr>
                <w:rFonts w:asciiTheme="minorHAnsi" w:hAnsiTheme="minorHAnsi" w:cstheme="minorHAnsi"/>
                <w:sz w:val="18"/>
                <w:szCs w:val="18"/>
              </w:rPr>
            </w:pPr>
            <w:r w:rsidRPr="00B660A4">
              <w:rPr>
                <w:rFonts w:ascii="Calibri" w:eastAsia="Calibri" w:hAnsi="Calibri" w:cs="Times New Roman"/>
                <w:color w:val="auto"/>
                <w:sz w:val="18"/>
                <w:szCs w:val="18"/>
              </w:rPr>
              <w:t>Requirement for first disbursement (part of DLR#1)</w:t>
            </w:r>
          </w:p>
        </w:tc>
        <w:tc>
          <w:tcPr>
            <w:tcW w:w="2281" w:type="dxa"/>
          </w:tcPr>
          <w:p w14:paraId="26F36ADF" w14:textId="77777777" w:rsidR="003E66A9"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C2EA, and CoE-</w:t>
            </w:r>
            <w:r w:rsidR="00A42251" w:rsidRPr="006D487D">
              <w:rPr>
                <w:rFonts w:asciiTheme="minorHAnsi" w:hAnsiTheme="minorHAnsi" w:cstheme="minorHAnsi"/>
                <w:sz w:val="18"/>
                <w:szCs w:val="18"/>
              </w:rPr>
              <w:t>E</w:t>
            </w:r>
            <w:r w:rsidR="00A42251">
              <w:rPr>
                <w:rFonts w:asciiTheme="minorHAnsi" w:hAnsiTheme="minorHAnsi" w:cstheme="minorHAnsi"/>
                <w:sz w:val="18"/>
                <w:szCs w:val="18"/>
              </w:rPr>
              <w:t>IE</w:t>
            </w:r>
            <w:r w:rsidRPr="006D487D">
              <w:rPr>
                <w:rFonts w:asciiTheme="minorHAnsi" w:hAnsiTheme="minorHAnsi" w:cstheme="minorHAnsi"/>
                <w:sz w:val="18"/>
                <w:szCs w:val="18"/>
              </w:rPr>
              <w:t>.</w:t>
            </w:r>
          </w:p>
        </w:tc>
      </w:tr>
      <w:tr w:rsidR="000C3959" w14:paraId="50AA2AA7" w14:textId="77777777" w:rsidTr="006C70A5">
        <w:tc>
          <w:tcPr>
            <w:tcW w:w="578" w:type="dxa"/>
          </w:tcPr>
          <w:p w14:paraId="38DC11B9" w14:textId="77777777" w:rsidR="00A870C6" w:rsidRPr="006D487D" w:rsidRDefault="00A870C6">
            <w:pPr>
              <w:pStyle w:val="ListParagraph"/>
              <w:widowControl/>
              <w:numPr>
                <w:ilvl w:val="0"/>
                <w:numId w:val="62"/>
              </w:numPr>
              <w:autoSpaceDE/>
              <w:autoSpaceDN/>
              <w:adjustRightInd/>
              <w:contextualSpacing w:val="0"/>
              <w:jc w:val="both"/>
              <w:rPr>
                <w:rFonts w:asciiTheme="minorHAnsi" w:hAnsiTheme="minorHAnsi" w:cstheme="minorHAnsi"/>
                <w:sz w:val="18"/>
                <w:szCs w:val="18"/>
              </w:rPr>
            </w:pPr>
            <w:bookmarkStart w:id="417" w:name="_Hlk19011856"/>
          </w:p>
        </w:tc>
        <w:tc>
          <w:tcPr>
            <w:tcW w:w="4054" w:type="dxa"/>
          </w:tcPr>
          <w:p w14:paraId="6DA0B3D5" w14:textId="77777777" w:rsidR="00A870C6" w:rsidRPr="006D487D" w:rsidRDefault="00B00100" w:rsidP="00F463C2">
            <w:pPr>
              <w:keepNext/>
              <w:keepLines/>
              <w:spacing w:after="120"/>
              <w:rPr>
                <w:rFonts w:asciiTheme="minorHAnsi" w:hAnsiTheme="minorHAnsi" w:cstheme="minorHAnsi"/>
                <w:sz w:val="18"/>
                <w:szCs w:val="18"/>
              </w:rPr>
            </w:pPr>
            <w:r w:rsidRPr="0094423C">
              <w:rPr>
                <w:rFonts w:asciiTheme="minorHAnsi" w:hAnsiTheme="minorHAnsi" w:cstheme="minorHAnsi"/>
                <w:sz w:val="18"/>
                <w:szCs w:val="18"/>
              </w:rPr>
              <w:t>Recruit an internal auditor, with experience and qualifications acceptable to the World Bank, fully dedicated to the CEA-SMA, C2EA, and CoE-EPAC internal audit tasks</w:t>
            </w:r>
          </w:p>
        </w:tc>
        <w:tc>
          <w:tcPr>
            <w:tcW w:w="2087" w:type="dxa"/>
          </w:tcPr>
          <w:p w14:paraId="491FD31C" w14:textId="77777777" w:rsidR="00A870C6" w:rsidRPr="00B660A4" w:rsidRDefault="00B00100" w:rsidP="00FC1A97">
            <w:pPr>
              <w:keepNext/>
              <w:keepLines/>
              <w:spacing w:after="120"/>
              <w:rPr>
                <w:rFonts w:ascii="Calibri" w:eastAsia="Calibri" w:hAnsi="Calibri" w:cs="Times New Roman"/>
                <w:color w:val="auto"/>
                <w:sz w:val="18"/>
                <w:szCs w:val="18"/>
              </w:rPr>
            </w:pPr>
            <w:r w:rsidRPr="006D487D">
              <w:rPr>
                <w:rFonts w:asciiTheme="minorHAnsi" w:hAnsiTheme="minorHAnsi" w:cstheme="minorHAnsi"/>
                <w:sz w:val="18"/>
                <w:szCs w:val="18"/>
              </w:rPr>
              <w:t>Within three (3) months following effectiveness</w:t>
            </w:r>
          </w:p>
        </w:tc>
        <w:tc>
          <w:tcPr>
            <w:tcW w:w="2281" w:type="dxa"/>
          </w:tcPr>
          <w:p w14:paraId="64F2C631"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CEA-SMIA</w:t>
            </w:r>
            <w:r w:rsidRPr="006D487D">
              <w:rPr>
                <w:rFonts w:asciiTheme="minorHAnsi" w:hAnsiTheme="minorHAnsi" w:cstheme="minorHAnsi"/>
                <w:sz w:val="18"/>
                <w:szCs w:val="18"/>
              </w:rPr>
              <w:t>,</w:t>
            </w:r>
            <w:r>
              <w:rPr>
                <w:rFonts w:asciiTheme="minorHAnsi" w:hAnsiTheme="minorHAnsi" w:cstheme="minorHAnsi"/>
                <w:sz w:val="18"/>
                <w:szCs w:val="18"/>
              </w:rPr>
              <w:t xml:space="preserve"> </w:t>
            </w:r>
            <w:r w:rsidRPr="0094423C">
              <w:rPr>
                <w:rFonts w:asciiTheme="minorHAnsi" w:hAnsiTheme="minorHAnsi" w:cstheme="minorHAnsi"/>
                <w:sz w:val="18"/>
                <w:szCs w:val="18"/>
              </w:rPr>
              <w:t>C2EA, and CoE-EIE</w:t>
            </w:r>
          </w:p>
        </w:tc>
      </w:tr>
      <w:bookmarkEnd w:id="417"/>
      <w:tr w:rsidR="000C3959" w14:paraId="32481B3B" w14:textId="77777777" w:rsidTr="006C70A5">
        <w:tc>
          <w:tcPr>
            <w:tcW w:w="578" w:type="dxa"/>
          </w:tcPr>
          <w:p w14:paraId="2B33353E" w14:textId="77777777" w:rsidR="00A870C6" w:rsidRPr="006D487D" w:rsidRDefault="00A870C6">
            <w:pPr>
              <w:pStyle w:val="ListParagraph"/>
              <w:widowControl/>
              <w:numPr>
                <w:ilvl w:val="0"/>
                <w:numId w:val="62"/>
              </w:numPr>
              <w:autoSpaceDE/>
              <w:autoSpaceDN/>
              <w:adjustRightInd/>
              <w:contextualSpacing w:val="0"/>
              <w:jc w:val="both"/>
              <w:rPr>
                <w:rFonts w:asciiTheme="minorHAnsi" w:hAnsiTheme="minorHAnsi" w:cstheme="minorHAnsi"/>
                <w:sz w:val="18"/>
                <w:szCs w:val="18"/>
              </w:rPr>
            </w:pPr>
          </w:p>
        </w:tc>
        <w:tc>
          <w:tcPr>
            <w:tcW w:w="4054" w:type="dxa"/>
          </w:tcPr>
          <w:p w14:paraId="668E4691"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three Accountants, with experience and qualifications acceptable to the World Bank, respectively for </w:t>
            </w:r>
            <w:r>
              <w:rPr>
                <w:rFonts w:asciiTheme="minorHAnsi" w:hAnsiTheme="minorHAnsi" w:cstheme="minorHAnsi"/>
                <w:sz w:val="18"/>
                <w:szCs w:val="18"/>
              </w:rPr>
              <w:t>CEA-SMIA</w:t>
            </w:r>
            <w:r w:rsidRPr="006D487D">
              <w:rPr>
                <w:rFonts w:asciiTheme="minorHAnsi" w:hAnsiTheme="minorHAnsi" w:cstheme="minorHAnsi"/>
                <w:sz w:val="18"/>
                <w:szCs w:val="18"/>
              </w:rPr>
              <w:t>, C2EA, and CoE-E</w:t>
            </w:r>
            <w:r>
              <w:rPr>
                <w:rFonts w:asciiTheme="minorHAnsi" w:hAnsiTheme="minorHAnsi" w:cstheme="minorHAnsi"/>
                <w:sz w:val="18"/>
                <w:szCs w:val="18"/>
              </w:rPr>
              <w:t>IE</w:t>
            </w:r>
            <w:r w:rsidRPr="006D487D">
              <w:rPr>
                <w:rFonts w:asciiTheme="minorHAnsi" w:hAnsiTheme="minorHAnsi" w:cstheme="minorHAnsi"/>
                <w:sz w:val="18"/>
                <w:szCs w:val="18"/>
              </w:rPr>
              <w:t>.</w:t>
            </w:r>
          </w:p>
        </w:tc>
        <w:tc>
          <w:tcPr>
            <w:tcW w:w="2087" w:type="dxa"/>
          </w:tcPr>
          <w:p w14:paraId="7B36079B"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w:t>
            </w:r>
          </w:p>
        </w:tc>
        <w:tc>
          <w:tcPr>
            <w:tcW w:w="2281" w:type="dxa"/>
          </w:tcPr>
          <w:p w14:paraId="62CECAD4"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 xml:space="preserve">CEA-SMIA, </w:t>
            </w:r>
            <w:r w:rsidRPr="006D487D">
              <w:rPr>
                <w:rFonts w:asciiTheme="minorHAnsi" w:hAnsiTheme="minorHAnsi" w:cstheme="minorHAnsi"/>
                <w:sz w:val="18"/>
                <w:szCs w:val="18"/>
              </w:rPr>
              <w:t>C2EA, and CoE-E</w:t>
            </w:r>
            <w:r>
              <w:rPr>
                <w:rFonts w:asciiTheme="minorHAnsi" w:hAnsiTheme="minorHAnsi" w:cstheme="minorHAnsi"/>
                <w:sz w:val="18"/>
                <w:szCs w:val="18"/>
              </w:rPr>
              <w:t>IE</w:t>
            </w:r>
            <w:r w:rsidRPr="006D487D">
              <w:rPr>
                <w:rFonts w:asciiTheme="minorHAnsi" w:hAnsiTheme="minorHAnsi" w:cstheme="minorHAnsi"/>
                <w:sz w:val="18"/>
                <w:szCs w:val="18"/>
              </w:rPr>
              <w:t>.</w:t>
            </w:r>
          </w:p>
        </w:tc>
      </w:tr>
      <w:tr w:rsidR="000C3959" w14:paraId="071B92D2" w14:textId="77777777" w:rsidTr="006C70A5">
        <w:tc>
          <w:tcPr>
            <w:tcW w:w="578" w:type="dxa"/>
          </w:tcPr>
          <w:p w14:paraId="134975B6" w14:textId="77777777" w:rsidR="00A870C6" w:rsidRPr="006D487D" w:rsidRDefault="00A870C6">
            <w:pPr>
              <w:pStyle w:val="ListParagraph"/>
              <w:widowControl/>
              <w:numPr>
                <w:ilvl w:val="0"/>
                <w:numId w:val="62"/>
              </w:numPr>
              <w:autoSpaceDE/>
              <w:autoSpaceDN/>
              <w:adjustRightInd/>
              <w:contextualSpacing w:val="0"/>
              <w:jc w:val="both"/>
              <w:rPr>
                <w:rFonts w:asciiTheme="minorHAnsi" w:hAnsiTheme="minorHAnsi" w:cstheme="minorHAnsi"/>
                <w:sz w:val="18"/>
                <w:szCs w:val="18"/>
              </w:rPr>
            </w:pPr>
          </w:p>
        </w:tc>
        <w:tc>
          <w:tcPr>
            <w:tcW w:w="4054" w:type="dxa"/>
          </w:tcPr>
          <w:p w14:paraId="04358157" w14:textId="77777777" w:rsidR="00A870C6" w:rsidRPr="006D487D" w:rsidRDefault="00B00100" w:rsidP="00F463C2">
            <w:pPr>
              <w:keepNext/>
              <w:keepLines/>
              <w:spacing w:after="120"/>
              <w:rPr>
                <w:rFonts w:asciiTheme="minorHAnsi" w:hAnsiTheme="minorHAnsi" w:cstheme="minorHAnsi"/>
                <w:sz w:val="18"/>
                <w:szCs w:val="18"/>
              </w:rPr>
            </w:pPr>
            <w:bookmarkStart w:id="418" w:name="_Hlk19012123"/>
            <w:r w:rsidRPr="006D487D">
              <w:rPr>
                <w:rFonts w:asciiTheme="minorHAnsi" w:hAnsiTheme="minorHAnsi" w:cstheme="minorHAnsi"/>
                <w:sz w:val="18"/>
                <w:szCs w:val="18"/>
              </w:rPr>
              <w:t xml:space="preserve">Extend </w:t>
            </w:r>
            <w:r>
              <w:rPr>
                <w:rFonts w:asciiTheme="minorHAnsi" w:hAnsiTheme="minorHAnsi" w:cstheme="minorHAnsi"/>
                <w:sz w:val="18"/>
                <w:szCs w:val="18"/>
              </w:rPr>
              <w:t>CEA-SMIA</w:t>
            </w:r>
            <w:r w:rsidRPr="006D487D">
              <w:rPr>
                <w:rFonts w:asciiTheme="minorHAnsi" w:hAnsiTheme="minorHAnsi" w:cstheme="minorHAnsi"/>
                <w:sz w:val="18"/>
                <w:szCs w:val="18"/>
              </w:rPr>
              <w:t>’s audit committee arrangements to C2EA, and CoE-E</w:t>
            </w:r>
            <w:r>
              <w:rPr>
                <w:rFonts w:asciiTheme="minorHAnsi" w:hAnsiTheme="minorHAnsi" w:cstheme="minorHAnsi"/>
                <w:sz w:val="18"/>
                <w:szCs w:val="18"/>
              </w:rPr>
              <w:t>IE</w:t>
            </w:r>
            <w:bookmarkEnd w:id="418"/>
            <w:r w:rsidRPr="006D487D">
              <w:rPr>
                <w:rFonts w:asciiTheme="minorHAnsi" w:hAnsiTheme="minorHAnsi" w:cstheme="minorHAnsi"/>
                <w:sz w:val="18"/>
                <w:szCs w:val="18"/>
              </w:rPr>
              <w:t>.</w:t>
            </w:r>
          </w:p>
        </w:tc>
        <w:tc>
          <w:tcPr>
            <w:tcW w:w="2087" w:type="dxa"/>
          </w:tcPr>
          <w:p w14:paraId="13AF9F41"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537D4060"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University of Abomey-Calavi</w:t>
            </w:r>
          </w:p>
        </w:tc>
      </w:tr>
      <w:tr w:rsidR="000C3959" w14:paraId="143E25BC" w14:textId="77777777" w:rsidTr="006C70A5">
        <w:tc>
          <w:tcPr>
            <w:tcW w:w="578" w:type="dxa"/>
          </w:tcPr>
          <w:p w14:paraId="47DC4400" w14:textId="77777777" w:rsidR="00A870C6" w:rsidRPr="006D487D" w:rsidRDefault="00A870C6">
            <w:pPr>
              <w:pStyle w:val="ListParagraph"/>
              <w:widowControl/>
              <w:numPr>
                <w:ilvl w:val="0"/>
                <w:numId w:val="62"/>
              </w:numPr>
              <w:autoSpaceDE/>
              <w:autoSpaceDN/>
              <w:adjustRightInd/>
              <w:contextualSpacing w:val="0"/>
              <w:jc w:val="both"/>
              <w:rPr>
                <w:rFonts w:asciiTheme="minorHAnsi" w:hAnsiTheme="minorHAnsi" w:cstheme="minorHAnsi"/>
                <w:sz w:val="18"/>
                <w:szCs w:val="18"/>
              </w:rPr>
            </w:pPr>
          </w:p>
        </w:tc>
        <w:tc>
          <w:tcPr>
            <w:tcW w:w="4054" w:type="dxa"/>
          </w:tcPr>
          <w:p w14:paraId="6829994D"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Deploy </w:t>
            </w:r>
            <w:r>
              <w:rPr>
                <w:rFonts w:asciiTheme="minorHAnsi" w:hAnsiTheme="minorHAnsi" w:cstheme="minorHAnsi"/>
                <w:sz w:val="18"/>
                <w:szCs w:val="18"/>
              </w:rPr>
              <w:t>CEA-SMIA</w:t>
            </w:r>
            <w:r w:rsidRPr="006D487D">
              <w:rPr>
                <w:rFonts w:asciiTheme="minorHAnsi" w:hAnsiTheme="minorHAnsi" w:cstheme="minorHAnsi"/>
                <w:sz w:val="18"/>
                <w:szCs w:val="18"/>
              </w:rPr>
              <w:t>’s current accounting software SUCCESS with multi-projects, multi-sites, and multi-donor characteristics at C2EA, and CoE-E</w:t>
            </w:r>
            <w:r>
              <w:rPr>
                <w:rFonts w:asciiTheme="minorHAnsi" w:hAnsiTheme="minorHAnsi" w:cstheme="minorHAnsi"/>
                <w:sz w:val="18"/>
                <w:szCs w:val="18"/>
              </w:rPr>
              <w:t>IE</w:t>
            </w:r>
            <w:r w:rsidRPr="006D487D">
              <w:rPr>
                <w:rFonts w:asciiTheme="minorHAnsi" w:hAnsiTheme="minorHAnsi" w:cstheme="minorHAnsi"/>
                <w:sz w:val="18"/>
                <w:szCs w:val="18"/>
              </w:rPr>
              <w:t xml:space="preserve"> level.  </w:t>
            </w:r>
          </w:p>
        </w:tc>
        <w:tc>
          <w:tcPr>
            <w:tcW w:w="2087" w:type="dxa"/>
          </w:tcPr>
          <w:p w14:paraId="1EEB0EFE"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3AAAEEF4"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CEA-SMIA</w:t>
            </w:r>
          </w:p>
          <w:p w14:paraId="4A9DE7D3" w14:textId="77777777" w:rsidR="00A870C6"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C2EA</w:t>
            </w:r>
          </w:p>
          <w:p w14:paraId="26D353AF" w14:textId="77777777" w:rsidR="00A870C6"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CoE-E</w:t>
            </w:r>
            <w:r>
              <w:rPr>
                <w:rFonts w:asciiTheme="minorHAnsi" w:hAnsiTheme="minorHAnsi" w:cstheme="minorHAnsi"/>
                <w:sz w:val="18"/>
                <w:szCs w:val="18"/>
              </w:rPr>
              <w:t>IE</w:t>
            </w:r>
            <w:r w:rsidRPr="006D487D">
              <w:rPr>
                <w:rFonts w:asciiTheme="minorHAnsi" w:hAnsiTheme="minorHAnsi" w:cstheme="minorHAnsi"/>
                <w:sz w:val="18"/>
                <w:szCs w:val="18"/>
              </w:rPr>
              <w:t>.</w:t>
            </w:r>
          </w:p>
        </w:tc>
      </w:tr>
      <w:tr w:rsidR="000C3959" w14:paraId="7930FF10" w14:textId="77777777" w:rsidTr="006C70A5">
        <w:tc>
          <w:tcPr>
            <w:tcW w:w="578" w:type="dxa"/>
          </w:tcPr>
          <w:p w14:paraId="2F3A69E0" w14:textId="77777777" w:rsidR="00A870C6" w:rsidRPr="006D487D" w:rsidRDefault="00A870C6">
            <w:pPr>
              <w:pStyle w:val="ListParagraph"/>
              <w:widowControl/>
              <w:numPr>
                <w:ilvl w:val="0"/>
                <w:numId w:val="62"/>
              </w:numPr>
              <w:autoSpaceDE/>
              <w:autoSpaceDN/>
              <w:adjustRightInd/>
              <w:contextualSpacing w:val="0"/>
              <w:jc w:val="both"/>
              <w:rPr>
                <w:rFonts w:asciiTheme="minorHAnsi" w:hAnsiTheme="minorHAnsi" w:cstheme="minorHAnsi"/>
                <w:sz w:val="18"/>
                <w:szCs w:val="18"/>
              </w:rPr>
            </w:pPr>
          </w:p>
        </w:tc>
        <w:tc>
          <w:tcPr>
            <w:tcW w:w="4054" w:type="dxa"/>
          </w:tcPr>
          <w:p w14:paraId="6EFC8246"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Recruit an external auditor with ToRs acceptable to the World Bank</w:t>
            </w:r>
          </w:p>
        </w:tc>
        <w:tc>
          <w:tcPr>
            <w:tcW w:w="2087" w:type="dxa"/>
          </w:tcPr>
          <w:p w14:paraId="681EB7B4"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w:t>
            </w:r>
            <w:r>
              <w:rPr>
                <w:rFonts w:asciiTheme="minorHAnsi" w:hAnsiTheme="minorHAnsi" w:cstheme="minorHAnsi"/>
                <w:sz w:val="18"/>
                <w:szCs w:val="18"/>
              </w:rPr>
              <w:t>6</w:t>
            </w:r>
            <w:r w:rsidRPr="006D487D">
              <w:rPr>
                <w:rFonts w:asciiTheme="minorHAnsi" w:hAnsiTheme="minorHAnsi" w:cstheme="minorHAnsi"/>
                <w:sz w:val="18"/>
                <w:szCs w:val="18"/>
              </w:rPr>
              <w:t>) months following effectiveness</w:t>
            </w:r>
          </w:p>
        </w:tc>
        <w:tc>
          <w:tcPr>
            <w:tcW w:w="2281" w:type="dxa"/>
          </w:tcPr>
          <w:p w14:paraId="7D7A7364"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Pr>
                <w:rFonts w:asciiTheme="minorHAnsi" w:hAnsiTheme="minorHAnsi" w:cstheme="minorHAnsi"/>
                <w:sz w:val="18"/>
                <w:szCs w:val="18"/>
              </w:rPr>
              <w:t>CEA-SMIA</w:t>
            </w:r>
          </w:p>
          <w:p w14:paraId="5DA9BEF5" w14:textId="77777777" w:rsidR="00A870C6"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 xml:space="preserve">C2EA </w:t>
            </w:r>
          </w:p>
          <w:p w14:paraId="540FB21E" w14:textId="77777777" w:rsidR="00A870C6"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CoE-E</w:t>
            </w:r>
            <w:r>
              <w:rPr>
                <w:rFonts w:asciiTheme="minorHAnsi" w:hAnsiTheme="minorHAnsi" w:cstheme="minorHAnsi"/>
                <w:sz w:val="18"/>
                <w:szCs w:val="18"/>
              </w:rPr>
              <w:t>IE</w:t>
            </w:r>
            <w:r w:rsidRPr="006D487D">
              <w:rPr>
                <w:rFonts w:asciiTheme="minorHAnsi" w:hAnsiTheme="minorHAnsi" w:cstheme="minorHAnsi"/>
                <w:sz w:val="18"/>
                <w:szCs w:val="18"/>
              </w:rPr>
              <w:t>.</w:t>
            </w:r>
          </w:p>
        </w:tc>
      </w:tr>
      <w:tr w:rsidR="000C3959" w14:paraId="4CDDF7B3" w14:textId="77777777" w:rsidTr="006C70A5">
        <w:tc>
          <w:tcPr>
            <w:tcW w:w="9000" w:type="dxa"/>
            <w:gridSpan w:val="4"/>
            <w:shd w:val="clear" w:color="auto" w:fill="E7E6E6"/>
          </w:tcPr>
          <w:p w14:paraId="67B604AB" w14:textId="77777777" w:rsidR="00A870C6" w:rsidRPr="006D487D" w:rsidRDefault="00B00100">
            <w:pPr>
              <w:keepNext/>
              <w:keepLines/>
              <w:spacing w:after="120"/>
              <w:jc w:val="center"/>
              <w:rPr>
                <w:rFonts w:asciiTheme="minorHAnsi" w:hAnsiTheme="minorHAnsi" w:cstheme="minorHAnsi"/>
                <w:b/>
                <w:sz w:val="18"/>
                <w:szCs w:val="18"/>
              </w:rPr>
            </w:pPr>
            <w:r w:rsidRPr="006D487D">
              <w:rPr>
                <w:rFonts w:asciiTheme="minorHAnsi" w:hAnsiTheme="minorHAnsi" w:cstheme="minorHAnsi"/>
                <w:b/>
                <w:sz w:val="18"/>
                <w:szCs w:val="18"/>
              </w:rPr>
              <w:t>Niger</w:t>
            </w:r>
          </w:p>
        </w:tc>
      </w:tr>
      <w:tr w:rsidR="000C3959" w14:paraId="2A2A43F6" w14:textId="77777777" w:rsidTr="006C70A5">
        <w:trPr>
          <w:trHeight w:val="890"/>
        </w:trPr>
        <w:tc>
          <w:tcPr>
            <w:tcW w:w="578" w:type="dxa"/>
          </w:tcPr>
          <w:p w14:paraId="7A747739" w14:textId="77777777" w:rsidR="00A870C6" w:rsidRPr="006D487D" w:rsidRDefault="00A870C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610EC6CF"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Develop and adopt a revised Financial Management Manual to be used by CEA</w:t>
            </w:r>
            <w:r>
              <w:rPr>
                <w:rFonts w:asciiTheme="minorHAnsi" w:hAnsiTheme="minorHAnsi" w:cstheme="minorHAnsi"/>
                <w:sz w:val="18"/>
                <w:szCs w:val="18"/>
              </w:rPr>
              <w:t>-</w:t>
            </w:r>
            <w:r w:rsidRPr="006D487D">
              <w:rPr>
                <w:rFonts w:asciiTheme="minorHAnsi" w:hAnsiTheme="minorHAnsi" w:cstheme="minorHAnsi"/>
                <w:sz w:val="18"/>
                <w:szCs w:val="18"/>
              </w:rPr>
              <w:t>CERPP and CEA</w:t>
            </w:r>
            <w:r>
              <w:rPr>
                <w:rFonts w:asciiTheme="minorHAnsi" w:hAnsiTheme="minorHAnsi" w:cstheme="minorHAnsi"/>
                <w:sz w:val="18"/>
                <w:szCs w:val="18"/>
              </w:rPr>
              <w:t>-</w:t>
            </w:r>
            <w:r w:rsidRPr="006D487D">
              <w:rPr>
                <w:rFonts w:asciiTheme="minorHAnsi" w:hAnsiTheme="minorHAnsi" w:cstheme="minorHAnsi"/>
                <w:sz w:val="18"/>
                <w:szCs w:val="18"/>
              </w:rPr>
              <w:t>IEA-MS4SSA.</w:t>
            </w:r>
          </w:p>
        </w:tc>
        <w:tc>
          <w:tcPr>
            <w:tcW w:w="2087" w:type="dxa"/>
          </w:tcPr>
          <w:p w14:paraId="0EEDCBD8" w14:textId="77777777" w:rsidR="00A870C6" w:rsidRPr="006D487D" w:rsidRDefault="00B00100" w:rsidP="00FC1A97">
            <w:pPr>
              <w:keepNext/>
              <w:keepLines/>
              <w:spacing w:after="120"/>
              <w:rPr>
                <w:rFonts w:asciiTheme="minorHAnsi" w:hAnsiTheme="minorHAnsi" w:cstheme="minorHAnsi"/>
                <w:sz w:val="18"/>
                <w:szCs w:val="18"/>
              </w:rPr>
            </w:pPr>
            <w:r w:rsidRPr="00B660A4">
              <w:rPr>
                <w:rFonts w:ascii="Calibri" w:eastAsia="Calibri" w:hAnsi="Calibri" w:cs="Times New Roman"/>
                <w:color w:val="auto"/>
                <w:sz w:val="18"/>
                <w:szCs w:val="18"/>
              </w:rPr>
              <w:t>Requirement for first disbursement (part of DLR#1)</w:t>
            </w:r>
          </w:p>
        </w:tc>
        <w:tc>
          <w:tcPr>
            <w:tcW w:w="2281" w:type="dxa"/>
          </w:tcPr>
          <w:p w14:paraId="53B1CC5F" w14:textId="77777777" w:rsidR="00A870C6" w:rsidRPr="006D487D" w:rsidRDefault="00B00100" w:rsidP="00FC1A97">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UAM</w:t>
            </w:r>
          </w:p>
          <w:p w14:paraId="66FA4D79" w14:textId="77777777" w:rsidR="00A870C6" w:rsidRPr="006D487D" w:rsidRDefault="00A870C6" w:rsidP="003247A0">
            <w:pPr>
              <w:jc w:val="both"/>
              <w:rPr>
                <w:rFonts w:asciiTheme="minorHAnsi" w:hAnsiTheme="minorHAnsi" w:cstheme="minorHAnsi"/>
                <w:sz w:val="18"/>
                <w:szCs w:val="18"/>
              </w:rPr>
            </w:pPr>
          </w:p>
          <w:p w14:paraId="2B7B098E" w14:textId="77777777" w:rsidR="00A870C6" w:rsidRPr="006D487D" w:rsidRDefault="00A870C6" w:rsidP="003247A0">
            <w:pPr>
              <w:jc w:val="both"/>
              <w:rPr>
                <w:rFonts w:asciiTheme="minorHAnsi" w:hAnsiTheme="minorHAnsi" w:cstheme="minorHAnsi"/>
                <w:sz w:val="18"/>
                <w:szCs w:val="18"/>
              </w:rPr>
            </w:pPr>
          </w:p>
        </w:tc>
      </w:tr>
      <w:tr w:rsidR="000C3959" w14:paraId="268751FE" w14:textId="77777777" w:rsidTr="006C70A5">
        <w:tc>
          <w:tcPr>
            <w:tcW w:w="578" w:type="dxa"/>
          </w:tcPr>
          <w:p w14:paraId="327DF0C3" w14:textId="77777777" w:rsidR="00A870C6" w:rsidRPr="006D487D" w:rsidRDefault="00A870C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248A2BC1"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Update the existing FM procedures Manual to be used by CE</w:t>
            </w:r>
            <w:r>
              <w:rPr>
                <w:rFonts w:asciiTheme="minorHAnsi" w:hAnsiTheme="minorHAnsi" w:cstheme="minorHAnsi"/>
                <w:sz w:val="18"/>
                <w:szCs w:val="18"/>
              </w:rPr>
              <w:t>-</w:t>
            </w:r>
            <w:r w:rsidRPr="006D487D">
              <w:rPr>
                <w:rFonts w:asciiTheme="minorHAnsi" w:hAnsiTheme="minorHAnsi" w:cstheme="minorHAnsi"/>
                <w:sz w:val="18"/>
                <w:szCs w:val="18"/>
              </w:rPr>
              <w:t>Environnement minier.</w:t>
            </w:r>
          </w:p>
          <w:p w14:paraId="63BD4674" w14:textId="77777777" w:rsidR="00A870C6" w:rsidRPr="006D487D" w:rsidRDefault="00A870C6" w:rsidP="00FC1A97">
            <w:pPr>
              <w:keepNext/>
              <w:keepLines/>
              <w:spacing w:after="120"/>
              <w:rPr>
                <w:rFonts w:asciiTheme="minorHAnsi" w:hAnsiTheme="minorHAnsi" w:cstheme="minorHAnsi"/>
                <w:sz w:val="18"/>
                <w:szCs w:val="18"/>
              </w:rPr>
            </w:pPr>
          </w:p>
        </w:tc>
        <w:tc>
          <w:tcPr>
            <w:tcW w:w="2087" w:type="dxa"/>
          </w:tcPr>
          <w:p w14:paraId="6F44CAF2" w14:textId="77777777" w:rsidR="00A870C6" w:rsidRPr="006D487D" w:rsidRDefault="00B00100" w:rsidP="00FC1A97">
            <w:pPr>
              <w:keepNext/>
              <w:keepLines/>
              <w:spacing w:after="120"/>
              <w:rPr>
                <w:rFonts w:asciiTheme="minorHAnsi" w:hAnsiTheme="minorHAnsi" w:cstheme="minorHAnsi"/>
                <w:sz w:val="18"/>
                <w:szCs w:val="18"/>
              </w:rPr>
            </w:pPr>
            <w:r w:rsidRPr="00B660A4">
              <w:rPr>
                <w:rFonts w:ascii="Calibri" w:eastAsia="Calibri" w:hAnsi="Calibri" w:cs="Times New Roman"/>
                <w:color w:val="auto"/>
                <w:sz w:val="18"/>
                <w:szCs w:val="18"/>
              </w:rPr>
              <w:t>Requirement for first disbursement (part of DLR#1)</w:t>
            </w:r>
          </w:p>
        </w:tc>
        <w:tc>
          <w:tcPr>
            <w:tcW w:w="2281" w:type="dxa"/>
          </w:tcPr>
          <w:p w14:paraId="3D2A9AF4" w14:textId="77777777" w:rsidR="00A870C6" w:rsidRPr="006D487D" w:rsidRDefault="00B00100" w:rsidP="003247A0">
            <w:pPr>
              <w:pStyle w:val="ListParagraph"/>
              <w:widowControl/>
              <w:numPr>
                <w:ilvl w:val="0"/>
                <w:numId w:val="59"/>
              </w:numPr>
              <w:autoSpaceDE/>
              <w:autoSpaceDN/>
              <w:adjustRightInd/>
              <w:contextualSpacing w:val="0"/>
              <w:jc w:val="both"/>
              <w:rPr>
                <w:rFonts w:asciiTheme="minorHAnsi" w:hAnsiTheme="minorHAnsi" w:cstheme="minorHAnsi"/>
                <w:sz w:val="18"/>
                <w:szCs w:val="18"/>
              </w:rPr>
            </w:pPr>
            <w:r w:rsidRPr="006D487D">
              <w:rPr>
                <w:rFonts w:asciiTheme="minorHAnsi" w:hAnsiTheme="minorHAnsi" w:cstheme="minorHAnsi"/>
                <w:sz w:val="18"/>
                <w:szCs w:val="18"/>
              </w:rPr>
              <w:t>EMIG</w:t>
            </w:r>
          </w:p>
        </w:tc>
      </w:tr>
      <w:tr w:rsidR="000C3959" w14:paraId="2C822756" w14:textId="77777777" w:rsidTr="006C70A5">
        <w:tc>
          <w:tcPr>
            <w:tcW w:w="578" w:type="dxa"/>
          </w:tcPr>
          <w:p w14:paraId="30613E76" w14:textId="77777777" w:rsidR="009504B6" w:rsidRPr="006D487D" w:rsidRDefault="009504B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1DA60FC2" w14:textId="77777777" w:rsidR="009504B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w:t>
            </w:r>
            <w:r>
              <w:rPr>
                <w:rFonts w:asciiTheme="minorHAnsi" w:hAnsiTheme="minorHAnsi" w:cstheme="minorHAnsi"/>
                <w:sz w:val="18"/>
                <w:szCs w:val="18"/>
              </w:rPr>
              <w:t>two</w:t>
            </w:r>
            <w:r w:rsidRPr="006D487D">
              <w:rPr>
                <w:rFonts w:asciiTheme="minorHAnsi" w:hAnsiTheme="minorHAnsi" w:cstheme="minorHAnsi"/>
                <w:sz w:val="18"/>
                <w:szCs w:val="18"/>
              </w:rPr>
              <w:t xml:space="preserve"> Senior Accountant with qualifications and experience satisfactory to the World Bank</w:t>
            </w:r>
            <w:r w:rsidR="00B64CB8">
              <w:rPr>
                <w:rFonts w:asciiTheme="minorHAnsi" w:hAnsiTheme="minorHAnsi" w:cstheme="minorHAnsi"/>
                <w:sz w:val="18"/>
                <w:szCs w:val="18"/>
              </w:rPr>
              <w:t xml:space="preserve">, each </w:t>
            </w:r>
            <w:r w:rsidR="00B64CB8" w:rsidRPr="006D487D">
              <w:rPr>
                <w:rFonts w:asciiTheme="minorHAnsi" w:hAnsiTheme="minorHAnsi" w:cstheme="minorHAnsi"/>
                <w:sz w:val="18"/>
                <w:szCs w:val="18"/>
              </w:rPr>
              <w:t>dedicated</w:t>
            </w:r>
            <w:r w:rsidRPr="006D487D">
              <w:rPr>
                <w:rFonts w:asciiTheme="minorHAnsi" w:hAnsiTheme="minorHAnsi" w:cstheme="minorHAnsi"/>
                <w:sz w:val="18"/>
                <w:szCs w:val="18"/>
              </w:rPr>
              <w:t xml:space="preserve"> to support CEA</w:t>
            </w:r>
            <w:r>
              <w:rPr>
                <w:rFonts w:asciiTheme="minorHAnsi" w:hAnsiTheme="minorHAnsi" w:cstheme="minorHAnsi"/>
                <w:sz w:val="18"/>
                <w:szCs w:val="18"/>
              </w:rPr>
              <w:t>-</w:t>
            </w:r>
            <w:r w:rsidRPr="006D487D">
              <w:rPr>
                <w:rFonts w:asciiTheme="minorHAnsi" w:hAnsiTheme="minorHAnsi" w:cstheme="minorHAnsi"/>
                <w:sz w:val="18"/>
                <w:szCs w:val="18"/>
              </w:rPr>
              <w:t>CERPP and CE</w:t>
            </w:r>
            <w:r>
              <w:rPr>
                <w:rFonts w:asciiTheme="minorHAnsi" w:hAnsiTheme="minorHAnsi" w:cstheme="minorHAnsi"/>
                <w:sz w:val="18"/>
                <w:szCs w:val="18"/>
              </w:rPr>
              <w:t>-</w:t>
            </w:r>
            <w:r w:rsidRPr="006D487D">
              <w:rPr>
                <w:rFonts w:asciiTheme="minorHAnsi" w:hAnsiTheme="minorHAnsi" w:cstheme="minorHAnsi"/>
                <w:sz w:val="18"/>
                <w:szCs w:val="18"/>
              </w:rPr>
              <w:t>IEA-MS4SSA.</w:t>
            </w:r>
          </w:p>
        </w:tc>
        <w:tc>
          <w:tcPr>
            <w:tcW w:w="2087" w:type="dxa"/>
          </w:tcPr>
          <w:p w14:paraId="06B7459E" w14:textId="77777777" w:rsidR="009504B6" w:rsidRPr="006D487D" w:rsidRDefault="00B00100" w:rsidP="00FC1A97">
            <w:pPr>
              <w:keepNext/>
              <w:keepLines/>
              <w:spacing w:after="120"/>
              <w:rPr>
                <w:rFonts w:asciiTheme="minorHAnsi" w:hAnsiTheme="minorHAnsi" w:cstheme="minorHAnsi"/>
                <w:sz w:val="18"/>
                <w:szCs w:val="18"/>
              </w:rPr>
            </w:pPr>
            <w:r w:rsidRPr="00694675">
              <w:rPr>
                <w:rFonts w:asciiTheme="minorHAnsi" w:hAnsiTheme="minorHAnsi" w:cstheme="minorHAnsi"/>
                <w:sz w:val="18"/>
                <w:szCs w:val="18"/>
              </w:rPr>
              <w:t>Within three (3) months following effectiveness</w:t>
            </w:r>
          </w:p>
        </w:tc>
        <w:tc>
          <w:tcPr>
            <w:tcW w:w="2281" w:type="dxa"/>
          </w:tcPr>
          <w:p w14:paraId="3FF68475" w14:textId="77777777" w:rsidR="009504B6" w:rsidRPr="006D487D" w:rsidRDefault="00B00100" w:rsidP="00FC1A97">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hAnsiTheme="minorHAnsi" w:cstheme="minorHAnsi"/>
                <w:sz w:val="18"/>
                <w:szCs w:val="18"/>
              </w:rPr>
              <w:t>UAM</w:t>
            </w:r>
          </w:p>
          <w:p w14:paraId="6F444FF9" w14:textId="77777777" w:rsidR="009504B6" w:rsidRPr="006D487D" w:rsidRDefault="009504B6" w:rsidP="003247A0">
            <w:pPr>
              <w:ind w:left="-90"/>
              <w:jc w:val="both"/>
              <w:rPr>
                <w:rFonts w:asciiTheme="minorHAnsi" w:hAnsiTheme="minorHAnsi" w:cstheme="minorHAnsi"/>
                <w:sz w:val="18"/>
                <w:szCs w:val="18"/>
              </w:rPr>
            </w:pPr>
          </w:p>
          <w:p w14:paraId="2ABCEAA3" w14:textId="77777777" w:rsidR="009504B6" w:rsidRPr="006D487D" w:rsidRDefault="009504B6" w:rsidP="003247A0">
            <w:pPr>
              <w:pStyle w:val="ListParagraph"/>
              <w:ind w:left="270"/>
              <w:jc w:val="both"/>
              <w:rPr>
                <w:rFonts w:asciiTheme="minorHAnsi" w:hAnsiTheme="minorHAnsi" w:cstheme="minorHAnsi"/>
                <w:sz w:val="18"/>
                <w:szCs w:val="18"/>
              </w:rPr>
            </w:pPr>
          </w:p>
        </w:tc>
      </w:tr>
      <w:tr w:rsidR="000C3959" w14:paraId="31624312" w14:textId="77777777" w:rsidTr="006C70A5">
        <w:tc>
          <w:tcPr>
            <w:tcW w:w="578" w:type="dxa"/>
          </w:tcPr>
          <w:p w14:paraId="182BE9F5" w14:textId="77777777" w:rsidR="009504B6" w:rsidRPr="006D487D" w:rsidRDefault="009504B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67BB1C11" w14:textId="77777777" w:rsidR="009504B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Recruit a Senior Accountant with qualifications and experience satisfactory to the World Bank to strengthen the FM team to be dedicated to CE</w:t>
            </w:r>
            <w:r>
              <w:rPr>
                <w:rFonts w:asciiTheme="minorHAnsi" w:hAnsiTheme="minorHAnsi" w:cstheme="minorHAnsi"/>
                <w:sz w:val="18"/>
                <w:szCs w:val="18"/>
              </w:rPr>
              <w:t>-</w:t>
            </w:r>
            <w:r w:rsidRPr="006D487D">
              <w:rPr>
                <w:rFonts w:asciiTheme="minorHAnsi" w:hAnsiTheme="minorHAnsi" w:cstheme="minorHAnsi"/>
                <w:sz w:val="18"/>
                <w:szCs w:val="18"/>
              </w:rPr>
              <w:t>Environnement minier.</w:t>
            </w:r>
          </w:p>
        </w:tc>
        <w:tc>
          <w:tcPr>
            <w:tcW w:w="2087" w:type="dxa"/>
          </w:tcPr>
          <w:p w14:paraId="10309DA2" w14:textId="77777777" w:rsidR="009504B6" w:rsidRPr="006D487D" w:rsidRDefault="00B00100" w:rsidP="00FC1A97">
            <w:pPr>
              <w:keepNext/>
              <w:keepLines/>
              <w:spacing w:after="120"/>
              <w:rPr>
                <w:rFonts w:asciiTheme="minorHAnsi" w:hAnsiTheme="minorHAnsi" w:cstheme="minorHAnsi"/>
                <w:sz w:val="18"/>
                <w:szCs w:val="18"/>
              </w:rPr>
            </w:pPr>
            <w:r w:rsidRPr="00694675">
              <w:rPr>
                <w:rFonts w:asciiTheme="minorHAnsi" w:hAnsiTheme="minorHAnsi" w:cstheme="minorHAnsi"/>
                <w:sz w:val="18"/>
                <w:szCs w:val="18"/>
              </w:rPr>
              <w:t>Within three (3) months following effectiveness</w:t>
            </w:r>
          </w:p>
        </w:tc>
        <w:tc>
          <w:tcPr>
            <w:tcW w:w="2281" w:type="dxa"/>
          </w:tcPr>
          <w:p w14:paraId="341C0115" w14:textId="77777777" w:rsidR="009504B6" w:rsidRPr="006D487D" w:rsidRDefault="00B00100" w:rsidP="00FC1A97">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hAnsiTheme="minorHAnsi" w:cstheme="minorHAnsi"/>
                <w:sz w:val="18"/>
                <w:szCs w:val="18"/>
              </w:rPr>
              <w:t>EMIG</w:t>
            </w:r>
          </w:p>
        </w:tc>
      </w:tr>
      <w:tr w:rsidR="000C3959" w14:paraId="176D1B9B" w14:textId="77777777" w:rsidTr="006C70A5">
        <w:tc>
          <w:tcPr>
            <w:tcW w:w="578" w:type="dxa"/>
          </w:tcPr>
          <w:p w14:paraId="21B3C51C" w14:textId="77777777" w:rsidR="00A870C6" w:rsidRPr="006D487D" w:rsidRDefault="00A870C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089D8629"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Acquire a computerized accounting information system for the management of the proposed project, with specifications acceptable to the World Bank. </w:t>
            </w:r>
          </w:p>
        </w:tc>
        <w:tc>
          <w:tcPr>
            <w:tcW w:w="2087" w:type="dxa"/>
          </w:tcPr>
          <w:p w14:paraId="1E309535"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48D8E294" w14:textId="77777777" w:rsidR="00A870C6" w:rsidRPr="006D487D" w:rsidRDefault="00B00100" w:rsidP="00FC1A97">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eastAsiaTheme="minorHAnsi" w:hAnsiTheme="minorHAnsi" w:cstheme="minorHAnsi"/>
                <w:sz w:val="18"/>
                <w:szCs w:val="18"/>
              </w:rPr>
              <w:t>U</w:t>
            </w:r>
            <w:r w:rsidRPr="006D487D">
              <w:rPr>
                <w:rFonts w:asciiTheme="minorHAnsi" w:hAnsiTheme="minorHAnsi" w:cstheme="minorHAnsi"/>
                <w:sz w:val="18"/>
                <w:szCs w:val="18"/>
              </w:rPr>
              <w:t>AM</w:t>
            </w:r>
          </w:p>
          <w:p w14:paraId="437916D1" w14:textId="77777777" w:rsidR="00A870C6" w:rsidRPr="006D487D" w:rsidRDefault="00B00100" w:rsidP="003247A0">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eastAsiaTheme="minorHAnsi" w:hAnsiTheme="minorHAnsi" w:cstheme="minorHAnsi"/>
                <w:sz w:val="18"/>
                <w:szCs w:val="18"/>
              </w:rPr>
              <w:t>EMIG</w:t>
            </w:r>
          </w:p>
        </w:tc>
      </w:tr>
      <w:tr w:rsidR="000C3959" w14:paraId="6BD02A23" w14:textId="77777777" w:rsidTr="006C70A5">
        <w:trPr>
          <w:trHeight w:val="755"/>
        </w:trPr>
        <w:tc>
          <w:tcPr>
            <w:tcW w:w="578" w:type="dxa"/>
          </w:tcPr>
          <w:p w14:paraId="4FC8CE51" w14:textId="77777777" w:rsidR="00A870C6" w:rsidRPr="006D487D" w:rsidRDefault="00A870C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659FDE6D"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an internal auditor with qualifications and experience satisfactory to the World Bank to jointly support CEA/CERPP and CEA/IEA-MS4SSA.  </w:t>
            </w:r>
          </w:p>
        </w:tc>
        <w:tc>
          <w:tcPr>
            <w:tcW w:w="2087" w:type="dxa"/>
          </w:tcPr>
          <w:p w14:paraId="4124F61B"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420242F9" w14:textId="77777777" w:rsidR="00A870C6" w:rsidRPr="006D487D" w:rsidRDefault="00B00100" w:rsidP="00FC1A97">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eastAsiaTheme="minorHAnsi" w:hAnsiTheme="minorHAnsi" w:cstheme="minorHAnsi"/>
                <w:sz w:val="18"/>
                <w:szCs w:val="18"/>
              </w:rPr>
              <w:t>U</w:t>
            </w:r>
            <w:r w:rsidRPr="006D487D">
              <w:rPr>
                <w:rFonts w:asciiTheme="minorHAnsi" w:hAnsiTheme="minorHAnsi" w:cstheme="minorHAnsi"/>
                <w:sz w:val="18"/>
                <w:szCs w:val="18"/>
              </w:rPr>
              <w:t>AM</w:t>
            </w:r>
          </w:p>
        </w:tc>
      </w:tr>
      <w:tr w:rsidR="000C3959" w14:paraId="3C72DFB7" w14:textId="77777777" w:rsidTr="006C70A5">
        <w:trPr>
          <w:trHeight w:val="449"/>
        </w:trPr>
        <w:tc>
          <w:tcPr>
            <w:tcW w:w="578" w:type="dxa"/>
          </w:tcPr>
          <w:p w14:paraId="2BED7F32" w14:textId="77777777" w:rsidR="00A870C6" w:rsidRPr="006D487D" w:rsidRDefault="00A870C6">
            <w:pPr>
              <w:pStyle w:val="ListParagraph"/>
              <w:widowControl/>
              <w:numPr>
                <w:ilvl w:val="0"/>
                <w:numId w:val="63"/>
              </w:numPr>
              <w:autoSpaceDE/>
              <w:autoSpaceDN/>
              <w:adjustRightInd/>
              <w:contextualSpacing w:val="0"/>
              <w:jc w:val="both"/>
              <w:rPr>
                <w:rFonts w:asciiTheme="minorHAnsi" w:hAnsiTheme="minorHAnsi" w:cstheme="minorHAnsi"/>
                <w:sz w:val="18"/>
                <w:szCs w:val="18"/>
              </w:rPr>
            </w:pPr>
          </w:p>
        </w:tc>
        <w:tc>
          <w:tcPr>
            <w:tcW w:w="4054" w:type="dxa"/>
          </w:tcPr>
          <w:p w14:paraId="51356C04"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an external auditor with ToRs acceptable to the World Bank </w:t>
            </w:r>
          </w:p>
        </w:tc>
        <w:tc>
          <w:tcPr>
            <w:tcW w:w="2087" w:type="dxa"/>
          </w:tcPr>
          <w:p w14:paraId="097DC0E7"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six (6) months following effectiveness</w:t>
            </w:r>
          </w:p>
        </w:tc>
        <w:tc>
          <w:tcPr>
            <w:tcW w:w="2281" w:type="dxa"/>
          </w:tcPr>
          <w:p w14:paraId="385E2387" w14:textId="77777777" w:rsidR="00A870C6" w:rsidRPr="006D487D" w:rsidRDefault="00B00100" w:rsidP="00FC1A97">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eastAsiaTheme="minorHAnsi" w:hAnsiTheme="minorHAnsi" w:cstheme="minorHAnsi"/>
                <w:sz w:val="18"/>
                <w:szCs w:val="18"/>
              </w:rPr>
              <w:t>U</w:t>
            </w:r>
            <w:r w:rsidRPr="006D487D">
              <w:rPr>
                <w:rFonts w:asciiTheme="minorHAnsi" w:hAnsiTheme="minorHAnsi" w:cstheme="minorHAnsi"/>
                <w:sz w:val="18"/>
                <w:szCs w:val="18"/>
              </w:rPr>
              <w:t>AM</w:t>
            </w:r>
          </w:p>
          <w:p w14:paraId="0E85C212" w14:textId="77777777" w:rsidR="00A870C6" w:rsidRPr="006D487D" w:rsidRDefault="00B00100" w:rsidP="003247A0">
            <w:pPr>
              <w:pStyle w:val="ListParagraph"/>
              <w:widowControl/>
              <w:numPr>
                <w:ilvl w:val="0"/>
                <w:numId w:val="59"/>
              </w:numPr>
              <w:autoSpaceDE/>
              <w:autoSpaceDN/>
              <w:adjustRightInd/>
              <w:contextualSpacing w:val="0"/>
              <w:rPr>
                <w:rFonts w:asciiTheme="minorHAnsi" w:hAnsiTheme="minorHAnsi" w:cstheme="minorHAnsi"/>
                <w:sz w:val="18"/>
                <w:szCs w:val="18"/>
              </w:rPr>
            </w:pPr>
            <w:r w:rsidRPr="006D487D">
              <w:rPr>
                <w:rFonts w:asciiTheme="minorHAnsi" w:eastAsiaTheme="minorHAnsi" w:hAnsiTheme="minorHAnsi" w:cstheme="minorHAnsi"/>
                <w:sz w:val="18"/>
                <w:szCs w:val="18"/>
              </w:rPr>
              <w:t>EMIG</w:t>
            </w:r>
          </w:p>
        </w:tc>
      </w:tr>
      <w:tr w:rsidR="000C3959" w14:paraId="194BBC74" w14:textId="77777777" w:rsidTr="006C70A5">
        <w:trPr>
          <w:trHeight w:val="161"/>
        </w:trPr>
        <w:tc>
          <w:tcPr>
            <w:tcW w:w="9000" w:type="dxa"/>
            <w:gridSpan w:val="4"/>
            <w:shd w:val="clear" w:color="auto" w:fill="D9D9D9" w:themeFill="background1" w:themeFillShade="D9"/>
          </w:tcPr>
          <w:p w14:paraId="1DFD4BA5" w14:textId="77777777" w:rsidR="00A870C6" w:rsidRPr="006D487D" w:rsidRDefault="00B00100">
            <w:pPr>
              <w:keepNext/>
              <w:keepLines/>
              <w:spacing w:after="120"/>
              <w:jc w:val="center"/>
              <w:rPr>
                <w:rFonts w:asciiTheme="minorHAnsi" w:hAnsiTheme="minorHAnsi" w:cstheme="minorHAnsi"/>
                <w:b/>
                <w:sz w:val="18"/>
                <w:szCs w:val="18"/>
              </w:rPr>
            </w:pPr>
            <w:r>
              <w:rPr>
                <w:rFonts w:asciiTheme="minorHAnsi" w:hAnsiTheme="minorHAnsi" w:cstheme="minorHAnsi"/>
                <w:b/>
                <w:sz w:val="18"/>
                <w:szCs w:val="18"/>
                <w:highlight w:val="lightGray"/>
              </w:rPr>
              <w:t xml:space="preserve">The </w:t>
            </w:r>
            <w:r w:rsidR="004E68F9" w:rsidRPr="006D487D">
              <w:rPr>
                <w:rFonts w:asciiTheme="minorHAnsi" w:hAnsiTheme="minorHAnsi" w:cstheme="minorHAnsi"/>
                <w:b/>
                <w:sz w:val="18"/>
                <w:szCs w:val="18"/>
                <w:highlight w:val="lightGray"/>
              </w:rPr>
              <w:t>Gambia</w:t>
            </w:r>
          </w:p>
        </w:tc>
      </w:tr>
      <w:tr w:rsidR="000C3959" w14:paraId="3C44D5C9" w14:textId="77777777" w:rsidTr="006C70A5">
        <w:trPr>
          <w:trHeight w:val="449"/>
        </w:trPr>
        <w:tc>
          <w:tcPr>
            <w:tcW w:w="578" w:type="dxa"/>
          </w:tcPr>
          <w:p w14:paraId="09897ADF" w14:textId="77777777" w:rsidR="009F4677" w:rsidRPr="006D487D" w:rsidRDefault="009F4677">
            <w:pPr>
              <w:pStyle w:val="ListParagraph"/>
              <w:widowControl/>
              <w:numPr>
                <w:ilvl w:val="0"/>
                <w:numId w:val="64"/>
              </w:numPr>
              <w:autoSpaceDE/>
              <w:autoSpaceDN/>
              <w:adjustRightInd/>
              <w:contextualSpacing w:val="0"/>
              <w:jc w:val="both"/>
              <w:rPr>
                <w:rFonts w:asciiTheme="minorHAnsi" w:hAnsiTheme="minorHAnsi" w:cstheme="minorHAnsi"/>
                <w:sz w:val="18"/>
                <w:szCs w:val="18"/>
              </w:rPr>
            </w:pPr>
          </w:p>
        </w:tc>
        <w:tc>
          <w:tcPr>
            <w:tcW w:w="4054" w:type="dxa"/>
          </w:tcPr>
          <w:p w14:paraId="7A3B707C" w14:textId="77777777" w:rsidR="009F4677"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a Senior </w:t>
            </w:r>
            <w:r w:rsidR="00864D46">
              <w:rPr>
                <w:rFonts w:asciiTheme="minorHAnsi" w:hAnsiTheme="minorHAnsi" w:cstheme="minorHAnsi"/>
                <w:sz w:val="18"/>
                <w:szCs w:val="18"/>
              </w:rPr>
              <w:t>FMS</w:t>
            </w:r>
          </w:p>
        </w:tc>
        <w:tc>
          <w:tcPr>
            <w:tcW w:w="2087" w:type="dxa"/>
          </w:tcPr>
          <w:p w14:paraId="55573D15" w14:textId="77777777" w:rsidR="009F4677"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0ECF282C" w14:textId="77777777" w:rsidR="009F4677" w:rsidRPr="006D487D" w:rsidRDefault="00B00100" w:rsidP="00FC1A97">
            <w:pPr>
              <w:pStyle w:val="ListParagraph"/>
              <w:widowControl/>
              <w:numPr>
                <w:ilvl w:val="0"/>
                <w:numId w:val="59"/>
              </w:numPr>
              <w:autoSpaceDE/>
              <w:autoSpaceDN/>
              <w:adjustRightInd/>
              <w:contextualSpacing w:val="0"/>
              <w:rPr>
                <w:rFonts w:asciiTheme="minorHAnsi" w:eastAsiaTheme="minorHAnsi" w:hAnsiTheme="minorHAnsi" w:cstheme="minorHAnsi"/>
                <w:sz w:val="18"/>
                <w:szCs w:val="18"/>
              </w:rPr>
            </w:pPr>
            <w:r w:rsidRPr="006D487D">
              <w:rPr>
                <w:rFonts w:asciiTheme="minorHAnsi" w:eastAsiaTheme="minorHAnsi" w:hAnsiTheme="minorHAnsi" w:cstheme="minorHAnsi"/>
                <w:sz w:val="18"/>
                <w:szCs w:val="18"/>
              </w:rPr>
              <w:t>PCU</w:t>
            </w:r>
            <w:r>
              <w:rPr>
                <w:rFonts w:asciiTheme="minorHAnsi" w:eastAsiaTheme="minorHAnsi" w:hAnsiTheme="minorHAnsi" w:cstheme="minorHAnsi"/>
                <w:sz w:val="18"/>
                <w:szCs w:val="18"/>
              </w:rPr>
              <w:t>-Gambia</w:t>
            </w:r>
            <w:r w:rsidRPr="006D487D">
              <w:rPr>
                <w:rFonts w:asciiTheme="minorHAnsi" w:eastAsiaTheme="minorHAnsi" w:hAnsiTheme="minorHAnsi" w:cstheme="minorHAnsi"/>
                <w:sz w:val="18"/>
                <w:szCs w:val="18"/>
              </w:rPr>
              <w:t xml:space="preserve"> </w:t>
            </w:r>
          </w:p>
        </w:tc>
      </w:tr>
      <w:tr w:rsidR="000C3959" w14:paraId="28F47B59" w14:textId="77777777" w:rsidTr="006C70A5">
        <w:trPr>
          <w:trHeight w:val="449"/>
        </w:trPr>
        <w:tc>
          <w:tcPr>
            <w:tcW w:w="578" w:type="dxa"/>
          </w:tcPr>
          <w:p w14:paraId="37CA4388" w14:textId="77777777" w:rsidR="009F4677" w:rsidRPr="006D487D" w:rsidRDefault="009F4677">
            <w:pPr>
              <w:pStyle w:val="ListParagraph"/>
              <w:widowControl/>
              <w:numPr>
                <w:ilvl w:val="0"/>
                <w:numId w:val="64"/>
              </w:numPr>
              <w:autoSpaceDE/>
              <w:autoSpaceDN/>
              <w:adjustRightInd/>
              <w:contextualSpacing w:val="0"/>
              <w:jc w:val="both"/>
              <w:rPr>
                <w:rFonts w:asciiTheme="minorHAnsi" w:hAnsiTheme="minorHAnsi" w:cstheme="minorHAnsi"/>
                <w:sz w:val="18"/>
                <w:szCs w:val="18"/>
              </w:rPr>
            </w:pPr>
          </w:p>
        </w:tc>
        <w:tc>
          <w:tcPr>
            <w:tcW w:w="4054" w:type="dxa"/>
          </w:tcPr>
          <w:p w14:paraId="658D8521" w14:textId="77777777" w:rsidR="009F4677"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Customize the accounting software for the project’s bookkeeping</w:t>
            </w:r>
          </w:p>
        </w:tc>
        <w:tc>
          <w:tcPr>
            <w:tcW w:w="2087" w:type="dxa"/>
          </w:tcPr>
          <w:p w14:paraId="01394332" w14:textId="77777777" w:rsidR="009F4677"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0CD3807A" w14:textId="77777777" w:rsidR="009F4677" w:rsidRPr="006D487D" w:rsidRDefault="00B00100" w:rsidP="00FC1A97">
            <w:pPr>
              <w:pStyle w:val="ListParagraph"/>
              <w:widowControl/>
              <w:numPr>
                <w:ilvl w:val="0"/>
                <w:numId w:val="59"/>
              </w:numPr>
              <w:autoSpaceDE/>
              <w:autoSpaceDN/>
              <w:adjustRightInd/>
              <w:contextualSpacing w:val="0"/>
              <w:rPr>
                <w:rFonts w:asciiTheme="minorHAnsi" w:eastAsiaTheme="minorHAnsi" w:hAnsiTheme="minorHAnsi" w:cstheme="minorHAnsi"/>
                <w:sz w:val="18"/>
                <w:szCs w:val="18"/>
              </w:rPr>
            </w:pPr>
            <w:r w:rsidRPr="006D487D">
              <w:rPr>
                <w:rFonts w:asciiTheme="minorHAnsi" w:eastAsiaTheme="minorHAnsi" w:hAnsiTheme="minorHAnsi" w:cstheme="minorHAnsi"/>
                <w:sz w:val="18"/>
                <w:szCs w:val="18"/>
              </w:rPr>
              <w:t>PCU</w:t>
            </w:r>
            <w:r>
              <w:rPr>
                <w:rFonts w:asciiTheme="minorHAnsi" w:eastAsiaTheme="minorHAnsi" w:hAnsiTheme="minorHAnsi" w:cstheme="minorHAnsi"/>
                <w:sz w:val="18"/>
                <w:szCs w:val="18"/>
              </w:rPr>
              <w:t>-Gambia</w:t>
            </w:r>
          </w:p>
        </w:tc>
      </w:tr>
      <w:tr w:rsidR="000C3959" w14:paraId="41732783" w14:textId="77777777" w:rsidTr="006C70A5">
        <w:trPr>
          <w:trHeight w:val="449"/>
        </w:trPr>
        <w:tc>
          <w:tcPr>
            <w:tcW w:w="578" w:type="dxa"/>
          </w:tcPr>
          <w:p w14:paraId="462CDF0F" w14:textId="77777777" w:rsidR="00A870C6" w:rsidRPr="006D487D" w:rsidRDefault="00A870C6">
            <w:pPr>
              <w:pStyle w:val="ListParagraph"/>
              <w:widowControl/>
              <w:numPr>
                <w:ilvl w:val="0"/>
                <w:numId w:val="64"/>
              </w:numPr>
              <w:autoSpaceDE/>
              <w:autoSpaceDN/>
              <w:adjustRightInd/>
              <w:contextualSpacing w:val="0"/>
              <w:jc w:val="both"/>
              <w:rPr>
                <w:rFonts w:asciiTheme="minorHAnsi" w:hAnsiTheme="minorHAnsi" w:cstheme="minorHAnsi"/>
                <w:sz w:val="18"/>
                <w:szCs w:val="18"/>
              </w:rPr>
            </w:pPr>
          </w:p>
        </w:tc>
        <w:tc>
          <w:tcPr>
            <w:tcW w:w="4054" w:type="dxa"/>
          </w:tcPr>
          <w:p w14:paraId="42761CDA"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Recruit an internal audit consultant</w:t>
            </w:r>
          </w:p>
        </w:tc>
        <w:tc>
          <w:tcPr>
            <w:tcW w:w="2087" w:type="dxa"/>
          </w:tcPr>
          <w:p w14:paraId="483DA39F"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(3) months following effectiveness</w:t>
            </w:r>
          </w:p>
        </w:tc>
        <w:tc>
          <w:tcPr>
            <w:tcW w:w="2281" w:type="dxa"/>
          </w:tcPr>
          <w:p w14:paraId="7FBAEF16" w14:textId="77777777" w:rsidR="00A870C6" w:rsidRPr="006D487D" w:rsidRDefault="00B00100" w:rsidP="00FC1A97">
            <w:pPr>
              <w:pStyle w:val="ListParagraph"/>
              <w:widowControl/>
              <w:numPr>
                <w:ilvl w:val="0"/>
                <w:numId w:val="59"/>
              </w:numPr>
              <w:autoSpaceDE/>
              <w:autoSpaceDN/>
              <w:adjustRightInd/>
              <w:contextualSpacing w:val="0"/>
              <w:rPr>
                <w:rFonts w:asciiTheme="minorHAnsi" w:eastAsiaTheme="minorHAnsi" w:hAnsiTheme="minorHAnsi" w:cstheme="minorHAnsi"/>
                <w:sz w:val="18"/>
                <w:szCs w:val="18"/>
              </w:rPr>
            </w:pPr>
            <w:r w:rsidRPr="006D487D">
              <w:rPr>
                <w:rFonts w:asciiTheme="minorHAnsi" w:eastAsiaTheme="minorHAnsi" w:hAnsiTheme="minorHAnsi" w:cstheme="minorHAnsi"/>
                <w:sz w:val="18"/>
                <w:szCs w:val="18"/>
              </w:rPr>
              <w:t>PCU</w:t>
            </w:r>
            <w:r>
              <w:rPr>
                <w:rFonts w:asciiTheme="minorHAnsi" w:eastAsiaTheme="minorHAnsi" w:hAnsiTheme="minorHAnsi" w:cstheme="minorHAnsi"/>
                <w:sz w:val="18"/>
                <w:szCs w:val="18"/>
              </w:rPr>
              <w:t>-Gambia</w:t>
            </w:r>
          </w:p>
        </w:tc>
      </w:tr>
      <w:tr w:rsidR="000C3959" w14:paraId="33FA136E" w14:textId="77777777" w:rsidTr="006C70A5">
        <w:trPr>
          <w:trHeight w:val="449"/>
        </w:trPr>
        <w:tc>
          <w:tcPr>
            <w:tcW w:w="578" w:type="dxa"/>
          </w:tcPr>
          <w:p w14:paraId="79BFA4A1" w14:textId="77777777" w:rsidR="00A870C6" w:rsidRPr="006D487D" w:rsidRDefault="00A870C6">
            <w:pPr>
              <w:pStyle w:val="ListParagraph"/>
              <w:widowControl/>
              <w:numPr>
                <w:ilvl w:val="0"/>
                <w:numId w:val="64"/>
              </w:numPr>
              <w:autoSpaceDE/>
              <w:autoSpaceDN/>
              <w:adjustRightInd/>
              <w:contextualSpacing w:val="0"/>
              <w:jc w:val="both"/>
              <w:rPr>
                <w:rFonts w:asciiTheme="minorHAnsi" w:hAnsiTheme="minorHAnsi" w:cstheme="minorHAnsi"/>
                <w:sz w:val="18"/>
                <w:szCs w:val="18"/>
              </w:rPr>
            </w:pPr>
          </w:p>
        </w:tc>
        <w:tc>
          <w:tcPr>
            <w:tcW w:w="4054" w:type="dxa"/>
          </w:tcPr>
          <w:p w14:paraId="481B9EBD" w14:textId="77777777" w:rsidR="00A870C6" w:rsidRPr="006D487D" w:rsidRDefault="00B00100" w:rsidP="00F463C2">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 xml:space="preserve">Recruit an independent external auditor </w:t>
            </w:r>
          </w:p>
        </w:tc>
        <w:tc>
          <w:tcPr>
            <w:tcW w:w="2087" w:type="dxa"/>
          </w:tcPr>
          <w:p w14:paraId="66A58203" w14:textId="77777777" w:rsidR="00A870C6" w:rsidRPr="006D487D" w:rsidRDefault="00B00100" w:rsidP="00FC1A97">
            <w:pPr>
              <w:keepNext/>
              <w:keepLines/>
              <w:spacing w:after="120"/>
              <w:rPr>
                <w:rFonts w:asciiTheme="minorHAnsi" w:hAnsiTheme="minorHAnsi" w:cstheme="minorHAnsi"/>
                <w:sz w:val="18"/>
                <w:szCs w:val="18"/>
              </w:rPr>
            </w:pPr>
            <w:r w:rsidRPr="006D487D">
              <w:rPr>
                <w:rFonts w:asciiTheme="minorHAnsi" w:hAnsiTheme="minorHAnsi" w:cstheme="minorHAnsi"/>
                <w:sz w:val="18"/>
                <w:szCs w:val="18"/>
              </w:rPr>
              <w:t>Within three (</w:t>
            </w:r>
            <w:r>
              <w:rPr>
                <w:rFonts w:asciiTheme="minorHAnsi" w:hAnsiTheme="minorHAnsi" w:cstheme="minorHAnsi"/>
                <w:sz w:val="18"/>
                <w:szCs w:val="18"/>
              </w:rPr>
              <w:t>6</w:t>
            </w:r>
            <w:r w:rsidRPr="006D487D">
              <w:rPr>
                <w:rFonts w:asciiTheme="minorHAnsi" w:hAnsiTheme="minorHAnsi" w:cstheme="minorHAnsi"/>
                <w:sz w:val="18"/>
                <w:szCs w:val="18"/>
              </w:rPr>
              <w:t>) months following effectiveness</w:t>
            </w:r>
          </w:p>
        </w:tc>
        <w:tc>
          <w:tcPr>
            <w:tcW w:w="2281" w:type="dxa"/>
          </w:tcPr>
          <w:p w14:paraId="7679A69F" w14:textId="77777777" w:rsidR="00A870C6" w:rsidRPr="006D487D" w:rsidRDefault="00B00100" w:rsidP="00FC1A97">
            <w:pPr>
              <w:pStyle w:val="ListParagraph"/>
              <w:widowControl/>
              <w:numPr>
                <w:ilvl w:val="0"/>
                <w:numId w:val="59"/>
              </w:numPr>
              <w:autoSpaceDE/>
              <w:autoSpaceDN/>
              <w:adjustRightInd/>
              <w:contextualSpacing w:val="0"/>
              <w:rPr>
                <w:rFonts w:asciiTheme="minorHAnsi" w:eastAsiaTheme="minorHAnsi" w:hAnsiTheme="minorHAnsi" w:cstheme="minorHAnsi"/>
                <w:sz w:val="18"/>
                <w:szCs w:val="18"/>
              </w:rPr>
            </w:pPr>
            <w:r w:rsidRPr="006D487D">
              <w:rPr>
                <w:rFonts w:asciiTheme="minorHAnsi" w:eastAsiaTheme="minorHAnsi" w:hAnsiTheme="minorHAnsi" w:cstheme="minorHAnsi"/>
                <w:sz w:val="18"/>
                <w:szCs w:val="18"/>
              </w:rPr>
              <w:t>PCU</w:t>
            </w:r>
            <w:r>
              <w:rPr>
                <w:rFonts w:asciiTheme="minorHAnsi" w:eastAsiaTheme="minorHAnsi" w:hAnsiTheme="minorHAnsi" w:cstheme="minorHAnsi"/>
                <w:sz w:val="18"/>
                <w:szCs w:val="18"/>
              </w:rPr>
              <w:t>-Gambia</w:t>
            </w:r>
          </w:p>
        </w:tc>
      </w:tr>
    </w:tbl>
    <w:p w14:paraId="1BC82B92" w14:textId="77777777" w:rsidR="00D31D60" w:rsidRDefault="00D31D60">
      <w:pPr>
        <w:spacing w:after="240"/>
        <w:contextualSpacing/>
        <w:jc w:val="both"/>
        <w:rPr>
          <w:rFonts w:ascii="Calibri" w:eastAsia="Calibri" w:hAnsi="Calibri" w:cs="Times New Roman"/>
          <w:b/>
          <w:i/>
          <w:color w:val="0070C0"/>
          <w:sz w:val="22"/>
          <w:szCs w:val="22"/>
          <w:lang w:eastAsia="ko-KR"/>
        </w:rPr>
      </w:pPr>
      <w:bookmarkStart w:id="419" w:name="_Hlk1551690"/>
    </w:p>
    <w:p w14:paraId="693C33E3" w14:textId="18B06AFE" w:rsidR="00E0784B" w:rsidRDefault="00E0784B" w:rsidP="004E2E0D">
      <w:pPr>
        <w:spacing w:after="240"/>
        <w:contextualSpacing/>
        <w:jc w:val="both"/>
        <w:rPr>
          <w:rFonts w:ascii="Calibri" w:eastAsia="Calibri" w:hAnsi="Calibri" w:cs="Times New Roman"/>
          <w:b/>
          <w:i/>
          <w:color w:val="0070C0"/>
          <w:sz w:val="22"/>
          <w:szCs w:val="22"/>
          <w:lang w:eastAsia="ko-KR"/>
        </w:rPr>
      </w:pPr>
    </w:p>
    <w:p w14:paraId="4305557C" w14:textId="3EAD4D44" w:rsidR="00912780" w:rsidRDefault="00912780" w:rsidP="004E2E0D">
      <w:pPr>
        <w:spacing w:after="240"/>
        <w:contextualSpacing/>
        <w:jc w:val="both"/>
        <w:rPr>
          <w:rFonts w:ascii="Calibri" w:eastAsia="Calibri" w:hAnsi="Calibri" w:cs="Times New Roman"/>
          <w:b/>
          <w:i/>
          <w:color w:val="0070C0"/>
          <w:sz w:val="22"/>
          <w:szCs w:val="22"/>
          <w:lang w:eastAsia="ko-KR"/>
        </w:rPr>
      </w:pPr>
    </w:p>
    <w:p w14:paraId="1979EDAA" w14:textId="759F62EE" w:rsidR="00912780" w:rsidRDefault="00912780" w:rsidP="004E2E0D">
      <w:pPr>
        <w:spacing w:after="240"/>
        <w:contextualSpacing/>
        <w:jc w:val="both"/>
        <w:rPr>
          <w:rFonts w:ascii="Calibri" w:eastAsia="Calibri" w:hAnsi="Calibri" w:cs="Times New Roman"/>
          <w:b/>
          <w:i/>
          <w:color w:val="0070C0"/>
          <w:sz w:val="22"/>
          <w:szCs w:val="22"/>
          <w:lang w:eastAsia="ko-KR"/>
        </w:rPr>
      </w:pPr>
    </w:p>
    <w:p w14:paraId="7EA32BEF" w14:textId="54D96A2E" w:rsidR="00912780" w:rsidRDefault="00912780" w:rsidP="004E2E0D">
      <w:pPr>
        <w:spacing w:after="240"/>
        <w:contextualSpacing/>
        <w:jc w:val="both"/>
        <w:rPr>
          <w:rFonts w:ascii="Calibri" w:eastAsia="Calibri" w:hAnsi="Calibri" w:cs="Times New Roman"/>
          <w:b/>
          <w:i/>
          <w:color w:val="0070C0"/>
          <w:sz w:val="22"/>
          <w:szCs w:val="22"/>
          <w:lang w:eastAsia="ko-KR"/>
        </w:rPr>
      </w:pPr>
    </w:p>
    <w:p w14:paraId="33CB5861" w14:textId="77777777" w:rsidR="00912780" w:rsidRDefault="00912780" w:rsidP="004E2E0D">
      <w:pPr>
        <w:spacing w:after="240"/>
        <w:contextualSpacing/>
        <w:jc w:val="both"/>
        <w:rPr>
          <w:rFonts w:ascii="Calibri" w:eastAsia="Calibri" w:hAnsi="Calibri" w:cs="Times New Roman"/>
          <w:b/>
          <w:i/>
          <w:color w:val="0070C0"/>
          <w:sz w:val="22"/>
          <w:szCs w:val="22"/>
          <w:lang w:eastAsia="ko-KR"/>
        </w:rPr>
      </w:pPr>
    </w:p>
    <w:p w14:paraId="459F7FFA" w14:textId="77777777" w:rsidR="003E66A9" w:rsidRDefault="00B00100" w:rsidP="00105CB2">
      <w:pPr>
        <w:spacing w:after="240"/>
        <w:contextualSpacing/>
        <w:jc w:val="both"/>
        <w:rPr>
          <w:rFonts w:ascii="Calibri" w:eastAsia="Calibri" w:hAnsi="Calibri" w:cs="Times New Roman"/>
          <w:b/>
          <w:i/>
          <w:color w:val="0070C0"/>
          <w:sz w:val="22"/>
          <w:szCs w:val="22"/>
          <w:lang w:eastAsia="ko-KR"/>
        </w:rPr>
      </w:pPr>
      <w:r w:rsidRPr="002E1A3F">
        <w:rPr>
          <w:rFonts w:ascii="Calibri" w:eastAsia="Calibri" w:hAnsi="Calibri" w:cs="Times New Roman"/>
          <w:b/>
          <w:i/>
          <w:color w:val="0070C0"/>
          <w:sz w:val="22"/>
          <w:szCs w:val="22"/>
          <w:lang w:eastAsia="ko-KR"/>
        </w:rPr>
        <w:lastRenderedPageBreak/>
        <w:t xml:space="preserve">Financial Management DLIs </w:t>
      </w:r>
    </w:p>
    <w:p w14:paraId="12FD84F9" w14:textId="77777777" w:rsidR="000A12E3" w:rsidRPr="002E1A3F" w:rsidRDefault="000A12E3" w:rsidP="006C70A5">
      <w:pPr>
        <w:spacing w:after="240"/>
        <w:ind w:left="360"/>
        <w:contextualSpacing/>
        <w:jc w:val="both"/>
        <w:rPr>
          <w:rFonts w:ascii="Calibri" w:eastAsia="Calibri" w:hAnsi="Calibri" w:cs="Times New Roman"/>
          <w:b/>
          <w:i/>
          <w:color w:val="0070C0"/>
          <w:sz w:val="22"/>
          <w:szCs w:val="22"/>
          <w:lang w:eastAsia="ko-KR"/>
        </w:rPr>
      </w:pPr>
    </w:p>
    <w:p w14:paraId="22E2EE32" w14:textId="77777777" w:rsidR="003E66A9" w:rsidRPr="002E1A3F" w:rsidRDefault="00B00100" w:rsidP="006C70A5">
      <w:pPr>
        <w:widowControl/>
        <w:numPr>
          <w:ilvl w:val="0"/>
          <w:numId w:val="30"/>
        </w:numPr>
        <w:autoSpaceDE/>
        <w:autoSpaceDN/>
        <w:adjustRightInd/>
        <w:spacing w:after="240"/>
        <w:ind w:right="720" w:firstLine="0"/>
        <w:jc w:val="both"/>
        <w:rPr>
          <w:rFonts w:ascii="Calibri" w:eastAsia="Times New Roman" w:hAnsi="Calibri"/>
          <w:color w:val="auto"/>
          <w:sz w:val="22"/>
          <w:szCs w:val="22"/>
        </w:rPr>
      </w:pPr>
      <w:bookmarkStart w:id="420" w:name="_Hlk1551616"/>
      <w:bookmarkEnd w:id="419"/>
      <w:r w:rsidRPr="002E1A3F">
        <w:rPr>
          <w:rFonts w:ascii="Calibri" w:eastAsia="Times New Roman" w:hAnsi="Calibri"/>
          <w:color w:val="auto"/>
          <w:sz w:val="22"/>
          <w:szCs w:val="22"/>
        </w:rPr>
        <w:t>The DLRs below relate to Component 1 and Sub-component 2.1 and are incentives to strengthen FM. The DLRs are further elaborated in Section VI</w:t>
      </w:r>
      <w:r w:rsidR="00E00B72">
        <w:rPr>
          <w:rFonts w:ascii="Calibri" w:eastAsia="Times New Roman" w:hAnsi="Calibri"/>
          <w:color w:val="auto"/>
          <w:sz w:val="22"/>
          <w:szCs w:val="22"/>
        </w:rPr>
        <w:t xml:space="preserve"> in the main text</w:t>
      </w:r>
      <w:r w:rsidRPr="002E1A3F">
        <w:rPr>
          <w:rFonts w:ascii="Calibri" w:eastAsia="Times New Roman" w:hAnsi="Calibri"/>
          <w:color w:val="auto"/>
          <w:sz w:val="22"/>
          <w:szCs w:val="22"/>
        </w:rPr>
        <w:t>. They are:</w:t>
      </w:r>
    </w:p>
    <w:p w14:paraId="76D8AE4E" w14:textId="77777777" w:rsidR="003E66A9" w:rsidRPr="002E1A3F" w:rsidRDefault="00B00100" w:rsidP="008E2709">
      <w:pPr>
        <w:widowControl/>
        <w:numPr>
          <w:ilvl w:val="1"/>
          <w:numId w:val="26"/>
        </w:numPr>
        <w:autoSpaceDE/>
        <w:autoSpaceDN/>
        <w:adjustRightInd/>
        <w:spacing w:after="120"/>
        <w:ind w:left="1080" w:right="720"/>
        <w:rPr>
          <w:rFonts w:ascii="Calibri" w:eastAsia="Times New Roman" w:hAnsi="Calibri"/>
          <w:color w:val="auto"/>
          <w:sz w:val="22"/>
          <w:szCs w:val="22"/>
        </w:rPr>
      </w:pPr>
      <w:r w:rsidRPr="002E1A3F">
        <w:rPr>
          <w:rFonts w:ascii="Calibri" w:eastAsia="Calibri" w:hAnsi="Calibri" w:cs="Calibri"/>
          <w:b/>
          <w:color w:val="auto"/>
          <w:sz w:val="22"/>
          <w:szCs w:val="22"/>
        </w:rPr>
        <w:t xml:space="preserve">DLR#6.1 </w:t>
      </w:r>
      <w:r w:rsidRPr="002E1A3F">
        <w:rPr>
          <w:rFonts w:ascii="Calibri" w:eastAsia="Times New Roman" w:hAnsi="Calibri" w:cs="Calibri"/>
          <w:color w:val="auto"/>
          <w:sz w:val="22"/>
          <w:szCs w:val="22"/>
        </w:rPr>
        <w:t>Timely fiduciary reporting including timely submissions of IFRs and of financial and procurement audit reports for the period for the center</w:t>
      </w:r>
      <w:r w:rsidRPr="002E1A3F">
        <w:rPr>
          <w:rFonts w:ascii="Calibri" w:eastAsia="Calibri" w:hAnsi="Calibri" w:cs="Calibri"/>
          <w:color w:val="auto"/>
          <w:sz w:val="22"/>
          <w:szCs w:val="22"/>
        </w:rPr>
        <w:t xml:space="preserve">; </w:t>
      </w:r>
    </w:p>
    <w:p w14:paraId="71A3E4BD" w14:textId="77777777" w:rsidR="003E66A9" w:rsidRPr="002E1A3F" w:rsidRDefault="00B00100" w:rsidP="008E2709">
      <w:pPr>
        <w:widowControl/>
        <w:numPr>
          <w:ilvl w:val="1"/>
          <w:numId w:val="26"/>
        </w:numPr>
        <w:tabs>
          <w:tab w:val="left" w:pos="2868"/>
        </w:tabs>
        <w:autoSpaceDE/>
        <w:autoSpaceDN/>
        <w:adjustRightInd/>
        <w:spacing w:after="120"/>
        <w:ind w:left="1080" w:right="720"/>
        <w:jc w:val="both"/>
        <w:rPr>
          <w:rFonts w:ascii="Calibri" w:eastAsia="Calibri" w:hAnsi="Calibri" w:cs="Calibri"/>
          <w:color w:val="auto"/>
          <w:sz w:val="22"/>
          <w:szCs w:val="22"/>
        </w:rPr>
      </w:pPr>
      <w:r w:rsidRPr="002E1A3F">
        <w:rPr>
          <w:rFonts w:ascii="Calibri" w:eastAsia="Calibri" w:hAnsi="Calibri" w:cs="Calibri"/>
          <w:b/>
          <w:i/>
          <w:color w:val="auto"/>
          <w:sz w:val="22"/>
          <w:szCs w:val="22"/>
        </w:rPr>
        <w:t>DLR#6.2</w:t>
      </w:r>
      <w:r w:rsidRPr="002E1A3F">
        <w:rPr>
          <w:rFonts w:ascii="Calibri" w:eastAsia="Calibri" w:hAnsi="Calibri" w:cs="Calibri"/>
          <w:color w:val="auto"/>
          <w:sz w:val="22"/>
          <w:szCs w:val="22"/>
        </w:rPr>
        <w:t xml:space="preserve">. </w:t>
      </w:r>
      <w:r w:rsidRPr="002E1A3F">
        <w:rPr>
          <w:rFonts w:ascii="Calibri" w:eastAsia="Times New Roman" w:hAnsi="Calibri" w:cs="Calibri"/>
          <w:color w:val="auto"/>
          <w:sz w:val="22"/>
          <w:szCs w:val="22"/>
        </w:rPr>
        <w:t>Functioning internal audit unit and functioning audit committee (under the university’s council) that would support the center;</w:t>
      </w:r>
    </w:p>
    <w:p w14:paraId="378B10FC" w14:textId="77777777" w:rsidR="003E66A9" w:rsidRPr="002E1A3F" w:rsidRDefault="00B00100" w:rsidP="008E2709">
      <w:pPr>
        <w:widowControl/>
        <w:numPr>
          <w:ilvl w:val="1"/>
          <w:numId w:val="26"/>
        </w:numPr>
        <w:autoSpaceDE/>
        <w:autoSpaceDN/>
        <w:adjustRightInd/>
        <w:spacing w:after="120"/>
        <w:ind w:left="1080" w:right="720"/>
        <w:rPr>
          <w:rFonts w:ascii="Calibri" w:eastAsia="Times New Roman" w:hAnsi="Calibri" w:cs="Calibri"/>
          <w:color w:val="auto"/>
          <w:sz w:val="22"/>
          <w:szCs w:val="22"/>
        </w:rPr>
      </w:pPr>
      <w:r w:rsidRPr="002E1A3F">
        <w:rPr>
          <w:rFonts w:ascii="Calibri" w:eastAsia="Calibri" w:hAnsi="Calibri" w:cs="Calibri"/>
          <w:b/>
          <w:color w:val="auto"/>
          <w:sz w:val="22"/>
          <w:szCs w:val="22"/>
        </w:rPr>
        <w:t xml:space="preserve">DLR#6.3 </w:t>
      </w:r>
      <w:r w:rsidRPr="002E1A3F">
        <w:rPr>
          <w:rFonts w:ascii="Calibri" w:eastAsia="Times New Roman" w:hAnsi="Calibri"/>
          <w:noProof/>
          <w:sz w:val="22"/>
          <w:szCs w:val="22"/>
        </w:rPr>
        <w:t>Transparency of ACE expenses</w:t>
      </w:r>
      <w:r w:rsidR="009A45AF">
        <w:rPr>
          <w:rFonts w:ascii="Calibri" w:eastAsia="Times New Roman" w:hAnsi="Calibri"/>
          <w:noProof/>
          <w:sz w:val="22"/>
          <w:szCs w:val="22"/>
        </w:rPr>
        <w:t>; and</w:t>
      </w:r>
    </w:p>
    <w:p w14:paraId="6D1763CB" w14:textId="77777777" w:rsidR="003E66A9" w:rsidRPr="002E1A3F" w:rsidRDefault="00B00100" w:rsidP="008E2709">
      <w:pPr>
        <w:widowControl/>
        <w:numPr>
          <w:ilvl w:val="1"/>
          <w:numId w:val="26"/>
        </w:numPr>
        <w:autoSpaceDE/>
        <w:autoSpaceDN/>
        <w:adjustRightInd/>
        <w:spacing w:after="120"/>
        <w:ind w:left="1080" w:right="720"/>
        <w:rPr>
          <w:rFonts w:ascii="Calibri" w:eastAsia="Calibri" w:hAnsi="Calibri" w:cs="Calibri"/>
          <w:color w:val="auto"/>
          <w:sz w:val="22"/>
          <w:szCs w:val="22"/>
        </w:rPr>
      </w:pPr>
      <w:r w:rsidRPr="002E1A3F">
        <w:rPr>
          <w:rFonts w:ascii="Calibri" w:eastAsia="Calibri" w:hAnsi="Calibri" w:cs="Calibri"/>
          <w:b/>
          <w:color w:val="auto"/>
          <w:sz w:val="22"/>
          <w:szCs w:val="22"/>
        </w:rPr>
        <w:t>DLR#6.4</w:t>
      </w:r>
      <w:r w:rsidRPr="002E1A3F">
        <w:rPr>
          <w:rFonts w:ascii="Calibri" w:eastAsia="Calibri" w:hAnsi="Calibri" w:cs="Calibri"/>
          <w:color w:val="auto"/>
          <w:sz w:val="22"/>
          <w:szCs w:val="22"/>
        </w:rPr>
        <w:t xml:space="preserve">. Quality of Procurement planning. Share of the original approved procurement plan that was executed. </w:t>
      </w:r>
    </w:p>
    <w:p w14:paraId="355C5131" w14:textId="77777777" w:rsidR="003E66A9" w:rsidRDefault="00B00100">
      <w:pPr>
        <w:spacing w:after="240"/>
        <w:contextualSpacing/>
        <w:jc w:val="both"/>
        <w:rPr>
          <w:rFonts w:ascii="Calibri" w:eastAsia="Calibri" w:hAnsi="Calibri" w:cs="Times New Roman"/>
          <w:b/>
          <w:i/>
          <w:color w:val="0070C0"/>
          <w:sz w:val="22"/>
          <w:szCs w:val="22"/>
          <w:lang w:eastAsia="ko-KR"/>
        </w:rPr>
      </w:pPr>
      <w:r w:rsidRPr="002E1A3F">
        <w:rPr>
          <w:rFonts w:ascii="Calibri" w:eastAsia="Calibri" w:hAnsi="Calibri" w:cs="Times New Roman"/>
          <w:b/>
          <w:i/>
          <w:color w:val="0070C0"/>
          <w:sz w:val="22"/>
          <w:szCs w:val="22"/>
          <w:lang w:eastAsia="ko-KR"/>
        </w:rPr>
        <w:t>Financial Covenants</w:t>
      </w:r>
    </w:p>
    <w:p w14:paraId="31A394C0" w14:textId="77777777" w:rsidR="000A12E3" w:rsidRPr="002E1A3F" w:rsidRDefault="000A12E3" w:rsidP="00F463C2">
      <w:pPr>
        <w:spacing w:after="240"/>
        <w:contextualSpacing/>
        <w:jc w:val="both"/>
        <w:rPr>
          <w:rFonts w:ascii="Calibri" w:eastAsia="Calibri" w:hAnsi="Calibri" w:cs="Times New Roman"/>
          <w:b/>
          <w:color w:val="auto"/>
          <w:sz w:val="22"/>
          <w:szCs w:val="22"/>
        </w:rPr>
      </w:pPr>
    </w:p>
    <w:p w14:paraId="6B8E5C52" w14:textId="77777777" w:rsidR="003E66A9" w:rsidRPr="002E1A3F" w:rsidRDefault="00B00100" w:rsidP="008E2709">
      <w:pPr>
        <w:widowControl/>
        <w:numPr>
          <w:ilvl w:val="0"/>
          <w:numId w:val="30"/>
        </w:numPr>
        <w:autoSpaceDE/>
        <w:autoSpaceDN/>
        <w:adjustRightInd/>
        <w:spacing w:after="240"/>
        <w:ind w:left="0" w:right="720" w:firstLine="0"/>
        <w:jc w:val="both"/>
        <w:rPr>
          <w:rFonts w:ascii="Calibri" w:eastAsia="Calibri" w:hAnsi="Calibri" w:cs="Calibri"/>
          <w:color w:val="222222"/>
          <w:sz w:val="22"/>
          <w:szCs w:val="22"/>
        </w:rPr>
      </w:pPr>
      <w:r w:rsidRPr="002E1A3F">
        <w:rPr>
          <w:rFonts w:ascii="Calibri" w:eastAsia="Calibri" w:hAnsi="Calibri" w:cs="Calibri"/>
          <w:b/>
          <w:color w:val="auto"/>
          <w:sz w:val="22"/>
          <w:szCs w:val="22"/>
        </w:rPr>
        <w:t xml:space="preserve">For all participating countries and entities, </w:t>
      </w:r>
      <w:r w:rsidRPr="002E1A3F">
        <w:rPr>
          <w:rFonts w:ascii="Calibri" w:eastAsia="Batang" w:hAnsi="Calibri" w:cs="Calibri"/>
          <w:b/>
          <w:color w:val="auto"/>
          <w:sz w:val="22"/>
          <w:szCs w:val="22"/>
          <w:lang w:eastAsia="ko-KR"/>
        </w:rPr>
        <w:t xml:space="preserve">financial </w:t>
      </w:r>
      <w:r w:rsidRPr="002E1A3F">
        <w:rPr>
          <w:rFonts w:ascii="Calibri" w:eastAsia="Calibri" w:hAnsi="Calibri" w:cs="Calibri"/>
          <w:b/>
          <w:color w:val="auto"/>
          <w:sz w:val="22"/>
          <w:szCs w:val="22"/>
        </w:rPr>
        <w:t xml:space="preserve">covenants related to </w:t>
      </w:r>
      <w:r w:rsidRPr="002E1A3F">
        <w:rPr>
          <w:rFonts w:ascii="Calibri" w:eastAsia="Batang" w:hAnsi="Calibri" w:cs="Calibri"/>
          <w:b/>
          <w:color w:val="auto"/>
          <w:sz w:val="22"/>
          <w:szCs w:val="22"/>
          <w:lang w:eastAsia="ko-KR"/>
        </w:rPr>
        <w:t xml:space="preserve">standard FM requirements </w:t>
      </w:r>
      <w:r w:rsidR="00051FBE">
        <w:rPr>
          <w:rFonts w:ascii="Calibri" w:eastAsia="Batang" w:hAnsi="Calibri" w:cs="Calibri"/>
          <w:b/>
          <w:color w:val="auto"/>
          <w:sz w:val="22"/>
          <w:szCs w:val="22"/>
          <w:lang w:eastAsia="ko-KR"/>
        </w:rPr>
        <w:t>is</w:t>
      </w:r>
      <w:r w:rsidRPr="002E1A3F">
        <w:rPr>
          <w:rFonts w:ascii="Calibri" w:eastAsia="Batang" w:hAnsi="Calibri" w:cs="Calibri"/>
          <w:b/>
          <w:color w:val="auto"/>
          <w:sz w:val="22"/>
          <w:szCs w:val="22"/>
          <w:lang w:eastAsia="ko-KR"/>
        </w:rPr>
        <w:t xml:space="preserve"> covered under Section 5.09 of the IDA General Conditions and specific FM aspects are included in the DFIL.</w:t>
      </w:r>
      <w:r w:rsidRPr="002E1A3F">
        <w:rPr>
          <w:rFonts w:ascii="Calibri" w:eastAsia="Batang" w:hAnsi="Calibri" w:cs="Calibri"/>
          <w:color w:val="auto"/>
          <w:sz w:val="22"/>
          <w:szCs w:val="22"/>
          <w:lang w:eastAsia="ko-KR"/>
        </w:rPr>
        <w:t xml:space="preserve"> Further, additional covenants </w:t>
      </w:r>
      <w:r w:rsidR="005332DC">
        <w:rPr>
          <w:rFonts w:ascii="Calibri" w:eastAsia="Batang" w:hAnsi="Calibri" w:cs="Calibri"/>
          <w:color w:val="auto"/>
          <w:sz w:val="22"/>
          <w:szCs w:val="22"/>
          <w:lang w:eastAsia="ko-KR"/>
        </w:rPr>
        <w:t>have been</w:t>
      </w:r>
      <w:r w:rsidRPr="002E1A3F">
        <w:rPr>
          <w:rFonts w:ascii="Calibri" w:eastAsia="Batang" w:hAnsi="Calibri" w:cs="Calibri"/>
          <w:color w:val="auto"/>
          <w:sz w:val="22"/>
          <w:szCs w:val="22"/>
          <w:lang w:eastAsia="ko-KR"/>
        </w:rPr>
        <w:t xml:space="preserve"> added to the FAs to reflect actions outlined in the FM action plan.</w:t>
      </w:r>
    </w:p>
    <w:p w14:paraId="4F789612" w14:textId="3710EBAA" w:rsidR="003E66A9" w:rsidRDefault="00B00100" w:rsidP="00FC1A97">
      <w:pPr>
        <w:widowControl/>
        <w:autoSpaceDE/>
        <w:autoSpaceDN/>
        <w:adjustRightInd/>
        <w:ind w:right="720"/>
        <w:jc w:val="both"/>
        <w:rPr>
          <w:rFonts w:asciiTheme="minorHAnsi" w:hAnsiTheme="minorHAnsi" w:cstheme="minorHAnsi"/>
          <w:sz w:val="22"/>
          <w:szCs w:val="22"/>
        </w:rPr>
      </w:pPr>
      <w:r w:rsidRPr="001C4129">
        <w:rPr>
          <w:rFonts w:asciiTheme="minorHAnsi" w:hAnsiTheme="minorHAnsi" w:cstheme="minorHAnsi"/>
          <w:b/>
          <w:sz w:val="22"/>
          <w:szCs w:val="22"/>
        </w:rPr>
        <w:t xml:space="preserve">Conclusion </w:t>
      </w:r>
      <w:r w:rsidRPr="001C4129">
        <w:rPr>
          <w:rFonts w:asciiTheme="minorHAnsi" w:hAnsiTheme="minorHAnsi" w:cstheme="minorHAnsi"/>
          <w:b/>
          <w:bCs/>
          <w:sz w:val="22"/>
          <w:szCs w:val="22"/>
        </w:rPr>
        <w:t>of</w:t>
      </w:r>
      <w:r w:rsidRPr="001C4129">
        <w:rPr>
          <w:rFonts w:asciiTheme="minorHAnsi" w:hAnsiTheme="minorHAnsi" w:cstheme="minorHAnsi"/>
          <w:b/>
          <w:sz w:val="22"/>
          <w:szCs w:val="22"/>
        </w:rPr>
        <w:t xml:space="preserve"> the Assessment</w:t>
      </w:r>
    </w:p>
    <w:p w14:paraId="60221A1D" w14:textId="77777777" w:rsidR="000A12E3" w:rsidRDefault="000A12E3" w:rsidP="003247A0">
      <w:pPr>
        <w:widowControl/>
        <w:autoSpaceDE/>
        <w:autoSpaceDN/>
        <w:adjustRightInd/>
        <w:ind w:right="720"/>
        <w:jc w:val="both"/>
        <w:rPr>
          <w:rFonts w:asciiTheme="minorHAnsi" w:hAnsiTheme="minorHAnsi" w:cstheme="minorHAnsi"/>
          <w:sz w:val="22"/>
          <w:szCs w:val="22"/>
        </w:rPr>
      </w:pPr>
    </w:p>
    <w:p w14:paraId="1750A1C1" w14:textId="77777777" w:rsidR="003E66A9" w:rsidRPr="007A6F32" w:rsidRDefault="00B00100" w:rsidP="008E2709">
      <w:pPr>
        <w:widowControl/>
        <w:numPr>
          <w:ilvl w:val="0"/>
          <w:numId w:val="30"/>
        </w:numPr>
        <w:autoSpaceDE/>
        <w:autoSpaceDN/>
        <w:adjustRightInd/>
        <w:spacing w:after="240"/>
        <w:ind w:left="0" w:right="720" w:firstLine="0"/>
        <w:jc w:val="both"/>
        <w:rPr>
          <w:rFonts w:ascii="Calibri" w:eastAsia="Calibri" w:hAnsi="Calibri" w:cs="Calibri"/>
          <w:i/>
          <w:color w:val="auto"/>
          <w:sz w:val="22"/>
          <w:szCs w:val="22"/>
        </w:rPr>
      </w:pPr>
      <w:r w:rsidRPr="007A6F32">
        <w:rPr>
          <w:rFonts w:ascii="Calibri" w:eastAsia="Calibri" w:hAnsi="Calibri" w:cs="Calibri"/>
          <w:color w:val="auto"/>
          <w:sz w:val="22"/>
          <w:szCs w:val="22"/>
        </w:rPr>
        <w:t xml:space="preserve">A description of the project’s </w:t>
      </w:r>
      <w:r w:rsidR="009A45AF">
        <w:rPr>
          <w:rFonts w:ascii="Calibri" w:eastAsia="Calibri" w:hAnsi="Calibri" w:cs="Calibri"/>
          <w:color w:val="auto"/>
          <w:sz w:val="22"/>
          <w:szCs w:val="22"/>
        </w:rPr>
        <w:t>FM</w:t>
      </w:r>
      <w:r w:rsidRPr="007A6F32">
        <w:rPr>
          <w:rFonts w:ascii="Calibri" w:eastAsia="Calibri" w:hAnsi="Calibri" w:cs="Calibri"/>
          <w:color w:val="auto"/>
          <w:sz w:val="22"/>
          <w:szCs w:val="22"/>
        </w:rPr>
        <w:t xml:space="preserve"> arrangements as documented in the preceding paragraphs indicates that they satisfy the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Bank’s minimum requirements as per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 Policy. Overall the </w:t>
      </w:r>
      <w:r w:rsidR="009A45AF">
        <w:rPr>
          <w:rFonts w:ascii="Calibri" w:eastAsia="Calibri" w:hAnsi="Calibri" w:cs="Calibri"/>
          <w:color w:val="auto"/>
          <w:sz w:val="22"/>
          <w:szCs w:val="22"/>
        </w:rPr>
        <w:t>FM</w:t>
      </w:r>
      <w:r w:rsidRPr="007A6F32">
        <w:rPr>
          <w:rFonts w:ascii="Calibri" w:eastAsia="Calibri" w:hAnsi="Calibri" w:cs="Calibri"/>
          <w:color w:val="auto"/>
          <w:sz w:val="22"/>
          <w:szCs w:val="22"/>
        </w:rPr>
        <w:t xml:space="preserve"> residual risk is assessed and rated as Substantial. The substantial risk rating is because of inherent risk</w:t>
      </w:r>
      <w:r w:rsidR="000E08DA">
        <w:rPr>
          <w:rFonts w:ascii="Calibri" w:eastAsia="Calibri" w:hAnsi="Calibri" w:cs="Calibri"/>
          <w:color w:val="auto"/>
          <w:sz w:val="22"/>
          <w:szCs w:val="22"/>
        </w:rPr>
        <w:t>s</w:t>
      </w:r>
      <w:r w:rsidRPr="007A6F32">
        <w:rPr>
          <w:rFonts w:ascii="Calibri" w:eastAsia="Calibri" w:hAnsi="Calibri" w:cs="Calibri"/>
          <w:color w:val="auto"/>
          <w:sz w:val="22"/>
          <w:szCs w:val="22"/>
        </w:rPr>
        <w:t xml:space="preserve"> associated with the </w:t>
      </w:r>
      <w:r w:rsidRPr="000E08DA">
        <w:rPr>
          <w:rFonts w:ascii="Calibri" w:eastAsia="Calibri" w:hAnsi="Calibri" w:cs="Calibri"/>
          <w:color w:val="auto"/>
          <w:sz w:val="22"/>
          <w:szCs w:val="22"/>
        </w:rPr>
        <w:t xml:space="preserve">design, including </w:t>
      </w:r>
      <w:r w:rsidRPr="000C46A6">
        <w:rPr>
          <w:rFonts w:ascii="Calibri" w:eastAsia="Calibri" w:hAnsi="Calibri" w:cs="Calibri"/>
          <w:color w:val="auto"/>
          <w:sz w:val="22"/>
          <w:szCs w:val="22"/>
        </w:rPr>
        <w:t>(i) the first project using the RBF for some of the implementing entities</w:t>
      </w:r>
      <w:r w:rsidR="000E08DA">
        <w:rPr>
          <w:rFonts w:ascii="Calibri" w:eastAsia="Calibri" w:hAnsi="Calibri" w:cs="Calibri"/>
          <w:color w:val="auto"/>
          <w:sz w:val="22"/>
          <w:szCs w:val="22"/>
        </w:rPr>
        <w:t>;</w:t>
      </w:r>
      <w:r w:rsidRPr="000C46A6">
        <w:rPr>
          <w:rFonts w:ascii="Calibri" w:eastAsia="Calibri" w:hAnsi="Calibri" w:cs="Calibri"/>
          <w:color w:val="auto"/>
          <w:sz w:val="22"/>
          <w:szCs w:val="22"/>
        </w:rPr>
        <w:t xml:space="preserve"> </w:t>
      </w:r>
      <w:r w:rsidR="000E08DA">
        <w:rPr>
          <w:rFonts w:ascii="Calibri" w:eastAsia="Calibri" w:hAnsi="Calibri" w:cs="Calibri"/>
          <w:color w:val="auto"/>
          <w:sz w:val="22"/>
          <w:szCs w:val="22"/>
        </w:rPr>
        <w:t xml:space="preserve">(ii) </w:t>
      </w:r>
      <w:r w:rsidRPr="000C46A6">
        <w:rPr>
          <w:rFonts w:ascii="Calibri" w:eastAsia="Calibri" w:hAnsi="Calibri" w:cs="Calibri"/>
          <w:color w:val="auto"/>
          <w:sz w:val="22"/>
          <w:szCs w:val="22"/>
        </w:rPr>
        <w:t>the transfer of small grants to multiple beneficiaries</w:t>
      </w:r>
      <w:r w:rsidR="000E08DA">
        <w:rPr>
          <w:rFonts w:ascii="Calibri" w:eastAsia="Calibri" w:hAnsi="Calibri" w:cs="Calibri"/>
          <w:color w:val="auto"/>
          <w:sz w:val="22"/>
          <w:szCs w:val="22"/>
        </w:rPr>
        <w:t>; (i</w:t>
      </w:r>
      <w:r w:rsidR="00481727">
        <w:rPr>
          <w:rFonts w:ascii="Calibri" w:eastAsia="Calibri" w:hAnsi="Calibri" w:cs="Calibri"/>
          <w:color w:val="auto"/>
          <w:sz w:val="22"/>
          <w:szCs w:val="22"/>
        </w:rPr>
        <w:t>i</w:t>
      </w:r>
      <w:r w:rsidR="000E08DA">
        <w:rPr>
          <w:rFonts w:ascii="Calibri" w:eastAsia="Calibri" w:hAnsi="Calibri" w:cs="Calibri"/>
          <w:color w:val="auto"/>
          <w:sz w:val="22"/>
          <w:szCs w:val="22"/>
        </w:rPr>
        <w:t>i)</w:t>
      </w:r>
      <w:r w:rsidRPr="000C46A6">
        <w:rPr>
          <w:rFonts w:ascii="Calibri" w:eastAsia="Calibri" w:hAnsi="Calibri" w:cs="Calibri"/>
          <w:color w:val="auto"/>
          <w:sz w:val="22"/>
          <w:szCs w:val="22"/>
        </w:rPr>
        <w:t xml:space="preserve"> modalities for competitive grants</w:t>
      </w:r>
      <w:r w:rsidR="000E08DA">
        <w:rPr>
          <w:rFonts w:ascii="Calibri" w:eastAsia="Calibri" w:hAnsi="Calibri" w:cs="Calibri"/>
          <w:color w:val="auto"/>
          <w:sz w:val="22"/>
          <w:szCs w:val="22"/>
        </w:rPr>
        <w:t>; (i</w:t>
      </w:r>
      <w:r w:rsidR="00481727">
        <w:rPr>
          <w:rFonts w:ascii="Calibri" w:eastAsia="Calibri" w:hAnsi="Calibri" w:cs="Calibri"/>
          <w:color w:val="auto"/>
          <w:sz w:val="22"/>
          <w:szCs w:val="22"/>
        </w:rPr>
        <w:t>v</w:t>
      </w:r>
      <w:r w:rsidR="000E08DA">
        <w:rPr>
          <w:rFonts w:ascii="Calibri" w:eastAsia="Calibri" w:hAnsi="Calibri" w:cs="Calibri"/>
          <w:color w:val="auto"/>
          <w:sz w:val="22"/>
          <w:szCs w:val="22"/>
        </w:rPr>
        <w:t>)</w:t>
      </w:r>
      <w:r w:rsidRPr="000C46A6">
        <w:rPr>
          <w:rFonts w:ascii="Calibri" w:eastAsia="Calibri" w:hAnsi="Calibri" w:cs="Calibri"/>
          <w:color w:val="auto"/>
          <w:sz w:val="22"/>
          <w:szCs w:val="22"/>
        </w:rPr>
        <w:t>payments to training providers etc</w:t>
      </w:r>
      <w:r w:rsidR="000E08DA">
        <w:rPr>
          <w:rFonts w:ascii="Calibri" w:eastAsia="Calibri" w:hAnsi="Calibri" w:cs="Calibri"/>
          <w:color w:val="auto"/>
          <w:sz w:val="22"/>
          <w:szCs w:val="22"/>
        </w:rPr>
        <w:t>;</w:t>
      </w:r>
      <w:r w:rsidRPr="000C46A6">
        <w:rPr>
          <w:rFonts w:ascii="Calibri" w:eastAsia="Calibri" w:hAnsi="Calibri" w:cs="Calibri"/>
          <w:color w:val="auto"/>
          <w:sz w:val="22"/>
          <w:szCs w:val="22"/>
        </w:rPr>
        <w:t xml:space="preserve"> and </w:t>
      </w:r>
      <w:r w:rsidR="000E08DA">
        <w:rPr>
          <w:rFonts w:ascii="Calibri" w:eastAsia="Calibri" w:hAnsi="Calibri" w:cs="Calibri"/>
          <w:color w:val="auto"/>
          <w:sz w:val="22"/>
          <w:szCs w:val="22"/>
        </w:rPr>
        <w:t xml:space="preserve">(v) </w:t>
      </w:r>
      <w:r w:rsidRPr="000C46A6">
        <w:rPr>
          <w:rFonts w:ascii="Calibri" w:eastAsia="Calibri" w:hAnsi="Calibri" w:cs="Calibri"/>
          <w:color w:val="auto"/>
          <w:sz w:val="22"/>
          <w:szCs w:val="22"/>
        </w:rPr>
        <w:t>possible challenges with multiple sector coordination of fiduciary matters.</w:t>
      </w:r>
    </w:p>
    <w:bookmarkEnd w:id="420"/>
    <w:p w14:paraId="0B5A2D14" w14:textId="77777777" w:rsidR="003E66A9" w:rsidRPr="002E1A3F" w:rsidRDefault="00B00100" w:rsidP="008E2709">
      <w:pPr>
        <w:widowControl/>
        <w:autoSpaceDE/>
        <w:autoSpaceDN/>
        <w:adjustRightInd/>
        <w:spacing w:after="240"/>
        <w:ind w:right="720"/>
        <w:jc w:val="both"/>
        <w:rPr>
          <w:rFonts w:ascii="Batang" w:eastAsia="Batang" w:hAnsi="Batang" w:cs="Batang"/>
          <w:b/>
          <w:color w:val="auto"/>
          <w:sz w:val="22"/>
          <w:szCs w:val="22"/>
          <w:lang w:eastAsia="ko-KR"/>
        </w:rPr>
      </w:pPr>
      <w:r w:rsidRPr="002E1A3F">
        <w:rPr>
          <w:rFonts w:ascii="Calibri" w:eastAsia="Calibri" w:hAnsi="Calibri" w:cs="Times New Roman"/>
          <w:b/>
          <w:i/>
          <w:color w:val="0070C0"/>
          <w:sz w:val="22"/>
          <w:szCs w:val="22"/>
          <w:lang w:eastAsia="ko-KR"/>
        </w:rPr>
        <w:t>FM Implementation Support Plan</w:t>
      </w:r>
    </w:p>
    <w:p w14:paraId="1D800214" w14:textId="77777777" w:rsidR="003E66A9" w:rsidRPr="002E1A3F" w:rsidRDefault="00B00100" w:rsidP="009D0F8E">
      <w:pPr>
        <w:widowControl/>
        <w:numPr>
          <w:ilvl w:val="0"/>
          <w:numId w:val="30"/>
        </w:numPr>
        <w:autoSpaceDE/>
        <w:autoSpaceDN/>
        <w:adjustRightInd/>
        <w:spacing w:after="240"/>
        <w:ind w:left="0" w:right="720" w:firstLine="0"/>
        <w:jc w:val="both"/>
        <w:rPr>
          <w:rFonts w:ascii="Calibri" w:eastAsia="Calibri" w:hAnsi="Calibri" w:cs="Calibri"/>
          <w:color w:val="222222"/>
          <w:sz w:val="22"/>
          <w:szCs w:val="22"/>
        </w:rPr>
      </w:pPr>
      <w:r w:rsidRPr="002E1A3F">
        <w:rPr>
          <w:rFonts w:ascii="Calibri" w:eastAsia="Calibri" w:hAnsi="Calibri" w:cs="Calibri"/>
          <w:b/>
          <w:color w:val="auto"/>
          <w:sz w:val="22"/>
          <w:szCs w:val="22"/>
        </w:rPr>
        <w:t>For all participating countries and entities, FM implementation support will be provided over the project’s lifetime.</w:t>
      </w:r>
      <w:r w:rsidRPr="002E1A3F">
        <w:rPr>
          <w:rFonts w:ascii="Calibri" w:eastAsia="Calibri" w:hAnsi="Calibri" w:cs="Calibri"/>
          <w:color w:val="auto"/>
          <w:sz w:val="22"/>
          <w:szCs w:val="22"/>
        </w:rPr>
        <w:t xml:space="preserve"> The project will be supervised on a risk-based approach. Based on the outcome of the FM risk assessment, the following implementation support plan is proposed. The objective of the implementation support plan is to ensure the project maintains a satisfactory FM performance throughout its life.</w:t>
      </w:r>
    </w:p>
    <w:p w14:paraId="52DC7A61" w14:textId="77777777" w:rsidR="003E66A9" w:rsidRPr="002E1A3F" w:rsidRDefault="00B00100" w:rsidP="003E66A9">
      <w:pPr>
        <w:keepNext/>
        <w:keepLines/>
        <w:spacing w:after="120"/>
        <w:ind w:right="720"/>
        <w:jc w:val="center"/>
        <w:rPr>
          <w:rFonts w:ascii="Calibri" w:eastAsia="Batang" w:hAnsi="Calibri" w:cs="Calibri"/>
          <w:b/>
          <w:i/>
          <w:sz w:val="22"/>
          <w:szCs w:val="22"/>
          <w:lang w:eastAsia="ko-KR"/>
        </w:rPr>
      </w:pPr>
      <w:r w:rsidRPr="002E1A3F">
        <w:rPr>
          <w:rFonts w:ascii="Calibri" w:eastAsia="Batang" w:hAnsi="Calibri" w:cs="Calibri"/>
          <w:b/>
          <w:sz w:val="22"/>
          <w:szCs w:val="22"/>
          <w:lang w:eastAsia="ko-KR"/>
        </w:rPr>
        <w:lastRenderedPageBreak/>
        <w:t xml:space="preserve">Table A2.4. </w:t>
      </w:r>
      <w:r w:rsidRPr="002E1A3F">
        <w:rPr>
          <w:rFonts w:ascii="Calibri" w:eastAsia="Batang" w:hAnsi="Calibri" w:cs="Calibri"/>
          <w:b/>
          <w:i/>
          <w:sz w:val="22"/>
          <w:szCs w:val="22"/>
          <w:lang w:eastAsia="ko-KR"/>
        </w:rPr>
        <w:t xml:space="preserve">FM </w:t>
      </w:r>
      <w:r w:rsidR="0086053A">
        <w:rPr>
          <w:rFonts w:ascii="Calibri" w:eastAsia="Batang" w:hAnsi="Calibri" w:cs="Calibri"/>
          <w:b/>
          <w:i/>
          <w:sz w:val="22"/>
          <w:szCs w:val="22"/>
          <w:lang w:eastAsia="ko-KR"/>
        </w:rPr>
        <w:t>I</w:t>
      </w:r>
      <w:r w:rsidRPr="002E1A3F">
        <w:rPr>
          <w:rFonts w:ascii="Calibri" w:eastAsia="Batang" w:hAnsi="Calibri" w:cs="Calibri"/>
          <w:b/>
          <w:i/>
          <w:sz w:val="22"/>
          <w:szCs w:val="22"/>
          <w:lang w:eastAsia="ko-KR"/>
        </w:rPr>
        <w:t xml:space="preserve">mplementation </w:t>
      </w:r>
      <w:r w:rsidR="0086053A">
        <w:rPr>
          <w:rFonts w:ascii="Calibri" w:eastAsia="Batang" w:hAnsi="Calibri" w:cs="Calibri"/>
          <w:b/>
          <w:i/>
          <w:sz w:val="22"/>
          <w:szCs w:val="22"/>
          <w:lang w:eastAsia="ko-KR"/>
        </w:rPr>
        <w:t>S</w:t>
      </w:r>
      <w:r w:rsidRPr="002E1A3F">
        <w:rPr>
          <w:rFonts w:ascii="Calibri" w:eastAsia="Batang" w:hAnsi="Calibri" w:cs="Calibri"/>
          <w:b/>
          <w:i/>
          <w:sz w:val="22"/>
          <w:szCs w:val="22"/>
          <w:lang w:eastAsia="ko-KR"/>
        </w:rPr>
        <w:t xml:space="preserve">upport </w:t>
      </w:r>
      <w:r w:rsidR="0086053A">
        <w:rPr>
          <w:rFonts w:ascii="Calibri" w:eastAsia="Batang" w:hAnsi="Calibri" w:cs="Calibri"/>
          <w:b/>
          <w:i/>
          <w:sz w:val="22"/>
          <w:szCs w:val="22"/>
          <w:lang w:eastAsia="ko-KR"/>
        </w:rPr>
        <w:t>P</w:t>
      </w:r>
      <w:r w:rsidRPr="002E1A3F">
        <w:rPr>
          <w:rFonts w:ascii="Calibri" w:eastAsia="Batang" w:hAnsi="Calibri" w:cs="Calibri"/>
          <w:b/>
          <w:i/>
          <w:sz w:val="22"/>
          <w:szCs w:val="22"/>
          <w:lang w:eastAsia="ko-KR"/>
        </w:rPr>
        <w:t>lan</w:t>
      </w:r>
    </w:p>
    <w:tbl>
      <w:tblP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27"/>
        <w:gridCol w:w="3294"/>
      </w:tblGrid>
      <w:tr w:rsidR="000C3959" w14:paraId="0A4AD04B" w14:textId="77777777" w:rsidTr="007A6F32">
        <w:trPr>
          <w:cantSplit/>
          <w:trHeight w:val="288"/>
          <w:tblHeader/>
        </w:trPr>
        <w:tc>
          <w:tcPr>
            <w:tcW w:w="3174" w:type="pct"/>
            <w:shd w:val="clear" w:color="auto" w:fill="D0CECE"/>
            <w:vAlign w:val="center"/>
          </w:tcPr>
          <w:p w14:paraId="6F4FAF28" w14:textId="77777777" w:rsidR="003E66A9" w:rsidRPr="002E1A3F" w:rsidRDefault="00B00100" w:rsidP="007A6F32">
            <w:pPr>
              <w:keepNext/>
              <w:keepLines/>
              <w:widowControl/>
              <w:autoSpaceDE/>
              <w:autoSpaceDN/>
              <w:adjustRightInd/>
              <w:spacing w:after="120"/>
              <w:jc w:val="center"/>
              <w:rPr>
                <w:rFonts w:ascii="Calibri" w:eastAsia="Calibri" w:hAnsi="Calibri" w:cs="Calibri"/>
                <w:b/>
                <w:color w:val="auto"/>
                <w:sz w:val="20"/>
                <w:szCs w:val="20"/>
              </w:rPr>
            </w:pPr>
            <w:bookmarkStart w:id="421" w:name="_Hlk1551767"/>
            <w:r w:rsidRPr="002E1A3F">
              <w:rPr>
                <w:rFonts w:ascii="Calibri" w:eastAsia="Calibri" w:hAnsi="Calibri" w:cs="Calibri"/>
                <w:b/>
                <w:color w:val="auto"/>
                <w:sz w:val="20"/>
                <w:szCs w:val="20"/>
              </w:rPr>
              <w:t>FM Activity</w:t>
            </w:r>
          </w:p>
        </w:tc>
        <w:tc>
          <w:tcPr>
            <w:tcW w:w="1826" w:type="pct"/>
            <w:shd w:val="clear" w:color="auto" w:fill="D0CECE"/>
            <w:vAlign w:val="center"/>
          </w:tcPr>
          <w:p w14:paraId="5EFF7C27" w14:textId="77777777" w:rsidR="003E66A9" w:rsidRPr="002E1A3F" w:rsidRDefault="00B00100" w:rsidP="007A6F32">
            <w:pPr>
              <w:keepNext/>
              <w:keepLines/>
              <w:widowControl/>
              <w:autoSpaceDE/>
              <w:autoSpaceDN/>
              <w:adjustRightInd/>
              <w:spacing w:after="120"/>
              <w:jc w:val="center"/>
              <w:rPr>
                <w:rFonts w:ascii="Calibri" w:eastAsia="Calibri" w:hAnsi="Calibri" w:cs="Calibri"/>
                <w:b/>
                <w:color w:val="auto"/>
                <w:sz w:val="20"/>
                <w:szCs w:val="20"/>
              </w:rPr>
            </w:pPr>
            <w:r w:rsidRPr="002E1A3F">
              <w:rPr>
                <w:rFonts w:ascii="Calibri" w:eastAsia="Calibri" w:hAnsi="Calibri" w:cs="Calibri"/>
                <w:b/>
                <w:color w:val="auto"/>
                <w:sz w:val="20"/>
                <w:szCs w:val="20"/>
              </w:rPr>
              <w:t>Frequency</w:t>
            </w:r>
          </w:p>
        </w:tc>
      </w:tr>
      <w:tr w:rsidR="000C3959" w14:paraId="016623C5" w14:textId="77777777" w:rsidTr="007A6F32">
        <w:trPr>
          <w:cantSplit/>
          <w:trHeight w:val="288"/>
        </w:trPr>
        <w:tc>
          <w:tcPr>
            <w:tcW w:w="5000" w:type="pct"/>
            <w:gridSpan w:val="2"/>
            <w:shd w:val="clear" w:color="auto" w:fill="D0CECE"/>
          </w:tcPr>
          <w:p w14:paraId="732584D7" w14:textId="77777777" w:rsidR="003E66A9" w:rsidRPr="002E1A3F" w:rsidRDefault="00B00100" w:rsidP="007A6F32">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2E1A3F">
              <w:rPr>
                <w:rFonts w:ascii="Calibri" w:eastAsia="Times New Roman" w:hAnsi="Calibri" w:cs="Calibri"/>
                <w:b/>
                <w:bCs/>
                <w:color w:val="auto"/>
                <w:sz w:val="20"/>
                <w:szCs w:val="20"/>
                <w:lang w:eastAsia="fr-FR"/>
              </w:rPr>
              <w:t>Desk reviews</w:t>
            </w:r>
          </w:p>
        </w:tc>
      </w:tr>
      <w:tr w:rsidR="000C3959" w14:paraId="0B56788C" w14:textId="77777777" w:rsidTr="007A6F32">
        <w:trPr>
          <w:cantSplit/>
          <w:trHeight w:val="288"/>
        </w:trPr>
        <w:tc>
          <w:tcPr>
            <w:tcW w:w="3174" w:type="pct"/>
            <w:shd w:val="clear" w:color="auto" w:fill="auto"/>
          </w:tcPr>
          <w:p w14:paraId="4676F330"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Pr>
                <w:rFonts w:ascii="Calibri" w:eastAsia="Calibri" w:hAnsi="Calibri" w:cs="Calibri"/>
                <w:color w:val="auto"/>
                <w:sz w:val="20"/>
                <w:szCs w:val="20"/>
              </w:rPr>
              <w:t xml:space="preserve">Review of </w:t>
            </w:r>
            <w:r w:rsidR="004E68F9" w:rsidRPr="002E1A3F">
              <w:rPr>
                <w:rFonts w:ascii="Calibri" w:eastAsia="Calibri" w:hAnsi="Calibri" w:cs="Calibri"/>
                <w:color w:val="auto"/>
                <w:sz w:val="20"/>
                <w:szCs w:val="20"/>
              </w:rPr>
              <w:t>IFR</w:t>
            </w:r>
          </w:p>
        </w:tc>
        <w:tc>
          <w:tcPr>
            <w:tcW w:w="1826" w:type="pct"/>
            <w:shd w:val="clear" w:color="auto" w:fill="auto"/>
          </w:tcPr>
          <w:p w14:paraId="5C5C623C"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 xml:space="preserve">Quarterly for </w:t>
            </w:r>
            <w:r>
              <w:rPr>
                <w:rFonts w:ascii="Calibri" w:eastAsia="Calibri" w:hAnsi="Calibri" w:cs="Calibri"/>
                <w:color w:val="auto"/>
                <w:sz w:val="20"/>
                <w:szCs w:val="20"/>
              </w:rPr>
              <w:t xml:space="preserve">AAU, </w:t>
            </w:r>
            <w:r w:rsidRPr="002E1A3F">
              <w:rPr>
                <w:rFonts w:ascii="Calibri" w:eastAsia="Calibri" w:hAnsi="Calibri" w:cs="Calibri"/>
                <w:color w:val="auto"/>
                <w:sz w:val="20"/>
                <w:szCs w:val="20"/>
              </w:rPr>
              <w:t>NUC</w:t>
            </w:r>
            <w:r>
              <w:rPr>
                <w:rFonts w:ascii="Calibri" w:eastAsia="Calibri" w:hAnsi="Calibri" w:cs="Calibri"/>
                <w:color w:val="auto"/>
                <w:sz w:val="20"/>
                <w:szCs w:val="20"/>
              </w:rPr>
              <w:t xml:space="preserve"> and PCU-Gambia </w:t>
            </w:r>
          </w:p>
          <w:p w14:paraId="5F318F61"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Semiannually for all centers</w:t>
            </w:r>
          </w:p>
        </w:tc>
      </w:tr>
      <w:tr w:rsidR="000C3959" w14:paraId="51B8A743" w14:textId="77777777" w:rsidTr="007A6F32">
        <w:trPr>
          <w:cantSplit/>
          <w:trHeight w:val="288"/>
        </w:trPr>
        <w:tc>
          <w:tcPr>
            <w:tcW w:w="3174" w:type="pct"/>
            <w:shd w:val="clear" w:color="auto" w:fill="auto"/>
          </w:tcPr>
          <w:p w14:paraId="0F5B5373"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Audit report review of the program</w:t>
            </w:r>
          </w:p>
        </w:tc>
        <w:tc>
          <w:tcPr>
            <w:tcW w:w="1826" w:type="pct"/>
            <w:shd w:val="clear" w:color="auto" w:fill="auto"/>
          </w:tcPr>
          <w:p w14:paraId="3D9D2C48"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Annually</w:t>
            </w:r>
          </w:p>
        </w:tc>
      </w:tr>
      <w:tr w:rsidR="000C3959" w14:paraId="3EDEF740" w14:textId="77777777" w:rsidTr="007A6F32">
        <w:trPr>
          <w:cantSplit/>
          <w:trHeight w:val="288"/>
        </w:trPr>
        <w:tc>
          <w:tcPr>
            <w:tcW w:w="3174" w:type="pct"/>
            <w:shd w:val="clear" w:color="auto" w:fill="auto"/>
          </w:tcPr>
          <w:p w14:paraId="33F59EC4"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 xml:space="preserve">Review of other relevant information such as interim internal control systems reports </w:t>
            </w:r>
          </w:p>
        </w:tc>
        <w:tc>
          <w:tcPr>
            <w:tcW w:w="1826" w:type="pct"/>
            <w:shd w:val="clear" w:color="auto" w:fill="auto"/>
          </w:tcPr>
          <w:p w14:paraId="70D88E7B"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Continuous, as they become available</w:t>
            </w:r>
          </w:p>
        </w:tc>
      </w:tr>
      <w:tr w:rsidR="000C3959" w14:paraId="07DB91E1" w14:textId="77777777" w:rsidTr="007A6F32">
        <w:trPr>
          <w:cantSplit/>
          <w:trHeight w:val="288"/>
        </w:trPr>
        <w:tc>
          <w:tcPr>
            <w:tcW w:w="5000" w:type="pct"/>
            <w:gridSpan w:val="2"/>
            <w:shd w:val="clear" w:color="auto" w:fill="auto"/>
          </w:tcPr>
          <w:p w14:paraId="0AC021C1" w14:textId="77777777" w:rsidR="003E66A9" w:rsidRPr="002E1A3F" w:rsidRDefault="00B00100" w:rsidP="007A6F32">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2E1A3F">
              <w:rPr>
                <w:rFonts w:ascii="Calibri" w:eastAsia="Times New Roman" w:hAnsi="Calibri" w:cs="Calibri"/>
                <w:b/>
                <w:bCs/>
                <w:color w:val="auto"/>
                <w:sz w:val="20"/>
                <w:szCs w:val="20"/>
                <w:lang w:eastAsia="fr-FR"/>
              </w:rPr>
              <w:t>On-site visits</w:t>
            </w:r>
          </w:p>
        </w:tc>
      </w:tr>
      <w:tr w:rsidR="000C3959" w14:paraId="39279936" w14:textId="77777777" w:rsidTr="007A6F32">
        <w:trPr>
          <w:cantSplit/>
          <w:trHeight w:val="288"/>
        </w:trPr>
        <w:tc>
          <w:tcPr>
            <w:tcW w:w="3174" w:type="pct"/>
            <w:shd w:val="clear" w:color="auto" w:fill="auto"/>
          </w:tcPr>
          <w:p w14:paraId="0D781106"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Review of overall operation of the FM system (Implementation Support Mission)</w:t>
            </w:r>
          </w:p>
        </w:tc>
        <w:tc>
          <w:tcPr>
            <w:tcW w:w="1826" w:type="pct"/>
            <w:shd w:val="clear" w:color="auto" w:fill="auto"/>
          </w:tcPr>
          <w:p w14:paraId="5231D411"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 xml:space="preserve">Every six months for </w:t>
            </w:r>
            <w:r w:rsidR="000E08DA">
              <w:rPr>
                <w:rFonts w:ascii="Calibri" w:eastAsia="Calibri" w:hAnsi="Calibri" w:cs="Calibri"/>
                <w:color w:val="auto"/>
                <w:sz w:val="20"/>
                <w:szCs w:val="20"/>
              </w:rPr>
              <w:t>high/</w:t>
            </w:r>
            <w:r w:rsidRPr="002E1A3F">
              <w:rPr>
                <w:rFonts w:ascii="Calibri" w:eastAsia="Calibri" w:hAnsi="Calibri" w:cs="Calibri"/>
                <w:color w:val="auto"/>
                <w:sz w:val="20"/>
                <w:szCs w:val="20"/>
              </w:rPr>
              <w:t xml:space="preserve">substantial risk </w:t>
            </w:r>
          </w:p>
          <w:p w14:paraId="5CA1758D"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Annually for moderate/low risk</w:t>
            </w:r>
          </w:p>
        </w:tc>
      </w:tr>
      <w:tr w:rsidR="000C3959" w14:paraId="510506CA" w14:textId="77777777" w:rsidTr="007A6F32">
        <w:trPr>
          <w:cantSplit/>
          <w:trHeight w:val="288"/>
        </w:trPr>
        <w:tc>
          <w:tcPr>
            <w:tcW w:w="3174" w:type="pct"/>
            <w:shd w:val="clear" w:color="auto" w:fill="auto"/>
          </w:tcPr>
          <w:p w14:paraId="3F2D712D"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Monitoring of actions taken on issues highlighted in audit reports, auditors’ Management Letters, internal audits, and other reports</w:t>
            </w:r>
          </w:p>
        </w:tc>
        <w:tc>
          <w:tcPr>
            <w:tcW w:w="1826" w:type="pct"/>
            <w:shd w:val="clear" w:color="auto" w:fill="auto"/>
          </w:tcPr>
          <w:p w14:paraId="4D5BACE7"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As needed</w:t>
            </w:r>
          </w:p>
        </w:tc>
      </w:tr>
      <w:tr w:rsidR="000C3959" w14:paraId="105321E5" w14:textId="77777777" w:rsidTr="007A6F32">
        <w:trPr>
          <w:cantSplit/>
          <w:trHeight w:val="288"/>
        </w:trPr>
        <w:tc>
          <w:tcPr>
            <w:tcW w:w="3174" w:type="pct"/>
            <w:shd w:val="clear" w:color="auto" w:fill="auto"/>
          </w:tcPr>
          <w:p w14:paraId="48E24A4D"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 xml:space="preserve">Transaction reviews </w:t>
            </w:r>
          </w:p>
        </w:tc>
        <w:tc>
          <w:tcPr>
            <w:tcW w:w="1826" w:type="pct"/>
            <w:shd w:val="clear" w:color="auto" w:fill="auto"/>
          </w:tcPr>
          <w:p w14:paraId="2C493A6D"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As needed</w:t>
            </w:r>
          </w:p>
        </w:tc>
      </w:tr>
      <w:tr w:rsidR="000C3959" w14:paraId="474679D8" w14:textId="77777777" w:rsidTr="007A6F32">
        <w:trPr>
          <w:cantSplit/>
          <w:trHeight w:val="288"/>
        </w:trPr>
        <w:tc>
          <w:tcPr>
            <w:tcW w:w="5000" w:type="pct"/>
            <w:gridSpan w:val="2"/>
            <w:shd w:val="clear" w:color="auto" w:fill="auto"/>
          </w:tcPr>
          <w:p w14:paraId="60480DCE" w14:textId="77777777" w:rsidR="003E66A9" w:rsidRPr="002E1A3F" w:rsidRDefault="00B00100" w:rsidP="007A6F32">
            <w:pPr>
              <w:keepNext/>
              <w:keepLines/>
              <w:widowControl/>
              <w:autoSpaceDE/>
              <w:autoSpaceDN/>
              <w:adjustRightInd/>
              <w:spacing w:after="120"/>
              <w:jc w:val="center"/>
              <w:rPr>
                <w:rFonts w:ascii="Calibri" w:eastAsia="Times New Roman" w:hAnsi="Calibri" w:cs="Calibri"/>
                <w:b/>
                <w:bCs/>
                <w:color w:val="auto"/>
                <w:sz w:val="20"/>
                <w:szCs w:val="20"/>
                <w:lang w:eastAsia="fr-FR"/>
              </w:rPr>
            </w:pPr>
            <w:r w:rsidRPr="002E1A3F">
              <w:rPr>
                <w:rFonts w:ascii="Calibri" w:eastAsia="Times New Roman" w:hAnsi="Calibri" w:cs="Calibri"/>
                <w:b/>
                <w:bCs/>
                <w:color w:val="auto"/>
                <w:sz w:val="20"/>
                <w:szCs w:val="20"/>
                <w:lang w:eastAsia="fr-FR"/>
              </w:rPr>
              <w:t>Capacity-building support</w:t>
            </w:r>
          </w:p>
        </w:tc>
      </w:tr>
      <w:tr w:rsidR="000C3959" w14:paraId="7871C23A" w14:textId="77777777" w:rsidTr="007A6F32">
        <w:trPr>
          <w:cantSplit/>
          <w:trHeight w:val="288"/>
        </w:trPr>
        <w:tc>
          <w:tcPr>
            <w:tcW w:w="3174" w:type="pct"/>
            <w:shd w:val="clear" w:color="auto" w:fill="auto"/>
          </w:tcPr>
          <w:p w14:paraId="75BD1D6C"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FM training sessions</w:t>
            </w:r>
          </w:p>
        </w:tc>
        <w:tc>
          <w:tcPr>
            <w:tcW w:w="1826" w:type="pct"/>
            <w:shd w:val="clear" w:color="auto" w:fill="auto"/>
          </w:tcPr>
          <w:p w14:paraId="731E9CC9" w14:textId="77777777" w:rsidR="003E66A9" w:rsidRPr="002E1A3F" w:rsidRDefault="00B00100" w:rsidP="007A6F32">
            <w:pPr>
              <w:keepNext/>
              <w:keepLines/>
              <w:widowControl/>
              <w:autoSpaceDE/>
              <w:autoSpaceDN/>
              <w:adjustRightInd/>
              <w:spacing w:after="120"/>
              <w:rPr>
                <w:rFonts w:ascii="Calibri" w:eastAsia="Calibri" w:hAnsi="Calibri" w:cs="Calibri"/>
                <w:color w:val="auto"/>
                <w:sz w:val="20"/>
                <w:szCs w:val="20"/>
              </w:rPr>
            </w:pPr>
            <w:r w:rsidRPr="002E1A3F">
              <w:rPr>
                <w:rFonts w:ascii="Calibri" w:eastAsia="Calibri" w:hAnsi="Calibri" w:cs="Calibri"/>
                <w:color w:val="auto"/>
                <w:sz w:val="20"/>
                <w:szCs w:val="20"/>
              </w:rPr>
              <w:t>Before project effectiveness and during implementation as needed</w:t>
            </w:r>
          </w:p>
        </w:tc>
      </w:tr>
      <w:bookmarkEnd w:id="421"/>
    </w:tbl>
    <w:p w14:paraId="3F352AF9" w14:textId="77777777" w:rsidR="00C615F0" w:rsidRPr="00C615F0" w:rsidRDefault="00C615F0" w:rsidP="00C615F0">
      <w:pPr>
        <w:spacing w:after="240"/>
        <w:contextualSpacing/>
        <w:jc w:val="both"/>
        <w:rPr>
          <w:rFonts w:ascii="Calibri" w:eastAsia="Calibri" w:hAnsi="Calibri" w:cs="Times New Roman"/>
          <w:b/>
          <w:i/>
          <w:color w:val="0070C0"/>
          <w:sz w:val="22"/>
          <w:szCs w:val="22"/>
          <w:lang w:eastAsia="ko-KR"/>
        </w:rPr>
      </w:pPr>
    </w:p>
    <w:p w14:paraId="75BE6EB1" w14:textId="77777777" w:rsidR="001C31D5" w:rsidRPr="002E1A3F" w:rsidRDefault="001C31D5" w:rsidP="002E1A3F">
      <w:pPr>
        <w:spacing w:after="240"/>
        <w:contextualSpacing/>
        <w:jc w:val="both"/>
        <w:rPr>
          <w:rFonts w:ascii="Calibri" w:eastAsia="Calibri" w:hAnsi="Calibri" w:cs="Times New Roman"/>
          <w:b/>
          <w:i/>
          <w:color w:val="0070C0"/>
          <w:sz w:val="22"/>
          <w:szCs w:val="22"/>
          <w:lang w:eastAsia="ko-KR"/>
        </w:rPr>
      </w:pPr>
    </w:p>
    <w:p w14:paraId="25A96D25" w14:textId="77777777" w:rsidR="002E1A3F" w:rsidRPr="00CB7917" w:rsidRDefault="00B00100" w:rsidP="006C70A5">
      <w:pPr>
        <w:widowControl/>
        <w:numPr>
          <w:ilvl w:val="0"/>
          <w:numId w:val="29"/>
        </w:numPr>
        <w:tabs>
          <w:tab w:val="left" w:pos="450"/>
        </w:tabs>
        <w:autoSpaceDE/>
        <w:autoSpaceDN/>
        <w:adjustRightInd/>
        <w:spacing w:after="160"/>
        <w:ind w:firstLine="0"/>
        <w:contextualSpacing/>
        <w:rPr>
          <w:rFonts w:ascii="Calibri" w:eastAsia="Times New Roman" w:hAnsi="Calibri" w:cs="Calibri"/>
          <w:b/>
          <w:color w:val="0070C0"/>
          <w:sz w:val="22"/>
          <w:szCs w:val="22"/>
        </w:rPr>
      </w:pPr>
      <w:r w:rsidRPr="00CB7917">
        <w:rPr>
          <w:rFonts w:ascii="Calibri" w:eastAsia="Times New Roman" w:hAnsi="Calibri" w:cs="Calibri"/>
          <w:b/>
          <w:color w:val="0070C0"/>
          <w:sz w:val="22"/>
          <w:szCs w:val="22"/>
        </w:rPr>
        <w:t xml:space="preserve">Procurement </w:t>
      </w:r>
    </w:p>
    <w:p w14:paraId="6FCCED32" w14:textId="77777777" w:rsidR="00256EEA" w:rsidRPr="002E1A3F" w:rsidRDefault="00256EEA" w:rsidP="006C70A5">
      <w:pPr>
        <w:widowControl/>
        <w:tabs>
          <w:tab w:val="left" w:pos="450"/>
        </w:tabs>
        <w:autoSpaceDE/>
        <w:autoSpaceDN/>
        <w:adjustRightInd/>
        <w:spacing w:after="160"/>
        <w:ind w:left="360"/>
        <w:contextualSpacing/>
        <w:rPr>
          <w:rFonts w:ascii="Calibri" w:eastAsia="Times New Roman" w:hAnsi="Calibri" w:cs="Calibri"/>
          <w:b/>
          <w:color w:val="0070C0"/>
          <w:sz w:val="22"/>
          <w:szCs w:val="22"/>
        </w:rPr>
      </w:pPr>
    </w:p>
    <w:p w14:paraId="23B47F51" w14:textId="77777777" w:rsidR="00DC6459" w:rsidRPr="002E1A3F" w:rsidRDefault="00B00100" w:rsidP="006C70A5">
      <w:pPr>
        <w:widowControl/>
        <w:numPr>
          <w:ilvl w:val="0"/>
          <w:numId w:val="30"/>
        </w:numPr>
        <w:tabs>
          <w:tab w:val="left" w:pos="450"/>
        </w:tabs>
        <w:autoSpaceDE/>
        <w:autoSpaceDN/>
        <w:adjustRightInd/>
        <w:spacing w:after="240"/>
        <w:ind w:left="0" w:right="720" w:firstLine="0"/>
        <w:jc w:val="both"/>
        <w:rPr>
          <w:rFonts w:ascii="Calibri,Arial,Times New Roman" w:eastAsia="Calibri,Arial,Times New Roman" w:hAnsi="Calibri,Arial,Times New Roman" w:cs="Calibri,Arial,Times New Roman"/>
          <w:color w:val="auto"/>
          <w:sz w:val="22"/>
          <w:szCs w:val="22"/>
        </w:rPr>
      </w:pPr>
      <w:r w:rsidRPr="002E1A3F">
        <w:rPr>
          <w:rFonts w:ascii="Calibri" w:eastAsia="Times New Roman" w:hAnsi="Calibri" w:cs="Calibri"/>
          <w:b/>
          <w:color w:val="auto"/>
          <w:sz w:val="22"/>
          <w:szCs w:val="22"/>
        </w:rPr>
        <w:t xml:space="preserve">Procurement Assessments Summary: Overall, the procurement risk rating for the project is </w:t>
      </w:r>
      <w:r>
        <w:rPr>
          <w:rFonts w:ascii="Calibri" w:eastAsia="Times New Roman" w:hAnsi="Calibri" w:cs="Calibri"/>
          <w:b/>
          <w:color w:val="auto"/>
          <w:sz w:val="22"/>
          <w:szCs w:val="22"/>
        </w:rPr>
        <w:t>substantial</w:t>
      </w:r>
      <w:r w:rsidRPr="002E1A3F">
        <w:rPr>
          <w:rFonts w:ascii="Calibri" w:eastAsia="Times New Roman" w:hAnsi="Calibri" w:cs="Calibri"/>
          <w:b/>
          <w:color w:val="auto"/>
          <w:sz w:val="22"/>
          <w:szCs w:val="22"/>
        </w:rPr>
        <w:t xml:space="preserve">. </w:t>
      </w:r>
      <w:r w:rsidRPr="009F4A64">
        <w:rPr>
          <w:rFonts w:ascii="Calibri" w:eastAsia="Times New Roman" w:hAnsi="Calibri" w:cs="Calibri"/>
          <w:color w:val="auto"/>
          <w:sz w:val="22"/>
          <w:szCs w:val="22"/>
        </w:rPr>
        <w:t xml:space="preserve">At the regional level, AAU, in its role as the RFU will be responsible for procurement activities under Sub-component 3.1. </w:t>
      </w:r>
      <w:r>
        <w:rPr>
          <w:rFonts w:ascii="Calibri" w:eastAsia="Times New Roman" w:hAnsi="Calibri" w:cs="Calibri"/>
          <w:color w:val="auto"/>
          <w:sz w:val="22"/>
          <w:szCs w:val="22"/>
        </w:rPr>
        <w:t xml:space="preserve"> </w:t>
      </w:r>
      <w:r w:rsidRPr="002E1A3F">
        <w:rPr>
          <w:rFonts w:ascii="Calibri" w:eastAsia="Calibri" w:hAnsi="Calibri" w:cs="Calibri"/>
          <w:color w:val="auto"/>
          <w:sz w:val="22"/>
          <w:szCs w:val="22"/>
        </w:rPr>
        <w:t>NUC (Nigeria)</w:t>
      </w:r>
      <w:r>
        <w:rPr>
          <w:rFonts w:ascii="Calibri" w:eastAsia="Calibri" w:hAnsi="Calibri" w:cs="Calibri"/>
          <w:color w:val="auto"/>
          <w:sz w:val="22"/>
          <w:szCs w:val="22"/>
        </w:rPr>
        <w:t xml:space="preserve"> and the PCU-Gambia </w:t>
      </w:r>
      <w:r w:rsidRPr="002E1A3F">
        <w:rPr>
          <w:rFonts w:ascii="Calibri" w:eastAsia="Calibri" w:hAnsi="Calibri" w:cs="Calibri"/>
          <w:color w:val="auto"/>
          <w:sz w:val="22"/>
          <w:szCs w:val="22"/>
        </w:rPr>
        <w:t xml:space="preserve">will be responsible for the procurement activities under </w:t>
      </w:r>
      <w:r>
        <w:rPr>
          <w:rFonts w:ascii="Calibri" w:eastAsia="Calibri" w:hAnsi="Calibri" w:cs="Calibri"/>
          <w:color w:val="auto"/>
          <w:sz w:val="22"/>
          <w:szCs w:val="22"/>
        </w:rPr>
        <w:t>Sub-c</w:t>
      </w:r>
      <w:r w:rsidRPr="002E1A3F">
        <w:rPr>
          <w:rFonts w:ascii="Calibri" w:eastAsia="Calibri" w:hAnsi="Calibri" w:cs="Calibri"/>
          <w:color w:val="auto"/>
          <w:sz w:val="22"/>
          <w:szCs w:val="22"/>
        </w:rPr>
        <w:t>omponent 3.  All procurement activities under Component 3 will follow World Bank procurement guidelines or/and regulation requiring that t</w:t>
      </w:r>
      <w:r w:rsidRPr="002E1A3F">
        <w:rPr>
          <w:rFonts w:ascii="Calibri" w:eastAsia="Calibri" w:hAnsi="Calibri" w:cs="Times New Roman"/>
          <w:color w:val="auto"/>
          <w:sz w:val="22"/>
          <w:szCs w:val="22"/>
        </w:rPr>
        <w:t>he procurement plans for such procurement activities be prepared, reviewed and cleared in STEP, as well as any prior review procurement.</w:t>
      </w:r>
      <w:r w:rsidRPr="002E1A3F">
        <w:rPr>
          <w:rFonts w:ascii="Calibri" w:eastAsia="Calibri" w:hAnsi="Calibri" w:cs="Calibri"/>
          <w:color w:val="auto"/>
          <w:sz w:val="22"/>
          <w:szCs w:val="22"/>
        </w:rPr>
        <w:t xml:space="preserve"> The Second ACE Impact centers will be responsible for the procurement activities under Component 1 and Sub-component 2.1. Under these sub-components, the World Bank funds will be disbursed against a set of DLIs to finance the non-procurable expenditures as defined under the EEPs. The non-EEPs, including procurement of goods and civil works under the project will be procured together with the institutions’ other operating requirements and needs, following the institutions’ own procurement procedures. These non-EEPs will be financed by the institutions’/governments’ own funds- and therefore, the procurement plans for those activities are not prepared in STEP and are not reviewed and cleared by the World Bank.</w:t>
      </w:r>
    </w:p>
    <w:p w14:paraId="5E850C7B" w14:textId="77777777" w:rsidR="00DC6459" w:rsidRPr="00167DD2"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b/>
          <w:color w:val="auto"/>
          <w:sz w:val="22"/>
          <w:szCs w:val="22"/>
        </w:rPr>
        <w:t>NUC (Nigeria)</w:t>
      </w:r>
      <w:r w:rsidRPr="002E1A3F">
        <w:rPr>
          <w:rFonts w:ascii="Calibri" w:eastAsia="Calibri" w:hAnsi="Calibri" w:cs="Calibri"/>
          <w:color w:val="auto"/>
          <w:sz w:val="22"/>
          <w:szCs w:val="22"/>
        </w:rPr>
        <w:t xml:space="preserve">: </w:t>
      </w:r>
      <w:r w:rsidRPr="00B20A37">
        <w:rPr>
          <w:rFonts w:ascii="Calibri" w:eastAsia="Calibri" w:hAnsi="Calibri" w:cs="Calibri"/>
          <w:color w:val="auto"/>
          <w:sz w:val="22"/>
          <w:szCs w:val="22"/>
        </w:rPr>
        <w:t xml:space="preserve">The procurement assessment for NUC is completed. The procurement assessment indicates a risk rating of </w:t>
      </w:r>
      <w:r>
        <w:rPr>
          <w:rFonts w:ascii="Calibri" w:eastAsia="Calibri" w:hAnsi="Calibri" w:cs="Calibri"/>
          <w:color w:val="auto"/>
          <w:sz w:val="22"/>
          <w:szCs w:val="22"/>
        </w:rPr>
        <w:t>s</w:t>
      </w:r>
      <w:r w:rsidRPr="00B20A37">
        <w:rPr>
          <w:rFonts w:ascii="Calibri" w:eastAsia="Calibri" w:hAnsi="Calibri" w:cs="Calibri"/>
          <w:color w:val="auto"/>
          <w:sz w:val="22"/>
          <w:szCs w:val="22"/>
        </w:rPr>
        <w:t xml:space="preserve">ubstantial.  The NUC is a parastatal set up by the Federal </w:t>
      </w:r>
      <w:r w:rsidRPr="00B20A37">
        <w:rPr>
          <w:rFonts w:ascii="Calibri" w:eastAsia="Calibri" w:hAnsi="Calibri" w:cs="Calibri"/>
          <w:color w:val="auto"/>
          <w:sz w:val="22"/>
          <w:szCs w:val="22"/>
        </w:rPr>
        <w:lastRenderedPageBreak/>
        <w:t xml:space="preserve">Government of Nigeria, under the Federal Ministry of Education and funded by Federal Government.  It has a Procurement unit headed by Director of Procurement, 12 qualified and </w:t>
      </w:r>
      <w:r w:rsidR="00BC5614" w:rsidRPr="007A6F32">
        <w:rPr>
          <w:rFonts w:ascii="Calibri" w:eastAsia="Calibri" w:hAnsi="Calibri" w:cs="Calibri"/>
          <w:color w:val="auto"/>
          <w:sz w:val="22"/>
          <w:szCs w:val="22"/>
        </w:rPr>
        <w:t>Bureau of Public Procurement (</w:t>
      </w:r>
      <w:r w:rsidRPr="00B20A37">
        <w:rPr>
          <w:rFonts w:ascii="Calibri" w:eastAsia="Calibri" w:hAnsi="Calibri" w:cs="Calibri"/>
          <w:color w:val="auto"/>
          <w:sz w:val="22"/>
          <w:szCs w:val="22"/>
        </w:rPr>
        <w:t>BPP</w:t>
      </w:r>
      <w:r w:rsidR="00BC5614">
        <w:rPr>
          <w:rFonts w:ascii="Calibri" w:eastAsia="Calibri" w:hAnsi="Calibri" w:cs="Calibri"/>
          <w:color w:val="auto"/>
          <w:sz w:val="22"/>
          <w:szCs w:val="22"/>
        </w:rPr>
        <w:t>)</w:t>
      </w:r>
      <w:r w:rsidRPr="00B20A37">
        <w:rPr>
          <w:rFonts w:ascii="Calibri" w:eastAsia="Calibri" w:hAnsi="Calibri" w:cs="Calibri"/>
          <w:color w:val="auto"/>
          <w:sz w:val="22"/>
          <w:szCs w:val="22"/>
        </w:rPr>
        <w:t xml:space="preserve"> certified procurement staff handling all procurement for NUC using BPP Public Procurement Act (PPA) of 2007 and standard documents based on approved procurement plans.  Some of the officers were part of the ongoing ACE Project being financed by the </w:t>
      </w:r>
      <w:r w:rsidR="00C00B64">
        <w:rPr>
          <w:rFonts w:asciiTheme="minorHAnsi" w:eastAsiaTheme="minorHAnsi" w:hAnsiTheme="minorHAnsi" w:cstheme="minorHAnsi"/>
          <w:color w:val="auto"/>
          <w:sz w:val="22"/>
          <w:szCs w:val="22"/>
        </w:rPr>
        <w:t>World</w:t>
      </w:r>
      <w:r w:rsidR="00C00B64" w:rsidRPr="00B20A37">
        <w:rPr>
          <w:rFonts w:ascii="Calibri" w:eastAsia="Calibri" w:hAnsi="Calibri" w:cs="Calibri"/>
          <w:color w:val="auto"/>
          <w:sz w:val="22"/>
          <w:szCs w:val="22"/>
        </w:rPr>
        <w:t xml:space="preserve"> </w:t>
      </w:r>
      <w:r w:rsidRPr="00B20A37">
        <w:rPr>
          <w:rFonts w:ascii="Calibri" w:eastAsia="Calibri" w:hAnsi="Calibri" w:cs="Calibri"/>
          <w:color w:val="auto"/>
          <w:sz w:val="22"/>
          <w:szCs w:val="22"/>
        </w:rPr>
        <w:t xml:space="preserve">Bank.  Contract management is handled by the user department with the inputs from the procurement officers.  The main risk identified is the lack of experience in application of the new </w:t>
      </w:r>
      <w:r w:rsidR="00481727">
        <w:rPr>
          <w:rFonts w:ascii="Calibri" w:eastAsia="Calibri" w:hAnsi="Calibri" w:cs="Calibri"/>
          <w:color w:val="auto"/>
          <w:sz w:val="22"/>
          <w:szCs w:val="22"/>
        </w:rPr>
        <w:t>PR</w:t>
      </w:r>
      <w:r w:rsidRPr="00B20A37">
        <w:rPr>
          <w:rFonts w:ascii="Calibri" w:eastAsia="Calibri" w:hAnsi="Calibri" w:cs="Calibri"/>
          <w:color w:val="auto"/>
          <w:sz w:val="22"/>
          <w:szCs w:val="22"/>
        </w:rPr>
        <w:t xml:space="preserve"> and STEP.  To mitigate the risk, (i) the </w:t>
      </w:r>
      <w:r w:rsidR="00C00B64">
        <w:rPr>
          <w:rFonts w:asciiTheme="minorHAnsi" w:eastAsiaTheme="minorHAnsi" w:hAnsiTheme="minorHAnsi" w:cstheme="minorHAnsi"/>
          <w:color w:val="auto"/>
          <w:sz w:val="22"/>
          <w:szCs w:val="22"/>
        </w:rPr>
        <w:t>World</w:t>
      </w:r>
      <w:r w:rsidR="00C00B64" w:rsidRPr="00B20A37">
        <w:rPr>
          <w:rFonts w:ascii="Calibri" w:eastAsia="Calibri" w:hAnsi="Calibri" w:cs="Calibri"/>
          <w:color w:val="auto"/>
          <w:sz w:val="22"/>
          <w:szCs w:val="22"/>
        </w:rPr>
        <w:t xml:space="preserve"> </w:t>
      </w:r>
      <w:r w:rsidRPr="00B20A37">
        <w:rPr>
          <w:rFonts w:ascii="Calibri" w:eastAsia="Calibri" w:hAnsi="Calibri" w:cs="Calibri"/>
          <w:color w:val="auto"/>
          <w:sz w:val="22"/>
          <w:szCs w:val="22"/>
        </w:rPr>
        <w:t xml:space="preserve">Bank will offer training on PR and STEP for the procurement team after project effectiveness and hands-on support throughout the Project life, </w:t>
      </w:r>
      <w:r w:rsidR="00F70DBD">
        <w:rPr>
          <w:rFonts w:ascii="Calibri" w:eastAsia="Calibri" w:hAnsi="Calibri" w:cs="Calibri"/>
          <w:color w:val="auto"/>
          <w:sz w:val="22"/>
          <w:szCs w:val="22"/>
        </w:rPr>
        <w:t xml:space="preserve">and </w:t>
      </w:r>
      <w:r w:rsidRPr="00B20A37">
        <w:rPr>
          <w:rFonts w:ascii="Calibri" w:eastAsia="Calibri" w:hAnsi="Calibri" w:cs="Calibri"/>
          <w:color w:val="auto"/>
          <w:sz w:val="22"/>
          <w:szCs w:val="22"/>
        </w:rPr>
        <w:t>(ii) recommend for the procurement head periodic W</w:t>
      </w:r>
      <w:r w:rsidR="00C00B64">
        <w:rPr>
          <w:rFonts w:ascii="Calibri" w:eastAsia="Calibri" w:hAnsi="Calibri" w:cs="Calibri"/>
          <w:color w:val="auto"/>
          <w:sz w:val="22"/>
          <w:szCs w:val="22"/>
        </w:rPr>
        <w:t xml:space="preserve">orld </w:t>
      </w:r>
      <w:r w:rsidRPr="00B20A37">
        <w:rPr>
          <w:rFonts w:ascii="Calibri" w:eastAsia="Calibri" w:hAnsi="Calibri" w:cs="Calibri"/>
          <w:color w:val="auto"/>
          <w:sz w:val="22"/>
          <w:szCs w:val="22"/>
        </w:rPr>
        <w:t>B</w:t>
      </w:r>
      <w:r w:rsidR="00C00B64">
        <w:rPr>
          <w:rFonts w:ascii="Calibri" w:eastAsia="Calibri" w:hAnsi="Calibri" w:cs="Calibri"/>
          <w:color w:val="auto"/>
          <w:sz w:val="22"/>
          <w:szCs w:val="22"/>
        </w:rPr>
        <w:t>ank</w:t>
      </w:r>
      <w:r w:rsidRPr="00B20A37">
        <w:rPr>
          <w:rFonts w:ascii="Calibri" w:eastAsia="Calibri" w:hAnsi="Calibri" w:cs="Calibri"/>
          <w:color w:val="auto"/>
          <w:sz w:val="22"/>
          <w:szCs w:val="22"/>
        </w:rPr>
        <w:t xml:space="preserve"> procurement training in W</w:t>
      </w:r>
      <w:r>
        <w:rPr>
          <w:rFonts w:ascii="Calibri" w:eastAsia="Calibri" w:hAnsi="Calibri" w:cs="Calibri"/>
          <w:color w:val="auto"/>
          <w:sz w:val="22"/>
          <w:szCs w:val="22"/>
        </w:rPr>
        <w:t xml:space="preserve">orld Bank </w:t>
      </w:r>
      <w:r w:rsidRPr="00B20A37">
        <w:rPr>
          <w:rFonts w:ascii="Calibri" w:eastAsia="Calibri" w:hAnsi="Calibri" w:cs="Calibri"/>
          <w:color w:val="auto"/>
          <w:sz w:val="22"/>
          <w:szCs w:val="22"/>
        </w:rPr>
        <w:t>institutions in the sub-region.</w:t>
      </w:r>
    </w:p>
    <w:p w14:paraId="313CC485" w14:textId="77777777" w:rsidR="00DC6459" w:rsidRPr="007A6F32"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b/>
          <w:color w:val="auto"/>
          <w:sz w:val="22"/>
          <w:szCs w:val="22"/>
        </w:rPr>
        <w:t>PCU-Gambia</w:t>
      </w:r>
      <w:r w:rsidRPr="007A6F32">
        <w:rPr>
          <w:rFonts w:ascii="Calibri" w:eastAsia="Calibri" w:hAnsi="Calibri" w:cs="Calibri"/>
          <w:color w:val="auto"/>
          <w:sz w:val="22"/>
          <w:szCs w:val="22"/>
        </w:rPr>
        <w:t xml:space="preserve">: The procurement assessment for </w:t>
      </w:r>
      <w:r w:rsidR="00644A16">
        <w:rPr>
          <w:rFonts w:ascii="Calibri" w:eastAsia="Calibri" w:hAnsi="Calibri" w:cs="Calibri"/>
          <w:color w:val="auto"/>
          <w:sz w:val="22"/>
          <w:szCs w:val="22"/>
        </w:rPr>
        <w:t>T</w:t>
      </w:r>
      <w:r w:rsidRPr="007A6F32">
        <w:rPr>
          <w:rFonts w:ascii="Calibri" w:eastAsia="Calibri" w:hAnsi="Calibri" w:cs="Calibri"/>
          <w:color w:val="auto"/>
          <w:sz w:val="22"/>
          <w:szCs w:val="22"/>
        </w:rPr>
        <w:t>he Gambia is completed. The Gambia Public Procurement is characterized by many layers and key actors that involve the Presidency, the Cabinet, M</w:t>
      </w:r>
      <w:r w:rsidR="00A12BAC">
        <w:rPr>
          <w:rFonts w:ascii="Calibri" w:eastAsia="Calibri" w:hAnsi="Calibri" w:cs="Calibri"/>
          <w:color w:val="auto"/>
          <w:sz w:val="22"/>
          <w:szCs w:val="22"/>
        </w:rPr>
        <w:t xml:space="preserve">inistry </w:t>
      </w:r>
      <w:r w:rsidRPr="007A6F32">
        <w:rPr>
          <w:rFonts w:ascii="Calibri" w:eastAsia="Calibri" w:hAnsi="Calibri" w:cs="Calibri"/>
          <w:color w:val="auto"/>
          <w:sz w:val="22"/>
          <w:szCs w:val="22"/>
        </w:rPr>
        <w:t>o</w:t>
      </w:r>
      <w:r w:rsidR="00A12BAC">
        <w:rPr>
          <w:rFonts w:ascii="Calibri" w:eastAsia="Calibri" w:hAnsi="Calibri" w:cs="Calibri"/>
          <w:color w:val="auto"/>
          <w:sz w:val="22"/>
          <w:szCs w:val="22"/>
        </w:rPr>
        <w:t xml:space="preserve">f </w:t>
      </w:r>
      <w:r w:rsidRPr="007A6F32">
        <w:rPr>
          <w:rFonts w:ascii="Calibri" w:eastAsia="Calibri" w:hAnsi="Calibri" w:cs="Calibri"/>
          <w:color w:val="auto"/>
          <w:sz w:val="22"/>
          <w:szCs w:val="22"/>
        </w:rPr>
        <w:t>F</w:t>
      </w:r>
      <w:r w:rsidR="00A12BAC">
        <w:rPr>
          <w:rFonts w:ascii="Calibri" w:eastAsia="Calibri" w:hAnsi="Calibri" w:cs="Calibri"/>
          <w:color w:val="auto"/>
          <w:sz w:val="22"/>
          <w:szCs w:val="22"/>
        </w:rPr>
        <w:t>inanc</w:t>
      </w:r>
      <w:r w:rsidR="00B14595">
        <w:rPr>
          <w:rFonts w:ascii="Calibri" w:eastAsia="Calibri" w:hAnsi="Calibri" w:cs="Calibri"/>
          <w:color w:val="auto"/>
          <w:sz w:val="22"/>
          <w:szCs w:val="22"/>
        </w:rPr>
        <w:t>e and</w:t>
      </w:r>
      <w:r w:rsidR="00A12BAC">
        <w:rPr>
          <w:rFonts w:ascii="Calibri" w:eastAsia="Calibri" w:hAnsi="Calibri" w:cs="Calibri"/>
          <w:color w:val="auto"/>
          <w:sz w:val="22"/>
          <w:szCs w:val="22"/>
        </w:rPr>
        <w:t xml:space="preserve"> </w:t>
      </w:r>
      <w:r w:rsidRPr="007A6F32">
        <w:rPr>
          <w:rFonts w:ascii="Calibri" w:eastAsia="Calibri" w:hAnsi="Calibri" w:cs="Calibri"/>
          <w:color w:val="auto"/>
          <w:sz w:val="22"/>
          <w:szCs w:val="22"/>
        </w:rPr>
        <w:t>E</w:t>
      </w:r>
      <w:r w:rsidR="00B14595">
        <w:rPr>
          <w:rFonts w:ascii="Calibri" w:eastAsia="Calibri" w:hAnsi="Calibri" w:cs="Calibri"/>
          <w:color w:val="auto"/>
          <w:sz w:val="22"/>
          <w:szCs w:val="22"/>
        </w:rPr>
        <w:t xml:space="preserve">conomic </w:t>
      </w:r>
      <w:r w:rsidRPr="007A6F32">
        <w:rPr>
          <w:rFonts w:ascii="Calibri" w:eastAsia="Calibri" w:hAnsi="Calibri" w:cs="Calibri"/>
          <w:color w:val="auto"/>
          <w:sz w:val="22"/>
          <w:szCs w:val="22"/>
        </w:rPr>
        <w:t>A</w:t>
      </w:r>
      <w:r w:rsidR="00B14595">
        <w:rPr>
          <w:rFonts w:ascii="Calibri" w:eastAsia="Calibri" w:hAnsi="Calibri" w:cs="Calibri"/>
          <w:color w:val="auto"/>
          <w:sz w:val="22"/>
          <w:szCs w:val="22"/>
        </w:rPr>
        <w:t>ffairs</w:t>
      </w:r>
      <w:r w:rsidRPr="007A6F32">
        <w:rPr>
          <w:rFonts w:ascii="Calibri" w:eastAsia="Calibri" w:hAnsi="Calibri" w:cs="Calibri"/>
          <w:color w:val="auto"/>
          <w:sz w:val="22"/>
          <w:szCs w:val="22"/>
        </w:rPr>
        <w:t xml:space="preserve">, </w:t>
      </w:r>
      <w:r w:rsidR="00481727">
        <w:rPr>
          <w:rFonts w:ascii="Calibri" w:eastAsia="Calibri" w:hAnsi="Calibri" w:cs="Calibri"/>
          <w:color w:val="auto"/>
          <w:sz w:val="22"/>
          <w:szCs w:val="22"/>
        </w:rPr>
        <w:t>T</w:t>
      </w:r>
      <w:r w:rsidR="00481727" w:rsidRPr="007A6F32">
        <w:rPr>
          <w:rFonts w:ascii="Calibri" w:eastAsia="Calibri" w:hAnsi="Calibri" w:cs="Calibri"/>
          <w:color w:val="auto"/>
          <w:sz w:val="22"/>
          <w:szCs w:val="22"/>
        </w:rPr>
        <w:t>he Gambia Public Procurement Authority (GPPA)</w:t>
      </w:r>
      <w:r w:rsidRPr="007A6F32">
        <w:rPr>
          <w:rFonts w:ascii="Calibri" w:eastAsia="Calibri" w:hAnsi="Calibri" w:cs="Calibri"/>
          <w:color w:val="auto"/>
          <w:sz w:val="22"/>
          <w:szCs w:val="22"/>
        </w:rPr>
        <w:t>, the Complaints Review Board (CRB), the National Audit office (NAO) and the Procuring organizations (POs), and the private sector bidders. The legislative and regulatory framework provides for oversight functions to be carried out by GPPA, and the CRB.</w:t>
      </w:r>
      <w:r>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The </w:t>
      </w:r>
      <w:r>
        <w:rPr>
          <w:rFonts w:ascii="Calibri" w:eastAsia="Calibri" w:hAnsi="Calibri" w:cs="Calibri"/>
          <w:color w:val="auto"/>
          <w:sz w:val="22"/>
          <w:szCs w:val="22"/>
        </w:rPr>
        <w:t>GPPA</w:t>
      </w:r>
      <w:r w:rsidRPr="007A6F32">
        <w:rPr>
          <w:rFonts w:ascii="Calibri" w:eastAsia="Calibri" w:hAnsi="Calibri" w:cs="Calibri"/>
          <w:color w:val="auto"/>
          <w:sz w:val="22"/>
          <w:szCs w:val="22"/>
        </w:rPr>
        <w:t xml:space="preserve">, apart from its regulatory role, performs both the control and assurance function for all contracts; through ex-ante and post reviews of the procurement proceedings; including an adjudicatory role by virtue of its membership to the </w:t>
      </w:r>
      <w:r w:rsidR="009A45AF">
        <w:rPr>
          <w:rFonts w:ascii="Calibri" w:eastAsia="Calibri" w:hAnsi="Calibri" w:cs="Calibri"/>
          <w:color w:val="auto"/>
          <w:sz w:val="22"/>
          <w:szCs w:val="22"/>
        </w:rPr>
        <w:t>CRB</w:t>
      </w:r>
      <w:r w:rsidRPr="007A6F32">
        <w:rPr>
          <w:rFonts w:ascii="Calibri" w:eastAsia="Calibri" w:hAnsi="Calibri" w:cs="Calibri"/>
          <w:color w:val="auto"/>
          <w:sz w:val="22"/>
          <w:szCs w:val="22"/>
        </w:rPr>
        <w:t xml:space="preserve">. </w:t>
      </w:r>
    </w:p>
    <w:p w14:paraId="034BE322" w14:textId="77777777" w:rsidR="00DC6459" w:rsidRPr="007A6F32"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color w:val="auto"/>
          <w:sz w:val="22"/>
          <w:szCs w:val="22"/>
        </w:rPr>
        <w:t xml:space="preserve">The CRB as provided for in the Act is to promote and uphold fairness in the public procurement system through judicious and impartial adjudication of matters arising from disputed procurement proceedings. The CRB resolve disputes arising from bidders who claim to have suffered or risk suffering, loss or damage due to the breach of a duty imposed on a Procuring Organization by the Procurement Law. </w:t>
      </w:r>
      <w:r>
        <w:rPr>
          <w:rFonts w:ascii="Calibri" w:eastAsia="Calibri" w:hAnsi="Calibri" w:cs="Calibri"/>
          <w:color w:val="auto"/>
          <w:sz w:val="22"/>
          <w:szCs w:val="22"/>
        </w:rPr>
        <w:t xml:space="preserve">The </w:t>
      </w:r>
      <w:r w:rsidRPr="007A6F32">
        <w:rPr>
          <w:rFonts w:ascii="Calibri" w:eastAsia="Calibri" w:hAnsi="Calibri" w:cs="Calibri"/>
          <w:color w:val="auto"/>
          <w:sz w:val="22"/>
          <w:szCs w:val="22"/>
        </w:rPr>
        <w:t xml:space="preserve">CRB is already established as an autonomous body composed of seven members plus secretariat to provide administrative services. </w:t>
      </w:r>
    </w:p>
    <w:p w14:paraId="11554767" w14:textId="77777777" w:rsidR="00DC6459" w:rsidRPr="007A6F32"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color w:val="auto"/>
          <w:sz w:val="22"/>
          <w:szCs w:val="22"/>
        </w:rPr>
        <w:t>Involvement of the GPPA in the World Bank’s funded projects</w:t>
      </w:r>
      <w:r>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Most of the current implementing World Bank’s projects are not requesting approval from the GPPA while the 2014 Procurement Act state clearly that the GGPA shall apply a prior review control all procurement above the thresholds specified in the Regulations (GMD 1,000,000). The reasons given is the delay in the review of the procurement documents by the GPPA. The </w:t>
      </w:r>
      <w:r w:rsidR="009D1552" w:rsidRPr="00725898">
        <w:rPr>
          <w:rFonts w:asciiTheme="minorHAnsi" w:hAnsiTheme="minorHAnsi" w:cstheme="minorBidi"/>
          <w:color w:val="auto"/>
          <w:sz w:val="22"/>
          <w:szCs w:val="22"/>
        </w:rPr>
        <w:t>Gambia Local Fund (</w:t>
      </w:r>
      <w:r w:rsidRPr="007A6F32">
        <w:rPr>
          <w:rFonts w:ascii="Calibri" w:eastAsia="Calibri" w:hAnsi="Calibri" w:cs="Calibri"/>
          <w:color w:val="auto"/>
          <w:sz w:val="22"/>
          <w:szCs w:val="22"/>
        </w:rPr>
        <w:t>GLF</w:t>
      </w:r>
      <w:r w:rsidR="009D1552">
        <w:rPr>
          <w:rFonts w:ascii="Calibri" w:eastAsia="Calibri" w:hAnsi="Calibri" w:cs="Calibri"/>
          <w:color w:val="auto"/>
          <w:sz w:val="22"/>
          <w:szCs w:val="22"/>
        </w:rPr>
        <w:t>)</w:t>
      </w:r>
      <w:r w:rsidRPr="007A6F32">
        <w:rPr>
          <w:rFonts w:ascii="Calibri" w:eastAsia="Calibri" w:hAnsi="Calibri" w:cs="Calibri"/>
          <w:color w:val="auto"/>
          <w:sz w:val="22"/>
          <w:szCs w:val="22"/>
        </w:rPr>
        <w:t xml:space="preserve"> procurement policies promote competitive GLF procurement which is not in practice (as per last </w:t>
      </w:r>
      <w:r w:rsidR="00574996" w:rsidRPr="005B781D">
        <w:rPr>
          <w:rFonts w:ascii="Calibri" w:eastAsia="Calibri" w:hAnsi="Calibri" w:cs="Calibri"/>
          <w:color w:val="auto"/>
          <w:sz w:val="22"/>
          <w:szCs w:val="22"/>
        </w:rPr>
        <w:t>Public Investment Management Assessment (</w:t>
      </w:r>
      <w:r w:rsidRPr="007A6F32">
        <w:rPr>
          <w:rFonts w:ascii="Calibri" w:eastAsia="Calibri" w:hAnsi="Calibri" w:cs="Calibri"/>
          <w:color w:val="auto"/>
          <w:sz w:val="22"/>
          <w:szCs w:val="22"/>
        </w:rPr>
        <w:t>PIMA</w:t>
      </w:r>
      <w:r w:rsidR="00574996">
        <w:rPr>
          <w:rFonts w:ascii="Calibri" w:eastAsia="Calibri" w:hAnsi="Calibri" w:cs="Calibri"/>
          <w:color w:val="auto"/>
          <w:sz w:val="22"/>
          <w:szCs w:val="22"/>
        </w:rPr>
        <w:t>)</w:t>
      </w:r>
      <w:r w:rsidRPr="007A6F32">
        <w:rPr>
          <w:rFonts w:ascii="Calibri" w:eastAsia="Calibri" w:hAnsi="Calibri" w:cs="Calibri"/>
          <w:color w:val="auto"/>
          <w:sz w:val="22"/>
          <w:szCs w:val="22"/>
        </w:rPr>
        <w:t xml:space="preserve"> review), however donor procurement rules are applied for donor</w:t>
      </w:r>
      <w:r w:rsidR="00A62E79">
        <w:rPr>
          <w:rFonts w:ascii="Calibri" w:eastAsia="Calibri" w:hAnsi="Calibri" w:cs="Calibri"/>
          <w:color w:val="auto"/>
          <w:sz w:val="22"/>
          <w:szCs w:val="22"/>
        </w:rPr>
        <w:t>-</w:t>
      </w:r>
      <w:r w:rsidRPr="007A6F32">
        <w:rPr>
          <w:rFonts w:ascii="Calibri" w:eastAsia="Calibri" w:hAnsi="Calibri" w:cs="Calibri"/>
          <w:color w:val="auto"/>
          <w:sz w:val="22"/>
          <w:szCs w:val="22"/>
        </w:rPr>
        <w:t xml:space="preserve">funded projects.  </w:t>
      </w:r>
    </w:p>
    <w:p w14:paraId="0FA0E8CE" w14:textId="77777777" w:rsidR="00DC6459"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color w:val="auto"/>
          <w:sz w:val="22"/>
          <w:szCs w:val="22"/>
        </w:rPr>
        <w:t>Implementation of the project ACE project:</w:t>
      </w:r>
      <w:r>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GTTI does not have procurement experience in implementing World Bank’s funded Project.  The procurement activities for the project will be conducted using the existing institutional arrangements under the PCU for the implementation of the current </w:t>
      </w:r>
      <w:r w:rsidR="00481727">
        <w:rPr>
          <w:rFonts w:ascii="Calibri" w:eastAsia="Calibri" w:hAnsi="Calibri" w:cs="Calibri"/>
          <w:color w:val="auto"/>
          <w:sz w:val="22"/>
          <w:szCs w:val="22"/>
        </w:rPr>
        <w:t>E</w:t>
      </w:r>
      <w:r w:rsidRPr="007A6F32">
        <w:rPr>
          <w:rFonts w:ascii="Calibri" w:eastAsia="Calibri" w:hAnsi="Calibri" w:cs="Calibri"/>
          <w:color w:val="auto"/>
          <w:sz w:val="22"/>
          <w:szCs w:val="22"/>
        </w:rPr>
        <w:t xml:space="preserve">ducation </w:t>
      </w:r>
      <w:r w:rsidR="00481727">
        <w:rPr>
          <w:rFonts w:ascii="Calibri" w:eastAsia="Calibri" w:hAnsi="Calibri" w:cs="Calibri"/>
          <w:color w:val="auto"/>
          <w:sz w:val="22"/>
          <w:szCs w:val="22"/>
        </w:rPr>
        <w:t>S</w:t>
      </w:r>
      <w:r w:rsidRPr="007A6F32">
        <w:rPr>
          <w:rFonts w:ascii="Calibri" w:eastAsia="Calibri" w:hAnsi="Calibri" w:cs="Calibri"/>
          <w:color w:val="auto"/>
          <w:sz w:val="22"/>
          <w:szCs w:val="22"/>
        </w:rPr>
        <w:t xml:space="preserve">ector </w:t>
      </w:r>
      <w:r w:rsidR="00481727">
        <w:rPr>
          <w:rFonts w:ascii="Calibri" w:eastAsia="Calibri" w:hAnsi="Calibri" w:cs="Calibri"/>
          <w:color w:val="auto"/>
          <w:sz w:val="22"/>
          <w:szCs w:val="22"/>
        </w:rPr>
        <w:t>Support P</w:t>
      </w:r>
      <w:r w:rsidRPr="007A6F32">
        <w:rPr>
          <w:rFonts w:ascii="Calibri" w:eastAsia="Calibri" w:hAnsi="Calibri" w:cs="Calibri"/>
          <w:color w:val="auto"/>
          <w:sz w:val="22"/>
          <w:szCs w:val="22"/>
        </w:rPr>
        <w:t>rojects (ESSP). The PCU-Gambia team is well versed in the IDA procedures, and has handled procurement under previous and on-going IDA programs as well as other donor operations where an executing agency is not in place. The PCU-Gambia has functioned satisfactorily over the life of the previous IDA/GPE</w:t>
      </w:r>
      <w:r w:rsidR="00A62E79">
        <w:rPr>
          <w:rFonts w:ascii="Calibri" w:eastAsia="Calibri" w:hAnsi="Calibri" w:cs="Calibri"/>
          <w:color w:val="auto"/>
          <w:sz w:val="22"/>
          <w:szCs w:val="22"/>
        </w:rPr>
        <w:t>-funded</w:t>
      </w:r>
      <w:r w:rsidRPr="007A6F32">
        <w:rPr>
          <w:rFonts w:ascii="Calibri" w:eastAsia="Calibri" w:hAnsi="Calibri" w:cs="Calibri"/>
          <w:color w:val="auto"/>
          <w:sz w:val="22"/>
          <w:szCs w:val="22"/>
        </w:rPr>
        <w:t xml:space="preserve"> projects. Based on this experience, it is expected that the sum of expertise gained in the education sector projects will highly benefit the arrangements of the new project and help mitigate any procurement related risk. The EESP has a </w:t>
      </w:r>
      <w:r w:rsidR="00353B5C">
        <w:rPr>
          <w:rFonts w:ascii="Calibri" w:eastAsia="Calibri" w:hAnsi="Calibri" w:cs="Calibri"/>
          <w:color w:val="auto"/>
          <w:sz w:val="22"/>
          <w:szCs w:val="22"/>
        </w:rPr>
        <w:lastRenderedPageBreak/>
        <w:t>p</w:t>
      </w:r>
      <w:r w:rsidRPr="007A6F32">
        <w:rPr>
          <w:rFonts w:ascii="Calibri" w:eastAsia="Calibri" w:hAnsi="Calibri" w:cs="Calibri"/>
          <w:color w:val="auto"/>
          <w:sz w:val="22"/>
          <w:szCs w:val="22"/>
        </w:rPr>
        <w:t xml:space="preserve">rocurement </w:t>
      </w:r>
      <w:r w:rsidR="00353B5C">
        <w:rPr>
          <w:rFonts w:ascii="Calibri" w:eastAsia="Calibri" w:hAnsi="Calibri" w:cs="Calibri"/>
          <w:color w:val="auto"/>
          <w:sz w:val="22"/>
          <w:szCs w:val="22"/>
        </w:rPr>
        <w:t>m</w:t>
      </w:r>
      <w:r w:rsidRPr="007A6F32">
        <w:rPr>
          <w:rFonts w:ascii="Calibri" w:eastAsia="Calibri" w:hAnsi="Calibri" w:cs="Calibri"/>
          <w:color w:val="auto"/>
          <w:sz w:val="22"/>
          <w:szCs w:val="22"/>
        </w:rPr>
        <w:t xml:space="preserve">anual which has been reviewed and cleared by the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 however the </w:t>
      </w:r>
      <w:r w:rsidR="00353B5C">
        <w:rPr>
          <w:rFonts w:ascii="Calibri" w:eastAsia="Calibri" w:hAnsi="Calibri" w:cs="Calibri"/>
          <w:color w:val="auto"/>
          <w:sz w:val="22"/>
          <w:szCs w:val="22"/>
        </w:rPr>
        <w:t>procurement manual</w:t>
      </w:r>
      <w:r w:rsidRPr="007A6F32">
        <w:rPr>
          <w:rFonts w:ascii="Calibri" w:eastAsia="Calibri" w:hAnsi="Calibri" w:cs="Calibri"/>
          <w:color w:val="auto"/>
          <w:sz w:val="22"/>
          <w:szCs w:val="22"/>
        </w:rPr>
        <w:t xml:space="preserve"> will be updated to take into consideration the specificity of the new project. </w:t>
      </w:r>
    </w:p>
    <w:p w14:paraId="2B0FDBA9" w14:textId="77777777" w:rsidR="00DC6459" w:rsidRPr="002C14E7"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b/>
          <w:color w:val="auto"/>
          <w:sz w:val="22"/>
          <w:szCs w:val="22"/>
        </w:rPr>
        <w:t>Benin ACE Impact Centers</w:t>
      </w:r>
      <w:r w:rsidRPr="002C14E7">
        <w:rPr>
          <w:rFonts w:ascii="Calibri" w:eastAsia="Calibri" w:hAnsi="Calibri" w:cs="Calibri"/>
          <w:color w:val="auto"/>
          <w:sz w:val="22"/>
          <w:szCs w:val="22"/>
        </w:rPr>
        <w:t xml:space="preserve">:  The procurement assessment indicates a risk rating of Substantial. The </w:t>
      </w:r>
      <w:r w:rsidR="00A62E79">
        <w:rPr>
          <w:rFonts w:ascii="Calibri" w:eastAsia="Calibri" w:hAnsi="Calibri" w:cs="Calibri"/>
          <w:color w:val="auto"/>
          <w:sz w:val="22"/>
          <w:szCs w:val="22"/>
        </w:rPr>
        <w:t>two</w:t>
      </w:r>
      <w:r w:rsidRPr="002C14E7">
        <w:rPr>
          <w:rFonts w:ascii="Calibri" w:eastAsia="Calibri" w:hAnsi="Calibri" w:cs="Calibri"/>
          <w:color w:val="auto"/>
          <w:sz w:val="22"/>
          <w:szCs w:val="22"/>
        </w:rPr>
        <w:t xml:space="preserve"> selected centers (Mathematical Sciences, Computer Science and Applications Institute </w:t>
      </w:r>
      <w:r w:rsidR="00D832B2">
        <w:rPr>
          <w:rFonts w:ascii="Calibri" w:eastAsia="Calibri" w:hAnsi="Calibri" w:cs="Calibri"/>
          <w:color w:val="auto"/>
          <w:sz w:val="22"/>
          <w:szCs w:val="22"/>
        </w:rPr>
        <w:t xml:space="preserve">(CEA-SMIA) </w:t>
      </w:r>
      <w:r w:rsidRPr="002C14E7">
        <w:rPr>
          <w:rFonts w:ascii="Calibri" w:eastAsia="Calibri" w:hAnsi="Calibri" w:cs="Calibri"/>
          <w:color w:val="auto"/>
          <w:sz w:val="22"/>
          <w:szCs w:val="22"/>
        </w:rPr>
        <w:t>and the Water and Sanitation (C2EA)</w:t>
      </w:r>
      <w:r w:rsidR="00150A8C">
        <w:rPr>
          <w:rFonts w:ascii="Calibri" w:eastAsia="Calibri" w:hAnsi="Calibri" w:cs="Calibri"/>
          <w:color w:val="auto"/>
          <w:sz w:val="22"/>
          <w:szCs w:val="22"/>
        </w:rPr>
        <w:t>)</w:t>
      </w:r>
      <w:r w:rsidR="006C1A94">
        <w:rPr>
          <w:rFonts w:ascii="Calibri" w:eastAsia="Calibri" w:hAnsi="Calibri" w:cs="Calibri"/>
          <w:color w:val="auto"/>
          <w:sz w:val="22"/>
          <w:szCs w:val="22"/>
        </w:rPr>
        <w:t xml:space="preserve"> and </w:t>
      </w:r>
      <w:r w:rsidR="00B1185C">
        <w:rPr>
          <w:rFonts w:ascii="Calibri" w:eastAsia="Calibri" w:hAnsi="Calibri" w:cs="Calibri"/>
          <w:color w:val="auto"/>
          <w:sz w:val="22"/>
          <w:szCs w:val="22"/>
        </w:rPr>
        <w:t xml:space="preserve">the College of Engineering in Energy, Transport Infrastructures </w:t>
      </w:r>
      <w:r w:rsidR="003F6CBA">
        <w:rPr>
          <w:rFonts w:ascii="Calibri" w:eastAsia="Calibri" w:hAnsi="Calibri" w:cs="Calibri"/>
          <w:color w:val="auto"/>
          <w:sz w:val="22"/>
          <w:szCs w:val="22"/>
        </w:rPr>
        <w:t>and Environment (CoE-EIE)</w:t>
      </w:r>
      <w:r>
        <w:rPr>
          <w:rFonts w:ascii="Calibri" w:eastAsia="Calibri" w:hAnsi="Calibri" w:cs="Calibri"/>
          <w:color w:val="auto"/>
          <w:sz w:val="22"/>
          <w:szCs w:val="22"/>
        </w:rPr>
        <w:t xml:space="preserve"> </w:t>
      </w:r>
      <w:r w:rsidRPr="002C14E7">
        <w:rPr>
          <w:rFonts w:ascii="Calibri" w:eastAsia="Calibri" w:hAnsi="Calibri" w:cs="Calibri"/>
          <w:color w:val="auto"/>
          <w:sz w:val="22"/>
          <w:szCs w:val="22"/>
        </w:rPr>
        <w:t xml:space="preserve">in Benin reside in </w:t>
      </w:r>
      <w:r w:rsidR="00150A8C">
        <w:rPr>
          <w:rFonts w:ascii="Calibri" w:eastAsia="Calibri" w:hAnsi="Calibri" w:cs="Calibri"/>
          <w:color w:val="auto"/>
          <w:sz w:val="22"/>
          <w:szCs w:val="22"/>
        </w:rPr>
        <w:t xml:space="preserve">the </w:t>
      </w:r>
      <w:r w:rsidRPr="002C14E7">
        <w:rPr>
          <w:rFonts w:ascii="Calibri" w:eastAsia="Calibri" w:hAnsi="Calibri" w:cs="Calibri"/>
          <w:color w:val="auto"/>
          <w:sz w:val="22"/>
          <w:szCs w:val="22"/>
        </w:rPr>
        <w:t>public university of Abomey-Calavi. The public procurement system of the University of Abomey-Calavi is governed by the procurement Law No. 2017-04 of October 19, 2017 and the application decrees. The procurement institutional arrangement</w:t>
      </w:r>
      <w:r w:rsidR="00A62E79">
        <w:rPr>
          <w:rFonts w:ascii="Calibri" w:eastAsia="Calibri" w:hAnsi="Calibri" w:cs="Calibri"/>
          <w:color w:val="auto"/>
          <w:sz w:val="22"/>
          <w:szCs w:val="22"/>
        </w:rPr>
        <w:t>s</w:t>
      </w:r>
      <w:r w:rsidRPr="002C14E7">
        <w:rPr>
          <w:rFonts w:ascii="Calibri" w:eastAsia="Calibri" w:hAnsi="Calibri" w:cs="Calibri"/>
          <w:color w:val="auto"/>
          <w:sz w:val="22"/>
          <w:szCs w:val="22"/>
        </w:rPr>
        <w:t xml:space="preserve"> required by the national procurement code are formally established under the rector of the University of Abomey-Calavi with staff having relatively good procurement experience. The documents (</w:t>
      </w:r>
      <w:r w:rsidR="00130840" w:rsidRPr="00EF56C1">
        <w:rPr>
          <w:rFonts w:ascii="Calibri" w:eastAsia="Calibri" w:hAnsi="Calibri" w:cs="Calibri"/>
          <w:color w:val="auto"/>
          <w:sz w:val="22"/>
          <w:szCs w:val="22"/>
        </w:rPr>
        <w:t>Bidding Documents (BD)</w:t>
      </w:r>
      <w:r w:rsidR="00130840" w:rsidRPr="002C14E7">
        <w:rPr>
          <w:rFonts w:ascii="Calibri" w:eastAsia="Calibri" w:hAnsi="Calibri" w:cs="Calibri"/>
          <w:color w:val="auto"/>
          <w:sz w:val="22"/>
          <w:szCs w:val="22"/>
        </w:rPr>
        <w:t xml:space="preserve">, </w:t>
      </w:r>
      <w:r w:rsidR="00130840" w:rsidRPr="00EF56C1">
        <w:rPr>
          <w:rFonts w:ascii="Calibri" w:eastAsia="Calibri" w:hAnsi="Calibri" w:cs="Calibri"/>
          <w:color w:val="auto"/>
          <w:sz w:val="22"/>
          <w:szCs w:val="22"/>
        </w:rPr>
        <w:t>Request for Proposals (</w:t>
      </w:r>
      <w:r w:rsidR="00130840" w:rsidRPr="002C14E7">
        <w:rPr>
          <w:rFonts w:ascii="Calibri" w:eastAsia="Calibri" w:hAnsi="Calibri" w:cs="Calibri"/>
          <w:color w:val="auto"/>
          <w:sz w:val="22"/>
          <w:szCs w:val="22"/>
        </w:rPr>
        <w:t>RfP</w:t>
      </w:r>
      <w:r w:rsidR="00130840">
        <w:rPr>
          <w:rFonts w:ascii="Calibri" w:eastAsia="Calibri" w:hAnsi="Calibri" w:cs="Calibri"/>
          <w:color w:val="auto"/>
          <w:sz w:val="22"/>
          <w:szCs w:val="22"/>
        </w:rPr>
        <w:t>)</w:t>
      </w:r>
      <w:r w:rsidR="00130840" w:rsidRPr="002C14E7">
        <w:rPr>
          <w:rFonts w:ascii="Calibri" w:eastAsia="Calibri" w:hAnsi="Calibri" w:cs="Calibri"/>
          <w:color w:val="auto"/>
          <w:sz w:val="22"/>
          <w:szCs w:val="22"/>
        </w:rPr>
        <w:t xml:space="preserve">, </w:t>
      </w:r>
      <w:r w:rsidR="00130840" w:rsidRPr="00EF56C1">
        <w:rPr>
          <w:rFonts w:ascii="Calibri" w:eastAsia="Calibri" w:hAnsi="Calibri" w:cs="Calibri"/>
          <w:color w:val="auto"/>
          <w:sz w:val="22"/>
          <w:szCs w:val="22"/>
        </w:rPr>
        <w:t>Bid Evaluation Report (</w:t>
      </w:r>
      <w:r w:rsidRPr="002C14E7">
        <w:rPr>
          <w:rFonts w:ascii="Calibri" w:eastAsia="Calibri" w:hAnsi="Calibri" w:cs="Calibri"/>
          <w:color w:val="auto"/>
          <w:sz w:val="22"/>
          <w:szCs w:val="22"/>
        </w:rPr>
        <w:t>BER) elaborated by each center will be submitted to the person in charge of procurement (Personne Responsable des Marchés Publics) to request the decision of the procurement control commission of the University of Abomey-Calavi or the National Procurement Control Directorate (</w:t>
      </w:r>
      <w:r w:rsidRPr="000C46A6">
        <w:rPr>
          <w:rFonts w:ascii="Calibri" w:eastAsia="Calibri" w:hAnsi="Calibri" w:cs="Calibri"/>
          <w:i/>
          <w:color w:val="auto"/>
          <w:sz w:val="22"/>
          <w:szCs w:val="22"/>
        </w:rPr>
        <w:t>Direction Nationale de Controle des Marchés Publics</w:t>
      </w:r>
      <w:r w:rsidR="00A62E79">
        <w:rPr>
          <w:rFonts w:ascii="Calibri" w:eastAsia="Calibri" w:hAnsi="Calibri" w:cs="Calibri"/>
          <w:color w:val="auto"/>
          <w:sz w:val="22"/>
          <w:szCs w:val="22"/>
        </w:rPr>
        <w:t>)</w:t>
      </w:r>
      <w:r w:rsidRPr="002C14E7">
        <w:rPr>
          <w:rFonts w:ascii="Calibri" w:eastAsia="Calibri" w:hAnsi="Calibri" w:cs="Calibri"/>
          <w:color w:val="auto"/>
          <w:sz w:val="22"/>
          <w:szCs w:val="22"/>
        </w:rPr>
        <w:t xml:space="preserve"> under the </w:t>
      </w:r>
      <w:r w:rsidR="00E854BC">
        <w:rPr>
          <w:rFonts w:ascii="Calibri" w:eastAsia="Calibri" w:hAnsi="Calibri" w:cs="Calibri"/>
          <w:color w:val="auto"/>
          <w:sz w:val="22"/>
          <w:szCs w:val="22"/>
        </w:rPr>
        <w:t>MoF</w:t>
      </w:r>
      <w:r w:rsidRPr="002C14E7">
        <w:rPr>
          <w:rFonts w:ascii="Calibri" w:eastAsia="Calibri" w:hAnsi="Calibri" w:cs="Calibri"/>
          <w:color w:val="auto"/>
          <w:sz w:val="22"/>
          <w:szCs w:val="22"/>
        </w:rPr>
        <w:t xml:space="preserve"> depending of the competency of the procurement control threshold. The person in charge of procurement (</w:t>
      </w:r>
      <w:r w:rsidRPr="000C46A6">
        <w:rPr>
          <w:rFonts w:ascii="Calibri" w:eastAsia="Calibri" w:hAnsi="Calibri" w:cs="Calibri"/>
          <w:i/>
          <w:color w:val="auto"/>
          <w:sz w:val="22"/>
          <w:szCs w:val="22"/>
        </w:rPr>
        <w:t>Personne Responsible des Marchés Publics</w:t>
      </w:r>
      <w:r w:rsidRPr="002C14E7">
        <w:rPr>
          <w:rFonts w:ascii="Calibri" w:eastAsia="Calibri" w:hAnsi="Calibri" w:cs="Calibri"/>
          <w:color w:val="auto"/>
          <w:sz w:val="22"/>
          <w:szCs w:val="22"/>
        </w:rPr>
        <w:t>) has been nominated in the University according to the procurement law. The procurement control commission with his chief has been established with five members.</w:t>
      </w:r>
    </w:p>
    <w:p w14:paraId="1A6ABE69" w14:textId="77777777" w:rsidR="00DC6459" w:rsidRPr="00481727"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481727">
        <w:rPr>
          <w:rFonts w:ascii="Calibri" w:eastAsia="Calibri" w:hAnsi="Calibri" w:cs="Calibri"/>
          <w:color w:val="auto"/>
          <w:sz w:val="22"/>
          <w:szCs w:val="22"/>
        </w:rPr>
        <w:t>The main risks identified for the University of Abomey-Calavi in Benin are: (i) no experience in applying PR), and STEP; and (ii) lack of staff that are solely dedicated to the center’s project procurement activities</w:t>
      </w:r>
      <w:r w:rsidR="00F70DBD" w:rsidRPr="00481727">
        <w:rPr>
          <w:rFonts w:ascii="Calibri" w:eastAsia="Calibri" w:hAnsi="Calibri" w:cs="Calibri"/>
          <w:color w:val="auto"/>
          <w:sz w:val="22"/>
          <w:szCs w:val="22"/>
        </w:rPr>
        <w:t>.</w:t>
      </w:r>
      <w:r w:rsidRPr="00481727">
        <w:rPr>
          <w:rFonts w:ascii="Calibri" w:eastAsia="Calibri" w:hAnsi="Calibri" w:cs="Calibri"/>
          <w:color w:val="auto"/>
          <w:sz w:val="22"/>
          <w:szCs w:val="22"/>
        </w:rPr>
        <w:t xml:space="preserve"> To mitigate </w:t>
      </w:r>
      <w:r w:rsidR="00A62E79" w:rsidRPr="00481727">
        <w:rPr>
          <w:rFonts w:ascii="Calibri" w:eastAsia="Calibri" w:hAnsi="Calibri" w:cs="Calibri"/>
          <w:color w:val="auto"/>
          <w:sz w:val="22"/>
          <w:szCs w:val="22"/>
        </w:rPr>
        <w:t xml:space="preserve">against </w:t>
      </w:r>
      <w:r w:rsidRPr="00481727">
        <w:rPr>
          <w:rFonts w:ascii="Calibri" w:eastAsia="Calibri" w:hAnsi="Calibri" w:cs="Calibri"/>
          <w:color w:val="auto"/>
          <w:sz w:val="22"/>
          <w:szCs w:val="22"/>
        </w:rPr>
        <w:t>the</w:t>
      </w:r>
      <w:r w:rsidR="00A62E79" w:rsidRPr="00481727">
        <w:rPr>
          <w:rFonts w:ascii="Calibri" w:eastAsia="Calibri" w:hAnsi="Calibri" w:cs="Calibri"/>
          <w:color w:val="auto"/>
          <w:sz w:val="22"/>
          <w:szCs w:val="22"/>
        </w:rPr>
        <w:t>se</w:t>
      </w:r>
      <w:r w:rsidRPr="00481727">
        <w:rPr>
          <w:rFonts w:ascii="Calibri" w:eastAsia="Calibri" w:hAnsi="Calibri" w:cs="Calibri"/>
          <w:color w:val="auto"/>
          <w:sz w:val="22"/>
          <w:szCs w:val="22"/>
        </w:rPr>
        <w:t xml:space="preserve"> risk</w:t>
      </w:r>
      <w:r w:rsidR="00A62E79" w:rsidRPr="00481727">
        <w:rPr>
          <w:rFonts w:ascii="Calibri" w:eastAsia="Calibri" w:hAnsi="Calibri" w:cs="Calibri"/>
          <w:color w:val="auto"/>
          <w:sz w:val="22"/>
          <w:szCs w:val="22"/>
        </w:rPr>
        <w:t>s</w:t>
      </w:r>
      <w:r w:rsidRPr="00481727">
        <w:rPr>
          <w:rFonts w:ascii="Calibri" w:eastAsia="Calibri" w:hAnsi="Calibri" w:cs="Calibri"/>
          <w:color w:val="auto"/>
          <w:sz w:val="22"/>
          <w:szCs w:val="22"/>
        </w:rPr>
        <w:t xml:space="preserve">: (i) the university agreed to competitively hire one procurement specialist who will handle </w:t>
      </w:r>
      <w:r w:rsidRPr="0035552A">
        <w:rPr>
          <w:rFonts w:ascii="Calibri" w:eastAsia="Calibri" w:hAnsi="Calibri" w:cs="Calibri"/>
          <w:color w:val="auto"/>
          <w:sz w:val="22"/>
          <w:szCs w:val="22"/>
        </w:rPr>
        <w:t>procurement activities for the 2 centers</w:t>
      </w:r>
      <w:r w:rsidR="0052650B" w:rsidRPr="00895B21">
        <w:rPr>
          <w:rFonts w:ascii="Calibri" w:eastAsia="Calibri" w:hAnsi="Calibri" w:cs="Calibri"/>
          <w:color w:val="auto"/>
          <w:sz w:val="22"/>
          <w:szCs w:val="22"/>
        </w:rPr>
        <w:t xml:space="preserve"> and the Co</w:t>
      </w:r>
      <w:r w:rsidR="00DC7201" w:rsidRPr="00D5105F">
        <w:rPr>
          <w:rFonts w:ascii="Calibri" w:eastAsia="Calibri" w:hAnsi="Calibri" w:cs="Calibri"/>
          <w:color w:val="auto"/>
          <w:sz w:val="22"/>
          <w:szCs w:val="22"/>
        </w:rPr>
        <w:t>llege of Engineering</w:t>
      </w:r>
      <w:r w:rsidRPr="005A78D1">
        <w:rPr>
          <w:rFonts w:ascii="Calibri" w:eastAsia="Calibri" w:hAnsi="Calibri" w:cs="Calibri"/>
          <w:color w:val="auto"/>
          <w:sz w:val="22"/>
          <w:szCs w:val="22"/>
        </w:rPr>
        <w:t>; (ii) the Wor</w:t>
      </w:r>
      <w:r w:rsidRPr="00481727">
        <w:rPr>
          <w:rFonts w:ascii="Calibri" w:eastAsia="Calibri" w:hAnsi="Calibri" w:cs="Calibri"/>
          <w:color w:val="auto"/>
          <w:sz w:val="22"/>
          <w:szCs w:val="22"/>
        </w:rPr>
        <w:t xml:space="preserve">ld Bank will offer training for all procurement entities at the university, including the person in charge of procurement, on PR and STEP after project effectiveness, where needed; </w:t>
      </w:r>
      <w:r w:rsidR="00A62E79" w:rsidRPr="00481727">
        <w:rPr>
          <w:rFonts w:ascii="Calibri" w:eastAsia="Calibri" w:hAnsi="Calibri" w:cs="Calibri"/>
          <w:color w:val="auto"/>
          <w:sz w:val="22"/>
          <w:szCs w:val="22"/>
        </w:rPr>
        <w:t xml:space="preserve">and </w:t>
      </w:r>
      <w:r w:rsidRPr="00481727">
        <w:rPr>
          <w:rFonts w:ascii="Calibri" w:eastAsia="Calibri" w:hAnsi="Calibri" w:cs="Calibri"/>
          <w:color w:val="auto"/>
          <w:sz w:val="22"/>
          <w:szCs w:val="22"/>
        </w:rPr>
        <w:t xml:space="preserve">(iii) </w:t>
      </w:r>
      <w:r w:rsidR="00481727" w:rsidRPr="00481727">
        <w:rPr>
          <w:rFonts w:ascii="Calibri" w:eastAsia="Calibri" w:hAnsi="Calibri" w:cs="Calibri"/>
          <w:color w:val="auto"/>
          <w:sz w:val="22"/>
          <w:szCs w:val="22"/>
        </w:rPr>
        <w:t>the centers and university of Abomey-Calavi</w:t>
      </w:r>
      <w:r w:rsidR="00481727">
        <w:rPr>
          <w:rFonts w:ascii="Calibri" w:eastAsia="Calibri" w:hAnsi="Calibri" w:cs="Calibri"/>
          <w:color w:val="auto"/>
          <w:sz w:val="22"/>
          <w:szCs w:val="22"/>
        </w:rPr>
        <w:t xml:space="preserve"> will</w:t>
      </w:r>
      <w:r w:rsidR="00481727" w:rsidRPr="00481727">
        <w:rPr>
          <w:rFonts w:ascii="Calibri" w:eastAsia="Calibri" w:hAnsi="Calibri" w:cs="Calibri"/>
          <w:color w:val="auto"/>
          <w:sz w:val="22"/>
          <w:szCs w:val="22"/>
        </w:rPr>
        <w:t xml:space="preserve"> </w:t>
      </w:r>
      <w:r w:rsidRPr="00481727">
        <w:rPr>
          <w:rFonts w:ascii="Calibri" w:eastAsia="Calibri" w:hAnsi="Calibri" w:cs="Calibri"/>
          <w:color w:val="auto"/>
          <w:sz w:val="22"/>
          <w:szCs w:val="22"/>
        </w:rPr>
        <w:t>update the</w:t>
      </w:r>
      <w:r w:rsidR="00481727">
        <w:rPr>
          <w:rFonts w:ascii="Calibri" w:eastAsia="Calibri" w:hAnsi="Calibri" w:cs="Calibri"/>
          <w:color w:val="auto"/>
          <w:sz w:val="22"/>
          <w:szCs w:val="22"/>
        </w:rPr>
        <w:t>ir</w:t>
      </w:r>
      <w:r w:rsidRPr="00481727">
        <w:rPr>
          <w:rFonts w:ascii="Calibri" w:eastAsia="Calibri" w:hAnsi="Calibri" w:cs="Calibri"/>
          <w:color w:val="auto"/>
          <w:sz w:val="22"/>
          <w:szCs w:val="22"/>
        </w:rPr>
        <w:t xml:space="preserve"> procurement manual</w:t>
      </w:r>
      <w:r w:rsidR="00481727">
        <w:rPr>
          <w:rFonts w:ascii="Calibri" w:eastAsia="Calibri" w:hAnsi="Calibri" w:cs="Calibri"/>
          <w:color w:val="auto"/>
          <w:sz w:val="22"/>
          <w:szCs w:val="22"/>
        </w:rPr>
        <w:t>s</w:t>
      </w:r>
      <w:r w:rsidRPr="00481727">
        <w:rPr>
          <w:rFonts w:ascii="Calibri" w:eastAsia="Calibri" w:hAnsi="Calibri" w:cs="Calibri"/>
          <w:color w:val="auto"/>
          <w:sz w:val="22"/>
          <w:szCs w:val="22"/>
        </w:rPr>
        <w:t xml:space="preserve"> </w:t>
      </w:r>
    </w:p>
    <w:p w14:paraId="0C1777B9" w14:textId="77777777" w:rsidR="00DC6459"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b/>
          <w:color w:val="auto"/>
          <w:sz w:val="22"/>
          <w:szCs w:val="22"/>
        </w:rPr>
        <w:t>Togo ACE Impact Centers</w:t>
      </w:r>
      <w:r w:rsidRPr="003D08FC">
        <w:rPr>
          <w:rFonts w:ascii="Calibri" w:eastAsia="Calibri" w:hAnsi="Calibri" w:cs="Calibri"/>
          <w:color w:val="auto"/>
          <w:sz w:val="22"/>
          <w:szCs w:val="22"/>
        </w:rPr>
        <w:t xml:space="preserve">:  The procurement assessment indicates a risk rating </w:t>
      </w:r>
      <w:r w:rsidR="00F70DBD">
        <w:rPr>
          <w:rFonts w:ascii="Calibri" w:eastAsia="Calibri" w:hAnsi="Calibri" w:cs="Calibri"/>
          <w:color w:val="auto"/>
          <w:sz w:val="22"/>
          <w:szCs w:val="22"/>
        </w:rPr>
        <w:t>of</w:t>
      </w:r>
      <w:r w:rsidRPr="003D08FC">
        <w:rPr>
          <w:rFonts w:ascii="Calibri" w:eastAsia="Calibri" w:hAnsi="Calibri" w:cs="Calibri"/>
          <w:color w:val="auto"/>
          <w:sz w:val="22"/>
          <w:szCs w:val="22"/>
        </w:rPr>
        <w:t xml:space="preserve"> </w:t>
      </w:r>
      <w:r w:rsidR="00F70DBD">
        <w:rPr>
          <w:rFonts w:ascii="Calibri" w:eastAsia="Calibri" w:hAnsi="Calibri" w:cs="Calibri"/>
          <w:color w:val="auto"/>
          <w:sz w:val="22"/>
          <w:szCs w:val="22"/>
        </w:rPr>
        <w:t>H</w:t>
      </w:r>
      <w:r w:rsidRPr="003D08FC">
        <w:rPr>
          <w:rFonts w:ascii="Calibri" w:eastAsia="Calibri" w:hAnsi="Calibri" w:cs="Calibri"/>
          <w:color w:val="auto"/>
          <w:sz w:val="22"/>
          <w:szCs w:val="22"/>
        </w:rPr>
        <w:t xml:space="preserve">igh. The centers in the current financing comprise one ACE I center CERSA and two </w:t>
      </w:r>
      <w:r w:rsidR="000B5077">
        <w:rPr>
          <w:rFonts w:ascii="Calibri" w:eastAsia="Calibri" w:hAnsi="Calibri" w:cs="Calibri"/>
          <w:color w:val="auto"/>
          <w:sz w:val="22"/>
          <w:szCs w:val="22"/>
        </w:rPr>
        <w:t>N</w:t>
      </w:r>
      <w:r w:rsidRPr="003D08FC">
        <w:rPr>
          <w:rFonts w:ascii="Calibri" w:eastAsia="Calibri" w:hAnsi="Calibri" w:cs="Calibri"/>
          <w:color w:val="auto"/>
          <w:sz w:val="22"/>
          <w:szCs w:val="22"/>
        </w:rPr>
        <w:t xml:space="preserve">ew ACE centers (CERME and DOUNEDON). The selected centers in Togo reside in the public </w:t>
      </w:r>
      <w:r w:rsidR="00423ED0">
        <w:rPr>
          <w:rFonts w:ascii="Calibri" w:eastAsia="Calibri" w:hAnsi="Calibri" w:cs="Calibri"/>
          <w:color w:val="auto"/>
          <w:sz w:val="22"/>
          <w:szCs w:val="22"/>
        </w:rPr>
        <w:t>UL</w:t>
      </w:r>
      <w:r w:rsidRPr="003D08FC">
        <w:rPr>
          <w:rFonts w:ascii="Calibri" w:eastAsia="Calibri" w:hAnsi="Calibri" w:cs="Calibri"/>
          <w:color w:val="auto"/>
          <w:sz w:val="22"/>
          <w:szCs w:val="22"/>
        </w:rPr>
        <w:t xml:space="preserve">. The public procurement system of the </w:t>
      </w:r>
      <w:r w:rsidR="00423ED0">
        <w:rPr>
          <w:rFonts w:ascii="Calibri" w:eastAsia="Calibri" w:hAnsi="Calibri" w:cs="Calibri"/>
          <w:color w:val="auto"/>
          <w:sz w:val="22"/>
          <w:szCs w:val="22"/>
        </w:rPr>
        <w:t>UL</w:t>
      </w:r>
      <w:r w:rsidRPr="003D08FC">
        <w:rPr>
          <w:rFonts w:ascii="Calibri" w:eastAsia="Calibri" w:hAnsi="Calibri" w:cs="Calibri"/>
          <w:color w:val="auto"/>
          <w:sz w:val="22"/>
          <w:szCs w:val="22"/>
        </w:rPr>
        <w:t xml:space="preserve"> is governed by Law No. 2009-013 of June 30, 2009, on public Procurement and Public Service Delegations and by Decree No. 2009-277 of November 11, 2009, containing the code of public contracts and delegations of public service. The </w:t>
      </w:r>
      <w:r w:rsidR="00423ED0">
        <w:rPr>
          <w:rFonts w:ascii="Calibri" w:eastAsia="Calibri" w:hAnsi="Calibri" w:cs="Calibri"/>
          <w:color w:val="auto"/>
          <w:sz w:val="22"/>
          <w:szCs w:val="22"/>
        </w:rPr>
        <w:t>UL</w:t>
      </w:r>
      <w:r w:rsidRPr="003D08FC">
        <w:rPr>
          <w:rFonts w:ascii="Calibri" w:eastAsia="Calibri" w:hAnsi="Calibri" w:cs="Calibri"/>
          <w:color w:val="auto"/>
          <w:sz w:val="22"/>
          <w:szCs w:val="22"/>
        </w:rPr>
        <w:t xml:space="preserve"> has also established a Public Market Control Commission (</w:t>
      </w:r>
      <w:r w:rsidRPr="000C46A6">
        <w:rPr>
          <w:rFonts w:ascii="Calibri" w:eastAsia="Calibri" w:hAnsi="Calibri" w:cs="Calibri"/>
          <w:i/>
          <w:color w:val="auto"/>
          <w:sz w:val="22"/>
          <w:szCs w:val="22"/>
        </w:rPr>
        <w:t>Commission de contrôle des marchés publics</w:t>
      </w:r>
      <w:r w:rsidRPr="003D08FC">
        <w:rPr>
          <w:rFonts w:ascii="Calibri" w:eastAsia="Calibri" w:hAnsi="Calibri" w:cs="Calibri"/>
          <w:color w:val="auto"/>
          <w:sz w:val="22"/>
          <w:szCs w:val="22"/>
        </w:rPr>
        <w:t>, CCMP) and a Public Procurement Control Commission (</w:t>
      </w:r>
      <w:r w:rsidRPr="000C46A6">
        <w:rPr>
          <w:rFonts w:ascii="Calibri" w:eastAsia="Calibri" w:hAnsi="Calibri" w:cs="Calibri"/>
          <w:i/>
          <w:color w:val="auto"/>
          <w:sz w:val="22"/>
          <w:szCs w:val="22"/>
        </w:rPr>
        <w:t>Commission de la passation des marchés publics</w:t>
      </w:r>
      <w:r w:rsidRPr="003D08FC">
        <w:rPr>
          <w:rFonts w:ascii="Calibri" w:eastAsia="Calibri" w:hAnsi="Calibri" w:cs="Calibri"/>
          <w:color w:val="auto"/>
          <w:sz w:val="22"/>
          <w:szCs w:val="22"/>
        </w:rPr>
        <w:t>, CPMP), each consisting of five members. The CPMP is chaired by the chief public procurement officer (</w:t>
      </w:r>
      <w:r w:rsidRPr="000C46A6">
        <w:rPr>
          <w:rFonts w:ascii="Calibri" w:eastAsia="Calibri" w:hAnsi="Calibri" w:cs="Calibri"/>
          <w:i/>
          <w:color w:val="auto"/>
          <w:sz w:val="22"/>
          <w:szCs w:val="22"/>
        </w:rPr>
        <w:t>Personne responsable des marchés publics,</w:t>
      </w:r>
      <w:r w:rsidRPr="003D08FC">
        <w:rPr>
          <w:rFonts w:ascii="Calibri" w:eastAsia="Calibri" w:hAnsi="Calibri" w:cs="Calibri"/>
          <w:color w:val="auto"/>
          <w:sz w:val="22"/>
          <w:szCs w:val="22"/>
        </w:rPr>
        <w:t xml:space="preserve"> PRMP). The procurement bidding documents have to be elaborated by each center of the project and will be submitted to the PRMP at the </w:t>
      </w:r>
      <w:r w:rsidR="00423ED0">
        <w:rPr>
          <w:rFonts w:ascii="Calibri" w:eastAsia="Calibri" w:hAnsi="Calibri" w:cs="Calibri"/>
          <w:color w:val="auto"/>
          <w:sz w:val="22"/>
          <w:szCs w:val="22"/>
        </w:rPr>
        <w:t>UL</w:t>
      </w:r>
      <w:r w:rsidRPr="003D08FC">
        <w:rPr>
          <w:rFonts w:ascii="Calibri" w:eastAsia="Calibri" w:hAnsi="Calibri" w:cs="Calibri"/>
          <w:color w:val="auto"/>
          <w:sz w:val="22"/>
          <w:szCs w:val="22"/>
        </w:rPr>
        <w:t xml:space="preserve"> for the review of the CCMP, or for the decision of the National Procurement Control Directorate (</w:t>
      </w:r>
      <w:r w:rsidRPr="000C46A6">
        <w:rPr>
          <w:rFonts w:ascii="Calibri" w:eastAsia="Calibri" w:hAnsi="Calibri" w:cs="Calibri"/>
          <w:i/>
          <w:color w:val="auto"/>
          <w:sz w:val="22"/>
          <w:szCs w:val="22"/>
        </w:rPr>
        <w:t>Direction Nationale de Contrôle des Marchés Publics</w:t>
      </w:r>
      <w:r w:rsidRPr="003D08FC">
        <w:rPr>
          <w:rFonts w:ascii="Calibri" w:eastAsia="Calibri" w:hAnsi="Calibri" w:cs="Calibri"/>
          <w:color w:val="auto"/>
          <w:sz w:val="22"/>
          <w:szCs w:val="22"/>
        </w:rPr>
        <w:t xml:space="preserve">, DNCMP) under the </w:t>
      </w:r>
      <w:r w:rsidR="00E854BC">
        <w:rPr>
          <w:rFonts w:ascii="Calibri" w:eastAsia="Calibri" w:hAnsi="Calibri" w:cs="Calibri"/>
          <w:color w:val="auto"/>
          <w:sz w:val="22"/>
          <w:szCs w:val="22"/>
        </w:rPr>
        <w:t>MoF</w:t>
      </w:r>
      <w:r w:rsidRPr="003D08FC">
        <w:rPr>
          <w:rFonts w:ascii="Calibri" w:eastAsia="Calibri" w:hAnsi="Calibri" w:cs="Calibri"/>
          <w:color w:val="auto"/>
          <w:sz w:val="22"/>
          <w:szCs w:val="22"/>
        </w:rPr>
        <w:t xml:space="preserve"> depending on the procurement control threshold described in the procurement code. </w:t>
      </w:r>
    </w:p>
    <w:p w14:paraId="7B58A2CF" w14:textId="77777777" w:rsidR="00DC6459" w:rsidRPr="007A6F32"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3D08FC">
        <w:rPr>
          <w:rFonts w:ascii="Calibri" w:eastAsia="Calibri" w:hAnsi="Calibri" w:cs="Calibri"/>
          <w:color w:val="auto"/>
          <w:sz w:val="22"/>
          <w:szCs w:val="22"/>
        </w:rPr>
        <w:t xml:space="preserve">Among the three centers, only CERSA has an experience on the management of WBG projects through ACE I. However, CERSA will need to maintain a procurement specialist with acceptable </w:t>
      </w:r>
      <w:r w:rsidRPr="003D08FC">
        <w:rPr>
          <w:rFonts w:ascii="Calibri" w:eastAsia="Calibri" w:hAnsi="Calibri" w:cs="Calibri"/>
          <w:color w:val="auto"/>
          <w:sz w:val="22"/>
          <w:szCs w:val="22"/>
        </w:rPr>
        <w:lastRenderedPageBreak/>
        <w:t>qualifications as in</w:t>
      </w:r>
      <w:r w:rsidR="00A62E79">
        <w:rPr>
          <w:rFonts w:ascii="Calibri" w:eastAsia="Calibri" w:hAnsi="Calibri" w:cs="Calibri"/>
          <w:color w:val="auto"/>
          <w:sz w:val="22"/>
          <w:szCs w:val="22"/>
        </w:rPr>
        <w:t xml:space="preserve"> the</w:t>
      </w:r>
      <w:r w:rsidRPr="003D08FC">
        <w:rPr>
          <w:rFonts w:ascii="Calibri" w:eastAsia="Calibri" w:hAnsi="Calibri" w:cs="Calibri"/>
          <w:color w:val="auto"/>
          <w:sz w:val="22"/>
          <w:szCs w:val="22"/>
        </w:rPr>
        <w:t xml:space="preserve"> ACE I</w:t>
      </w:r>
      <w:r w:rsidR="00A62E79">
        <w:rPr>
          <w:rFonts w:ascii="Calibri" w:eastAsia="Calibri" w:hAnsi="Calibri" w:cs="Calibri"/>
          <w:color w:val="auto"/>
          <w:sz w:val="22"/>
          <w:szCs w:val="22"/>
        </w:rPr>
        <w:t xml:space="preserve"> Project</w:t>
      </w:r>
      <w:r w:rsidRPr="003D08FC">
        <w:rPr>
          <w:rFonts w:ascii="Calibri" w:eastAsia="Calibri" w:hAnsi="Calibri" w:cs="Calibri"/>
          <w:color w:val="auto"/>
          <w:sz w:val="22"/>
          <w:szCs w:val="22"/>
        </w:rPr>
        <w:t>. It will also need to update its implementation manual to improve its contents on contract management, given long delay</w:t>
      </w:r>
      <w:r w:rsidR="00F70DBD">
        <w:rPr>
          <w:rFonts w:ascii="Calibri" w:eastAsia="Calibri" w:hAnsi="Calibri" w:cs="Calibri"/>
          <w:color w:val="auto"/>
          <w:sz w:val="22"/>
          <w:szCs w:val="22"/>
        </w:rPr>
        <w:t>s</w:t>
      </w:r>
      <w:r w:rsidRPr="003D08FC">
        <w:rPr>
          <w:rFonts w:ascii="Calibri" w:eastAsia="Calibri" w:hAnsi="Calibri" w:cs="Calibri"/>
          <w:color w:val="auto"/>
          <w:sz w:val="22"/>
          <w:szCs w:val="22"/>
        </w:rPr>
        <w:t xml:space="preserve"> observed on major good</w:t>
      </w:r>
      <w:r w:rsidR="00F70DBD">
        <w:rPr>
          <w:rFonts w:ascii="Calibri" w:eastAsia="Calibri" w:hAnsi="Calibri" w:cs="Calibri"/>
          <w:color w:val="auto"/>
          <w:sz w:val="22"/>
          <w:szCs w:val="22"/>
        </w:rPr>
        <w:t>s</w:t>
      </w:r>
      <w:r w:rsidRPr="003D08FC">
        <w:rPr>
          <w:rFonts w:ascii="Calibri" w:eastAsia="Calibri" w:hAnsi="Calibri" w:cs="Calibri"/>
          <w:color w:val="auto"/>
          <w:sz w:val="22"/>
          <w:szCs w:val="22"/>
        </w:rPr>
        <w:t xml:space="preserve"> and works contracts during the implementation of ACE I. The mains risks identified for the </w:t>
      </w:r>
      <w:r w:rsidR="00FA3436">
        <w:rPr>
          <w:rFonts w:ascii="Calibri" w:eastAsia="Calibri" w:hAnsi="Calibri" w:cs="Calibri"/>
          <w:color w:val="auto"/>
          <w:sz w:val="22"/>
          <w:szCs w:val="22"/>
        </w:rPr>
        <w:t>two</w:t>
      </w:r>
      <w:r w:rsidRPr="003D08FC">
        <w:rPr>
          <w:rFonts w:ascii="Calibri" w:eastAsia="Calibri" w:hAnsi="Calibri" w:cs="Calibri"/>
          <w:color w:val="auto"/>
          <w:sz w:val="22"/>
          <w:szCs w:val="22"/>
        </w:rPr>
        <w:t xml:space="preserve"> </w:t>
      </w:r>
      <w:r w:rsidR="000B5077">
        <w:rPr>
          <w:rFonts w:ascii="Calibri" w:eastAsia="Calibri" w:hAnsi="Calibri" w:cs="Calibri"/>
          <w:color w:val="auto"/>
          <w:sz w:val="22"/>
          <w:szCs w:val="22"/>
        </w:rPr>
        <w:t>N</w:t>
      </w:r>
      <w:r w:rsidRPr="003D08FC">
        <w:rPr>
          <w:rFonts w:ascii="Calibri" w:eastAsia="Calibri" w:hAnsi="Calibri" w:cs="Calibri"/>
          <w:color w:val="auto"/>
          <w:sz w:val="22"/>
          <w:szCs w:val="22"/>
        </w:rPr>
        <w:t xml:space="preserve">ew centers are: (i) lack of experience </w:t>
      </w:r>
      <w:r w:rsidR="001674E4">
        <w:rPr>
          <w:rFonts w:ascii="Calibri" w:eastAsia="Calibri" w:hAnsi="Calibri" w:cs="Calibri"/>
          <w:color w:val="auto"/>
          <w:sz w:val="22"/>
          <w:szCs w:val="22"/>
        </w:rPr>
        <w:t>i</w:t>
      </w:r>
      <w:r w:rsidRPr="003D08FC">
        <w:rPr>
          <w:rFonts w:ascii="Calibri" w:eastAsia="Calibri" w:hAnsi="Calibri" w:cs="Calibri"/>
          <w:color w:val="auto"/>
          <w:sz w:val="22"/>
          <w:szCs w:val="22"/>
        </w:rPr>
        <w:t>n the management of WBG project</w:t>
      </w:r>
      <w:r w:rsidR="00FA3436">
        <w:rPr>
          <w:rFonts w:ascii="Calibri" w:eastAsia="Calibri" w:hAnsi="Calibri" w:cs="Calibri"/>
          <w:color w:val="auto"/>
          <w:sz w:val="22"/>
          <w:szCs w:val="22"/>
        </w:rPr>
        <w:t>;</w:t>
      </w:r>
      <w:r w:rsidRPr="003D08FC">
        <w:rPr>
          <w:rFonts w:ascii="Calibri" w:eastAsia="Calibri" w:hAnsi="Calibri" w:cs="Calibri"/>
          <w:color w:val="auto"/>
          <w:sz w:val="22"/>
          <w:szCs w:val="22"/>
        </w:rPr>
        <w:t xml:space="preserve"> and (ii) lack of staff with an acceptable knowledge of procurement in regard to the center’s procurement-related activities including the elaboration of bidding documents. To mitigate </w:t>
      </w:r>
      <w:r w:rsidR="00FA3436">
        <w:rPr>
          <w:rFonts w:ascii="Calibri" w:eastAsia="Calibri" w:hAnsi="Calibri" w:cs="Calibri"/>
          <w:color w:val="auto"/>
          <w:sz w:val="22"/>
          <w:szCs w:val="22"/>
        </w:rPr>
        <w:t xml:space="preserve">against </w:t>
      </w:r>
      <w:r w:rsidRPr="003D08FC">
        <w:rPr>
          <w:rFonts w:ascii="Calibri" w:eastAsia="Calibri" w:hAnsi="Calibri" w:cs="Calibri"/>
          <w:color w:val="auto"/>
          <w:sz w:val="22"/>
          <w:szCs w:val="22"/>
        </w:rPr>
        <w:t xml:space="preserve">this risk, each of the two </w:t>
      </w:r>
      <w:r w:rsidR="000B5077">
        <w:rPr>
          <w:rFonts w:ascii="Calibri" w:eastAsia="Calibri" w:hAnsi="Calibri" w:cs="Calibri"/>
          <w:color w:val="auto"/>
          <w:sz w:val="22"/>
          <w:szCs w:val="22"/>
        </w:rPr>
        <w:t>N</w:t>
      </w:r>
      <w:r w:rsidRPr="003D08FC">
        <w:rPr>
          <w:rFonts w:ascii="Calibri" w:eastAsia="Calibri" w:hAnsi="Calibri" w:cs="Calibri"/>
          <w:color w:val="auto"/>
          <w:sz w:val="22"/>
          <w:szCs w:val="22"/>
        </w:rPr>
        <w:t xml:space="preserve">ew centers must: </w:t>
      </w:r>
      <w:r w:rsidR="00F70DBD">
        <w:rPr>
          <w:rFonts w:ascii="Calibri" w:eastAsia="Calibri" w:hAnsi="Calibri" w:cs="Calibri"/>
          <w:color w:val="auto"/>
          <w:sz w:val="22"/>
          <w:szCs w:val="22"/>
        </w:rPr>
        <w:t xml:space="preserve">(i) </w:t>
      </w:r>
      <w:r w:rsidRPr="003D08FC">
        <w:rPr>
          <w:rFonts w:ascii="Calibri" w:eastAsia="Calibri" w:hAnsi="Calibri" w:cs="Calibri"/>
          <w:color w:val="auto"/>
          <w:sz w:val="22"/>
          <w:szCs w:val="22"/>
        </w:rPr>
        <w:t xml:space="preserve">delegate or hire a dedicated procurement staff with an acceptable qualification to handle procurement activities, </w:t>
      </w:r>
      <w:r w:rsidR="00F70DBD">
        <w:rPr>
          <w:rFonts w:ascii="Calibri" w:eastAsia="Calibri" w:hAnsi="Calibri" w:cs="Calibri"/>
          <w:color w:val="auto"/>
          <w:sz w:val="22"/>
          <w:szCs w:val="22"/>
        </w:rPr>
        <w:t xml:space="preserve">and </w:t>
      </w:r>
      <w:r w:rsidRPr="003D08FC">
        <w:rPr>
          <w:rFonts w:ascii="Calibri" w:eastAsia="Calibri" w:hAnsi="Calibri" w:cs="Calibri"/>
          <w:color w:val="auto"/>
          <w:sz w:val="22"/>
          <w:szCs w:val="22"/>
        </w:rPr>
        <w:t xml:space="preserve">(ii) elaborate an acceptable procurement manual or build on an updated manual of CERSA, including a section on contract management given that each </w:t>
      </w:r>
      <w:r w:rsidR="000B5077">
        <w:rPr>
          <w:rFonts w:ascii="Calibri" w:eastAsia="Calibri" w:hAnsi="Calibri" w:cs="Calibri"/>
          <w:color w:val="auto"/>
          <w:sz w:val="22"/>
          <w:szCs w:val="22"/>
        </w:rPr>
        <w:t>N</w:t>
      </w:r>
      <w:r w:rsidRPr="003D08FC">
        <w:rPr>
          <w:rFonts w:ascii="Calibri" w:eastAsia="Calibri" w:hAnsi="Calibri" w:cs="Calibri"/>
          <w:color w:val="auto"/>
          <w:sz w:val="22"/>
          <w:szCs w:val="22"/>
        </w:rPr>
        <w:t xml:space="preserve">ew ACE center is planning to construct a building. At the beginning or during the lifetime of the </w:t>
      </w:r>
      <w:r w:rsidR="003A784F">
        <w:rPr>
          <w:rFonts w:ascii="Calibri" w:eastAsia="Calibri" w:hAnsi="Calibri" w:cs="Calibri"/>
          <w:color w:val="auto"/>
          <w:sz w:val="22"/>
          <w:szCs w:val="22"/>
        </w:rPr>
        <w:t>proposed Second ACE Impact</w:t>
      </w:r>
      <w:r w:rsidRPr="003D08FC">
        <w:rPr>
          <w:rFonts w:ascii="Calibri" w:eastAsia="Calibri" w:hAnsi="Calibri" w:cs="Calibri"/>
          <w:color w:val="auto"/>
          <w:sz w:val="22"/>
          <w:szCs w:val="22"/>
        </w:rPr>
        <w:t xml:space="preserve"> project, the two </w:t>
      </w:r>
      <w:r w:rsidR="000B5077">
        <w:rPr>
          <w:rFonts w:ascii="Calibri" w:eastAsia="Calibri" w:hAnsi="Calibri" w:cs="Calibri"/>
          <w:color w:val="auto"/>
          <w:sz w:val="22"/>
          <w:szCs w:val="22"/>
        </w:rPr>
        <w:t>N</w:t>
      </w:r>
      <w:r w:rsidRPr="003D08FC">
        <w:rPr>
          <w:rFonts w:ascii="Calibri" w:eastAsia="Calibri" w:hAnsi="Calibri" w:cs="Calibri"/>
          <w:color w:val="auto"/>
          <w:sz w:val="22"/>
          <w:szCs w:val="22"/>
        </w:rPr>
        <w:t>ew centers could benefit from a hands-on support of CERSA.</w:t>
      </w:r>
    </w:p>
    <w:p w14:paraId="126ADEA8" w14:textId="77777777" w:rsidR="00DC6459"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425D35">
        <w:rPr>
          <w:rFonts w:ascii="Calibri" w:eastAsia="Calibri" w:hAnsi="Calibri" w:cs="Calibri"/>
          <w:b/>
          <w:color w:val="auto"/>
          <w:sz w:val="22"/>
          <w:szCs w:val="22"/>
        </w:rPr>
        <w:t>Nigeria New Second ACE Impact Centers</w:t>
      </w:r>
      <w:r w:rsidRPr="00126CD2">
        <w:rPr>
          <w:rFonts w:ascii="Calibri" w:eastAsia="Calibri" w:hAnsi="Calibri" w:cs="Calibri"/>
          <w:color w:val="auto"/>
          <w:sz w:val="22"/>
          <w:szCs w:val="22"/>
        </w:rPr>
        <w:t xml:space="preserve">:  The procurement assessment indicates a risk rating of </w:t>
      </w:r>
      <w:r w:rsidR="00F70DBD">
        <w:rPr>
          <w:rFonts w:ascii="Calibri" w:eastAsia="Calibri" w:hAnsi="Calibri" w:cs="Calibri"/>
          <w:color w:val="auto"/>
          <w:sz w:val="22"/>
          <w:szCs w:val="22"/>
        </w:rPr>
        <w:t>S</w:t>
      </w:r>
      <w:r w:rsidRPr="00126CD2">
        <w:rPr>
          <w:rFonts w:ascii="Calibri" w:eastAsia="Calibri" w:hAnsi="Calibri" w:cs="Calibri"/>
          <w:color w:val="auto"/>
          <w:sz w:val="22"/>
          <w:szCs w:val="22"/>
        </w:rPr>
        <w:t xml:space="preserve">ubstantial.  </w:t>
      </w:r>
      <w:r w:rsidRPr="007A6F32">
        <w:rPr>
          <w:rFonts w:ascii="Calibri" w:eastAsia="Calibri" w:hAnsi="Calibri" w:cs="Calibri"/>
          <w:color w:val="auto"/>
          <w:sz w:val="22"/>
          <w:szCs w:val="22"/>
        </w:rPr>
        <w:t xml:space="preserve">The selected centers are seventeen universities. The </w:t>
      </w:r>
      <w:r w:rsidR="00E5217C">
        <w:rPr>
          <w:rFonts w:ascii="Calibri" w:eastAsia="Calibri" w:hAnsi="Calibri" w:cs="Calibri"/>
          <w:color w:val="auto"/>
          <w:sz w:val="22"/>
          <w:szCs w:val="22"/>
        </w:rPr>
        <w:t xml:space="preserve">Second </w:t>
      </w:r>
      <w:r w:rsidRPr="007A6F32">
        <w:rPr>
          <w:rFonts w:ascii="Calibri" w:eastAsia="Calibri" w:hAnsi="Calibri" w:cs="Calibri"/>
          <w:color w:val="auto"/>
          <w:sz w:val="22"/>
          <w:szCs w:val="22"/>
        </w:rPr>
        <w:t>ACE I</w:t>
      </w:r>
      <w:r w:rsidR="0017185E">
        <w:rPr>
          <w:rFonts w:ascii="Calibri" w:eastAsia="Calibri" w:hAnsi="Calibri" w:cs="Calibri"/>
          <w:color w:val="auto"/>
          <w:sz w:val="22"/>
          <w:szCs w:val="22"/>
        </w:rPr>
        <w:t>mpact</w:t>
      </w:r>
      <w:r w:rsidR="00E5217C">
        <w:rPr>
          <w:rFonts w:ascii="Calibri" w:eastAsia="Calibri" w:hAnsi="Calibri" w:cs="Calibri"/>
          <w:color w:val="auto"/>
          <w:sz w:val="22"/>
          <w:szCs w:val="22"/>
        </w:rPr>
        <w:t xml:space="preserve"> Project</w:t>
      </w:r>
      <w:r w:rsidRPr="007A6F32">
        <w:rPr>
          <w:rFonts w:ascii="Calibri" w:eastAsia="Calibri" w:hAnsi="Calibri" w:cs="Calibri"/>
          <w:color w:val="auto"/>
          <w:sz w:val="22"/>
          <w:szCs w:val="22"/>
        </w:rPr>
        <w:t xml:space="preserve"> in Nigeria has a combination of the current ten ACEs and additional seven universities. The universities cut across Federal Universities, State universities and one privately own university. In line with the project preparation requirements, all the seven new universities were assessed, and only two were assessed in detailed.  The universities follow the BPP procurement law of 2007 and all the standard bidding document issued by the bureau are being used by the institutions. Each of the universities has procurement unit which is headed by Directors of Procurement. The Directors have the required competences and experiences for the roles given by the university authority. The directors of procurement are supported by other staff from different professional backgrounds with relevant certifications from BPP.  The staff of the procurement units were recruited by the university and not posted by the BPP. Some of the procurement officers have had opportunities of attending procurement courses outside Nigeria, and this has further enhanced their skills. </w:t>
      </w:r>
    </w:p>
    <w:p w14:paraId="28EC8576" w14:textId="77777777" w:rsidR="00DC6459" w:rsidRPr="006E39AE"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color w:val="auto"/>
          <w:sz w:val="22"/>
          <w:szCs w:val="22"/>
        </w:rPr>
        <w:t>The universities have Procurement Planning committee</w:t>
      </w:r>
      <w:r w:rsidR="0065171B">
        <w:rPr>
          <w:rFonts w:ascii="Calibri" w:eastAsia="Calibri" w:hAnsi="Calibri" w:cs="Calibri"/>
          <w:color w:val="auto"/>
          <w:sz w:val="22"/>
          <w:szCs w:val="22"/>
        </w:rPr>
        <w:t>s</w:t>
      </w:r>
      <w:r w:rsidRPr="007A6F32">
        <w:rPr>
          <w:rFonts w:ascii="Calibri" w:eastAsia="Calibri" w:hAnsi="Calibri" w:cs="Calibri"/>
          <w:color w:val="auto"/>
          <w:sz w:val="22"/>
          <w:szCs w:val="22"/>
        </w:rPr>
        <w:t xml:space="preserve"> and the committee</w:t>
      </w:r>
      <w:r w:rsidR="0065171B">
        <w:rPr>
          <w:rFonts w:ascii="Calibri" w:eastAsia="Calibri" w:hAnsi="Calibri" w:cs="Calibri"/>
          <w:color w:val="auto"/>
          <w:sz w:val="22"/>
          <w:szCs w:val="22"/>
        </w:rPr>
        <w:t>s</w:t>
      </w:r>
      <w:r w:rsidRPr="007A6F32">
        <w:rPr>
          <w:rFonts w:ascii="Calibri" w:eastAsia="Calibri" w:hAnsi="Calibri" w:cs="Calibri"/>
          <w:color w:val="auto"/>
          <w:sz w:val="22"/>
          <w:szCs w:val="22"/>
        </w:rPr>
        <w:t xml:space="preserve"> </w:t>
      </w:r>
      <w:r w:rsidR="0065171B">
        <w:rPr>
          <w:rFonts w:ascii="Calibri" w:eastAsia="Calibri" w:hAnsi="Calibri" w:cs="Calibri"/>
          <w:color w:val="auto"/>
          <w:sz w:val="22"/>
          <w:szCs w:val="22"/>
        </w:rPr>
        <w:t>are</w:t>
      </w:r>
      <w:r w:rsidRPr="007A6F32">
        <w:rPr>
          <w:rFonts w:ascii="Calibri" w:eastAsia="Calibri" w:hAnsi="Calibri" w:cs="Calibri"/>
          <w:color w:val="auto"/>
          <w:sz w:val="22"/>
          <w:szCs w:val="22"/>
        </w:rPr>
        <w:t xml:space="preserve"> saddled with the responsibility of preparing the procurement plan annually. While the Tenders Board oversees all related activities on the evaluation of bids received by the institutions and recommendation of awards. The Tender’s Committee is headed by the Vice-Chancellors, while other members are the principal officers from the user departments, and procurement officer is the secretary. The procurement units are actively involved in all procurement management in the respective Centers. The Centers will prepare their procurement plans and submit to the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 through NUC for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Bank’s review and clearance. The Centers will implement their procurements through their respective University’s Procurement Department/Unit.  The risks identified during the assessment of the newly added seven universities </w:t>
      </w:r>
      <w:r w:rsidR="000A12E3" w:rsidRPr="007A6F32">
        <w:rPr>
          <w:rFonts w:ascii="Calibri" w:eastAsia="Calibri" w:hAnsi="Calibri" w:cs="Calibri"/>
          <w:color w:val="auto"/>
          <w:sz w:val="22"/>
          <w:szCs w:val="22"/>
        </w:rPr>
        <w:t>are:</w:t>
      </w:r>
      <w:r w:rsidRPr="007A6F32">
        <w:rPr>
          <w:rFonts w:ascii="Calibri" w:eastAsia="Calibri" w:hAnsi="Calibri" w:cs="Calibri"/>
          <w:color w:val="auto"/>
          <w:sz w:val="22"/>
          <w:szCs w:val="22"/>
        </w:rPr>
        <w:t xml:space="preserve"> (i) lack of experience in PR, and STEP should in case the Center wants to execute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Bank Funded Procurement, and (ii) lack of experience of project management.  In mitigating against these risks</w:t>
      </w:r>
      <w:r w:rsidR="00F70DBD">
        <w:rPr>
          <w:rFonts w:ascii="Calibri" w:eastAsia="Calibri" w:hAnsi="Calibri" w:cs="Calibri"/>
          <w:color w:val="auto"/>
          <w:sz w:val="22"/>
          <w:szCs w:val="22"/>
        </w:rPr>
        <w:t>:</w:t>
      </w:r>
      <w:r w:rsidRPr="007A6F32">
        <w:rPr>
          <w:rFonts w:ascii="Calibri" w:eastAsia="Calibri" w:hAnsi="Calibri" w:cs="Calibri"/>
          <w:color w:val="auto"/>
          <w:sz w:val="22"/>
          <w:szCs w:val="22"/>
        </w:rPr>
        <w:t xml:space="preserve"> (i)  the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 xml:space="preserve">Bank will offer training for all the ACEs procurement staff, and the project implementation unit team on Procurement Regulation and STEP after project effectiveness; (ii) </w:t>
      </w:r>
      <w:r w:rsidR="00F70DBD">
        <w:rPr>
          <w:rFonts w:ascii="Calibri" w:eastAsia="Calibri" w:hAnsi="Calibri" w:cs="Calibri"/>
          <w:color w:val="auto"/>
          <w:sz w:val="22"/>
          <w:szCs w:val="22"/>
        </w:rPr>
        <w:t>t</w:t>
      </w:r>
      <w:r w:rsidRPr="007A6F32">
        <w:rPr>
          <w:rFonts w:ascii="Calibri" w:eastAsia="Calibri" w:hAnsi="Calibri" w:cs="Calibri"/>
          <w:color w:val="auto"/>
          <w:sz w:val="22"/>
          <w:szCs w:val="22"/>
        </w:rPr>
        <w:t xml:space="preserve">he NUC team would require </w:t>
      </w:r>
      <w:r w:rsidR="00C00B64">
        <w:rPr>
          <w:rFonts w:asciiTheme="minorHAnsi" w:eastAsiaTheme="minorHAnsi" w:hAnsiTheme="minorHAnsi" w:cstheme="minorHAnsi"/>
          <w:color w:val="auto"/>
          <w:sz w:val="22"/>
          <w:szCs w:val="22"/>
        </w:rPr>
        <w:t>World</w:t>
      </w:r>
      <w:r w:rsidR="00C00B64" w:rsidRPr="007A6F32">
        <w:rPr>
          <w:rFonts w:ascii="Calibri" w:eastAsia="Calibri" w:hAnsi="Calibri" w:cs="Calibri"/>
          <w:color w:val="auto"/>
          <w:sz w:val="22"/>
          <w:szCs w:val="22"/>
        </w:rPr>
        <w:t xml:space="preserve"> </w:t>
      </w:r>
      <w:r w:rsidRPr="007A6F32">
        <w:rPr>
          <w:rFonts w:ascii="Calibri" w:eastAsia="Calibri" w:hAnsi="Calibri" w:cs="Calibri"/>
          <w:color w:val="auto"/>
          <w:sz w:val="22"/>
          <w:szCs w:val="22"/>
        </w:rPr>
        <w:t>Bank’s procurement training to enable it offer hands-on support to the Centers throughout the Project life</w:t>
      </w:r>
      <w:r w:rsidR="00F70DBD">
        <w:rPr>
          <w:rFonts w:ascii="Calibri" w:eastAsia="Calibri" w:hAnsi="Calibri" w:cs="Calibri"/>
          <w:color w:val="auto"/>
          <w:sz w:val="22"/>
          <w:szCs w:val="22"/>
        </w:rPr>
        <w:t>; and</w:t>
      </w:r>
      <w:r w:rsidRPr="007A6F32">
        <w:rPr>
          <w:rFonts w:ascii="Calibri" w:eastAsia="Calibri" w:hAnsi="Calibri" w:cs="Calibri"/>
          <w:color w:val="auto"/>
          <w:sz w:val="22"/>
          <w:szCs w:val="22"/>
        </w:rPr>
        <w:t xml:space="preserve"> (iii) the annual procurement audit of the centers would be conducted on timely basis and reports will be shared with the respective Centers through NUC. </w:t>
      </w:r>
    </w:p>
    <w:p w14:paraId="14C8BCB6" w14:textId="77777777" w:rsidR="00DC6459" w:rsidRPr="002E1A3F"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r w:rsidRPr="007A6F32">
        <w:rPr>
          <w:rFonts w:ascii="Calibri" w:eastAsia="Calibri" w:hAnsi="Calibri" w:cs="Calibri"/>
          <w:b/>
          <w:color w:val="auto"/>
          <w:sz w:val="22"/>
          <w:szCs w:val="22"/>
        </w:rPr>
        <w:lastRenderedPageBreak/>
        <w:t xml:space="preserve">Niger New and </w:t>
      </w:r>
      <w:r w:rsidRPr="00FA3436">
        <w:rPr>
          <w:rFonts w:ascii="Calibri" w:eastAsia="Calibri" w:hAnsi="Calibri" w:cs="Calibri"/>
          <w:b/>
          <w:color w:val="auto"/>
          <w:sz w:val="22"/>
          <w:szCs w:val="22"/>
        </w:rPr>
        <w:t>Emerging Centers</w:t>
      </w:r>
      <w:r w:rsidRPr="00FA3436">
        <w:rPr>
          <w:rFonts w:ascii="Calibri" w:eastAsia="Calibri" w:hAnsi="Calibri" w:cs="Calibri"/>
          <w:color w:val="auto"/>
          <w:sz w:val="22"/>
          <w:szCs w:val="22"/>
        </w:rPr>
        <w:t xml:space="preserve">:  </w:t>
      </w:r>
      <w:r w:rsidR="000B75A4" w:rsidRPr="00FA3436">
        <w:rPr>
          <w:rFonts w:ascii="Calibri" w:eastAsia="Calibri" w:hAnsi="Calibri" w:cs="Calibri"/>
          <w:color w:val="auto"/>
          <w:sz w:val="22"/>
          <w:szCs w:val="22"/>
        </w:rPr>
        <w:t xml:space="preserve">The procurement assessment indicates a risk </w:t>
      </w:r>
      <w:r w:rsidR="000B75A4" w:rsidRPr="00C056FE">
        <w:rPr>
          <w:rFonts w:ascii="Calibri" w:eastAsia="Calibri" w:hAnsi="Calibri" w:cs="Calibri"/>
          <w:color w:val="auto"/>
          <w:sz w:val="22"/>
          <w:szCs w:val="22"/>
        </w:rPr>
        <w:t>ra</w:t>
      </w:r>
      <w:r w:rsidR="00C773DE" w:rsidRPr="00C056FE">
        <w:rPr>
          <w:rFonts w:ascii="Calibri" w:eastAsia="Calibri" w:hAnsi="Calibri" w:cs="Calibri"/>
          <w:color w:val="auto"/>
          <w:sz w:val="22"/>
          <w:szCs w:val="22"/>
        </w:rPr>
        <w:t xml:space="preserve">ting </w:t>
      </w:r>
      <w:r w:rsidR="000A12E3" w:rsidRPr="00313754">
        <w:rPr>
          <w:rFonts w:ascii="Calibri" w:eastAsia="Calibri" w:hAnsi="Calibri" w:cs="Calibri"/>
          <w:color w:val="auto"/>
          <w:sz w:val="22"/>
          <w:szCs w:val="22"/>
        </w:rPr>
        <w:t xml:space="preserve">of </w:t>
      </w:r>
      <w:r w:rsidR="000A12E3" w:rsidRPr="000C46A6">
        <w:rPr>
          <w:rFonts w:ascii="Calibri" w:eastAsia="Calibri" w:hAnsi="Calibri" w:cs="Calibri"/>
          <w:sz w:val="22"/>
          <w:szCs w:val="22"/>
        </w:rPr>
        <w:t>Substantial</w:t>
      </w:r>
      <w:r w:rsidR="00C773DE" w:rsidRPr="00FA3436">
        <w:rPr>
          <w:rFonts w:ascii="Calibri" w:eastAsia="Calibri" w:hAnsi="Calibri" w:cs="Calibri"/>
          <w:color w:val="auto"/>
          <w:sz w:val="22"/>
          <w:szCs w:val="22"/>
        </w:rPr>
        <w:t>.</w:t>
      </w:r>
      <w:r w:rsidR="000B75A4" w:rsidRPr="00FA3436">
        <w:rPr>
          <w:rFonts w:ascii="Calibri" w:eastAsia="Calibri" w:hAnsi="Calibri" w:cs="Calibri"/>
          <w:color w:val="auto"/>
          <w:sz w:val="22"/>
          <w:szCs w:val="22"/>
        </w:rPr>
        <w:t xml:space="preserve"> </w:t>
      </w:r>
      <w:r w:rsidR="00C438A0" w:rsidRPr="00FA3436">
        <w:rPr>
          <w:rFonts w:ascii="Calibri" w:eastAsia="Calibri" w:hAnsi="Calibri" w:cs="Calibri"/>
          <w:color w:val="auto"/>
          <w:sz w:val="22"/>
          <w:szCs w:val="22"/>
        </w:rPr>
        <w:t>The Niger implementing agencies will use national procedures. Niger procurement texts are based on the WAEMU Community Directives</w:t>
      </w:r>
      <w:r w:rsidR="00C438A0" w:rsidRPr="00C438A0">
        <w:rPr>
          <w:rFonts w:ascii="Calibri" w:eastAsia="Calibri" w:hAnsi="Calibri" w:cs="Calibri"/>
          <w:color w:val="auto"/>
          <w:sz w:val="22"/>
          <w:szCs w:val="22"/>
        </w:rPr>
        <w:t xml:space="preserve">. The public procurement system in Niger is governed by the Law No. 201-37 of October 28, 2011 related to Core Principles, Control and Regulation, the Decree No. 2016-641/PRN/PM of December 1st, 2016 and their related application orders. While the texts are good overall, their practice shows a lot of shortcomings in terms of organization, quality and number of qualified staffing. World Bank procurement experience in Niger has shown that </w:t>
      </w:r>
      <w:r w:rsidR="005B759C">
        <w:rPr>
          <w:rFonts w:ascii="Calibri" w:eastAsia="Calibri" w:hAnsi="Calibri" w:cs="Calibri"/>
          <w:color w:val="auto"/>
          <w:sz w:val="22"/>
          <w:szCs w:val="22"/>
        </w:rPr>
        <w:t xml:space="preserve">there are: </w:t>
      </w:r>
      <w:r w:rsidR="00C438A0" w:rsidRPr="00C438A0">
        <w:rPr>
          <w:rFonts w:ascii="Calibri" w:eastAsia="Calibri" w:hAnsi="Calibri" w:cs="Calibri"/>
          <w:color w:val="auto"/>
          <w:sz w:val="22"/>
          <w:szCs w:val="22"/>
        </w:rPr>
        <w:t>(a) significant delays are experienced in procurement processing due to poorly prepared procurement documentation</w:t>
      </w:r>
      <w:r w:rsidR="005B759C">
        <w:rPr>
          <w:rFonts w:ascii="Calibri" w:eastAsia="Calibri" w:hAnsi="Calibri" w:cs="Calibri"/>
          <w:color w:val="auto"/>
          <w:sz w:val="22"/>
          <w:szCs w:val="22"/>
        </w:rPr>
        <w:t>;</w:t>
      </w:r>
      <w:r w:rsidR="005C6F15">
        <w:rPr>
          <w:rFonts w:ascii="Calibri" w:eastAsia="Calibri" w:hAnsi="Calibri" w:cs="Calibri"/>
          <w:color w:val="auto"/>
          <w:sz w:val="22"/>
          <w:szCs w:val="22"/>
        </w:rPr>
        <w:t xml:space="preserve"> </w:t>
      </w:r>
      <w:r w:rsidR="00F0398B" w:rsidRPr="00F0398B">
        <w:rPr>
          <w:rFonts w:ascii="Calibri" w:eastAsia="Calibri" w:hAnsi="Calibri" w:cs="Calibri"/>
          <w:color w:val="auto"/>
          <w:sz w:val="22"/>
          <w:szCs w:val="22"/>
        </w:rPr>
        <w:t xml:space="preserve">and (b) low capacity in the use of </w:t>
      </w:r>
      <w:r w:rsidR="00C00B64">
        <w:rPr>
          <w:rFonts w:asciiTheme="minorHAnsi" w:eastAsiaTheme="minorHAnsi" w:hAnsiTheme="minorHAnsi" w:cstheme="minorHAnsi"/>
          <w:color w:val="auto"/>
          <w:sz w:val="22"/>
          <w:szCs w:val="22"/>
        </w:rPr>
        <w:t>World</w:t>
      </w:r>
      <w:r w:rsidR="00C00B64" w:rsidRPr="00F0398B">
        <w:rPr>
          <w:rFonts w:ascii="Calibri" w:eastAsia="Calibri" w:hAnsi="Calibri" w:cs="Calibri"/>
          <w:color w:val="auto"/>
          <w:sz w:val="22"/>
          <w:szCs w:val="22"/>
        </w:rPr>
        <w:t xml:space="preserve"> </w:t>
      </w:r>
      <w:r w:rsidR="00F0398B" w:rsidRPr="00F0398B">
        <w:rPr>
          <w:rFonts w:ascii="Calibri" w:eastAsia="Calibri" w:hAnsi="Calibri" w:cs="Calibri"/>
          <w:color w:val="auto"/>
          <w:sz w:val="22"/>
          <w:szCs w:val="22"/>
        </w:rPr>
        <w:t>Bank’s standard procurement documents</w:t>
      </w:r>
      <w:r w:rsidR="00F0398B">
        <w:rPr>
          <w:rFonts w:ascii="Calibri" w:eastAsia="Calibri" w:hAnsi="Calibri" w:cs="Calibri"/>
          <w:color w:val="auto"/>
          <w:sz w:val="22"/>
          <w:szCs w:val="22"/>
        </w:rPr>
        <w:t>.</w:t>
      </w:r>
      <w:r w:rsidR="00F0398B" w:rsidRPr="00F0398B">
        <w:rPr>
          <w:rFonts w:ascii="Calibri" w:eastAsia="Calibri" w:hAnsi="Calibri" w:cs="Calibri"/>
          <w:color w:val="auto"/>
          <w:sz w:val="22"/>
          <w:szCs w:val="22"/>
        </w:rPr>
        <w:t xml:space="preserve"> </w:t>
      </w:r>
      <w:r w:rsidRPr="002E1A3F">
        <w:rPr>
          <w:rFonts w:ascii="Calibri" w:eastAsia="Calibri" w:hAnsi="Calibri" w:cs="Calibri"/>
          <w:color w:val="auto"/>
          <w:sz w:val="22"/>
          <w:szCs w:val="22"/>
        </w:rPr>
        <w:t xml:space="preserve"> </w:t>
      </w:r>
    </w:p>
    <w:p w14:paraId="73FC5879" w14:textId="77777777" w:rsidR="00801EEC" w:rsidRDefault="00B00100" w:rsidP="006C70A5">
      <w:pPr>
        <w:widowControl/>
        <w:numPr>
          <w:ilvl w:val="0"/>
          <w:numId w:val="30"/>
        </w:numPr>
        <w:tabs>
          <w:tab w:val="left" w:pos="450"/>
        </w:tabs>
        <w:autoSpaceDE/>
        <w:autoSpaceDN/>
        <w:adjustRightInd/>
        <w:spacing w:after="240"/>
        <w:ind w:left="0" w:right="720" w:firstLine="0"/>
        <w:jc w:val="both"/>
        <w:rPr>
          <w:rFonts w:ascii="Calibri" w:eastAsia="Calibri" w:hAnsi="Calibri" w:cs="Calibri"/>
          <w:color w:val="auto"/>
          <w:sz w:val="22"/>
          <w:szCs w:val="22"/>
        </w:rPr>
      </w:pPr>
      <w:bookmarkStart w:id="422" w:name="_Hlk535083789"/>
      <w:r w:rsidRPr="00126CD2">
        <w:rPr>
          <w:rFonts w:asciiTheme="minorHAnsi" w:eastAsia="Calibri" w:hAnsiTheme="minorHAnsi" w:cstheme="minorHAnsi"/>
          <w:color w:val="auto"/>
          <w:sz w:val="22"/>
          <w:szCs w:val="22"/>
        </w:rPr>
        <w:t xml:space="preserve">Niger has </w:t>
      </w:r>
      <w:r w:rsidR="0086053A">
        <w:rPr>
          <w:rFonts w:asciiTheme="minorHAnsi" w:eastAsia="Calibri" w:hAnsiTheme="minorHAnsi" w:cstheme="minorHAnsi"/>
          <w:color w:val="auto"/>
          <w:sz w:val="22"/>
          <w:szCs w:val="22"/>
        </w:rPr>
        <w:t>three</w:t>
      </w:r>
      <w:r w:rsidRPr="00126CD2">
        <w:rPr>
          <w:rFonts w:asciiTheme="minorHAnsi" w:eastAsia="Calibri" w:hAnsiTheme="minorHAnsi" w:cstheme="minorHAnsi"/>
          <w:color w:val="auto"/>
          <w:sz w:val="22"/>
          <w:szCs w:val="22"/>
        </w:rPr>
        <w:t xml:space="preserve"> centers that wil</w:t>
      </w:r>
      <w:r w:rsidRPr="00126CD2">
        <w:rPr>
          <w:rFonts w:asciiTheme="minorHAnsi" w:eastAsia="Calibri" w:hAnsiTheme="minorHAnsi" w:cstheme="minorHAnsi"/>
          <w:sz w:val="22"/>
          <w:szCs w:val="22"/>
        </w:rPr>
        <w:t>l participate in</w:t>
      </w:r>
      <w:r w:rsidRPr="00126CD2">
        <w:rPr>
          <w:rFonts w:asciiTheme="minorHAnsi" w:eastAsia="Calibri" w:hAnsiTheme="minorHAnsi" w:cstheme="minorHAnsi"/>
          <w:color w:val="auto"/>
          <w:sz w:val="22"/>
          <w:szCs w:val="22"/>
        </w:rPr>
        <w:t xml:space="preserve"> this project. </w:t>
      </w:r>
      <w:r w:rsidRPr="00126CD2">
        <w:rPr>
          <w:rFonts w:asciiTheme="minorHAnsi" w:eastAsia="Calibri" w:hAnsiTheme="minorHAnsi" w:cstheme="minorHAnsi"/>
          <w:sz w:val="22"/>
          <w:szCs w:val="22"/>
        </w:rPr>
        <w:t xml:space="preserve">Two of the centers are in the </w:t>
      </w:r>
      <w:r w:rsidRPr="00126CD2">
        <w:rPr>
          <w:rFonts w:asciiTheme="minorHAnsi" w:eastAsia="Times New Roman" w:hAnsiTheme="minorHAnsi" w:cstheme="minorHAnsi"/>
          <w:sz w:val="22"/>
          <w:szCs w:val="22"/>
        </w:rPr>
        <w:t xml:space="preserve">UAM and they are: </w:t>
      </w:r>
      <w:r w:rsidR="000A12E3" w:rsidRPr="00126CD2">
        <w:rPr>
          <w:rFonts w:asciiTheme="minorHAnsi" w:eastAsia="Times New Roman" w:hAnsiTheme="minorHAnsi" w:cstheme="minorHAnsi"/>
          <w:sz w:val="22"/>
          <w:szCs w:val="22"/>
        </w:rPr>
        <w:t>The</w:t>
      </w:r>
      <w:r w:rsidRPr="00126CD2">
        <w:rPr>
          <w:rFonts w:asciiTheme="minorHAnsi" w:eastAsia="Calibri" w:hAnsiTheme="minorHAnsi" w:cstheme="minorHAnsi"/>
          <w:color w:val="auto"/>
          <w:sz w:val="22"/>
          <w:szCs w:val="22"/>
        </w:rPr>
        <w:t xml:space="preserve"> </w:t>
      </w:r>
      <w:r w:rsidRPr="00126CD2">
        <w:rPr>
          <w:rFonts w:asciiTheme="minorHAnsi" w:eastAsia="Calibri" w:hAnsiTheme="minorHAnsi" w:cstheme="minorHAnsi"/>
          <w:sz w:val="22"/>
          <w:szCs w:val="22"/>
        </w:rPr>
        <w:t xml:space="preserve">Center for </w:t>
      </w:r>
      <w:r w:rsidRPr="00053F5E">
        <w:rPr>
          <w:rFonts w:asciiTheme="minorHAnsi" w:hAnsiTheme="minorHAnsi" w:cstheme="minorHAnsi"/>
          <w:sz w:val="22"/>
          <w:szCs w:val="22"/>
        </w:rPr>
        <w:t>Pastoral Productions: Meat, Milk, Leather and Skins (CEA</w:t>
      </w:r>
      <w:r w:rsidRPr="009847B3">
        <w:rPr>
          <w:rFonts w:asciiTheme="minorHAnsi" w:hAnsiTheme="minorHAnsi" w:cstheme="minorHAnsi"/>
          <w:sz w:val="22"/>
          <w:szCs w:val="22"/>
        </w:rPr>
        <w:t>-CERPP)</w:t>
      </w:r>
      <w:r w:rsidRPr="00126CD2">
        <w:rPr>
          <w:rFonts w:asciiTheme="minorHAnsi" w:hAnsiTheme="minorHAnsi" w:cstheme="minorHAnsi"/>
          <w:sz w:val="22"/>
          <w:szCs w:val="22"/>
        </w:rPr>
        <w:t xml:space="preserve"> within the </w:t>
      </w:r>
      <w:r w:rsidRPr="00126CD2">
        <w:rPr>
          <w:rFonts w:asciiTheme="minorHAnsi" w:eastAsia="Calibri" w:hAnsiTheme="minorHAnsi" w:cstheme="minorHAnsi"/>
          <w:color w:val="auto"/>
          <w:sz w:val="22"/>
          <w:szCs w:val="22"/>
        </w:rPr>
        <w:t xml:space="preserve">Faculty of Agronomy and the </w:t>
      </w:r>
      <w:r w:rsidRPr="00126CD2">
        <w:rPr>
          <w:rFonts w:asciiTheme="minorHAnsi" w:eastAsia="Calibri" w:hAnsiTheme="minorHAnsi" w:cstheme="minorHAnsi"/>
          <w:sz w:val="22"/>
          <w:szCs w:val="22"/>
        </w:rPr>
        <w:t xml:space="preserve">Center for the </w:t>
      </w:r>
      <w:r w:rsidRPr="00053F5E">
        <w:rPr>
          <w:rFonts w:asciiTheme="minorHAnsi" w:hAnsiTheme="minorHAnsi" w:cstheme="minorHAnsi"/>
          <w:sz w:val="22"/>
          <w:szCs w:val="22"/>
        </w:rPr>
        <w:t xml:space="preserve">Innovative Teaching/Learning of Mathematics and the Sciences for </w:t>
      </w:r>
      <w:r w:rsidR="00741F70">
        <w:rPr>
          <w:rFonts w:asciiTheme="minorHAnsi" w:hAnsiTheme="minorHAnsi" w:cstheme="minorHAnsi"/>
          <w:sz w:val="22"/>
          <w:szCs w:val="22"/>
        </w:rPr>
        <w:t>SSA</w:t>
      </w:r>
      <w:r w:rsidRPr="00053F5E">
        <w:rPr>
          <w:rFonts w:asciiTheme="minorHAnsi" w:hAnsiTheme="minorHAnsi" w:cstheme="minorHAnsi"/>
          <w:sz w:val="22"/>
          <w:szCs w:val="22"/>
        </w:rPr>
        <w:t xml:space="preserve"> (CEA</w:t>
      </w:r>
      <w:r w:rsidRPr="009847B3">
        <w:rPr>
          <w:rFonts w:asciiTheme="minorHAnsi" w:hAnsiTheme="minorHAnsi" w:cstheme="minorHAnsi"/>
          <w:sz w:val="22"/>
          <w:szCs w:val="22"/>
        </w:rPr>
        <w:t>-IEA-MS4SSA</w:t>
      </w:r>
      <w:r w:rsidRPr="00126CD2">
        <w:rPr>
          <w:rFonts w:asciiTheme="minorHAnsi" w:hAnsiTheme="minorHAnsi" w:cstheme="minorHAnsi"/>
          <w:sz w:val="22"/>
          <w:szCs w:val="22"/>
        </w:rPr>
        <w:t xml:space="preserve"> – an Emerging center</w:t>
      </w:r>
      <w:r w:rsidRPr="00053F5E">
        <w:rPr>
          <w:rFonts w:asciiTheme="minorHAnsi" w:hAnsiTheme="minorHAnsi" w:cstheme="minorHAnsi"/>
          <w:sz w:val="22"/>
          <w:szCs w:val="22"/>
        </w:rPr>
        <w:t>)</w:t>
      </w:r>
      <w:r w:rsidRPr="00126CD2">
        <w:rPr>
          <w:rFonts w:asciiTheme="minorHAnsi" w:hAnsiTheme="minorHAnsi" w:cstheme="minorHAnsi"/>
          <w:sz w:val="22"/>
          <w:szCs w:val="22"/>
        </w:rPr>
        <w:t xml:space="preserve"> within the </w:t>
      </w:r>
      <w:r w:rsidRPr="00126CD2">
        <w:rPr>
          <w:rFonts w:asciiTheme="minorHAnsi" w:eastAsia="Calibri" w:hAnsiTheme="minorHAnsi" w:cstheme="minorHAnsi"/>
          <w:i/>
          <w:color w:val="auto"/>
          <w:sz w:val="22"/>
          <w:szCs w:val="22"/>
        </w:rPr>
        <w:t>Ecole Normale Supérieure-ENS</w:t>
      </w:r>
      <w:r w:rsidRPr="00126CD2">
        <w:rPr>
          <w:rFonts w:asciiTheme="minorHAnsi" w:eastAsia="Calibri" w:hAnsiTheme="minorHAnsi" w:cstheme="minorHAnsi"/>
          <w:sz w:val="22"/>
          <w:szCs w:val="22"/>
        </w:rPr>
        <w:t xml:space="preserve">. </w:t>
      </w:r>
      <w:r w:rsidRPr="00DA01D5">
        <w:rPr>
          <w:rFonts w:asciiTheme="minorHAnsi" w:eastAsia="Calibri" w:hAnsiTheme="minorHAnsi" w:cstheme="minorHAnsi"/>
          <w:sz w:val="22"/>
          <w:szCs w:val="22"/>
        </w:rPr>
        <w:t xml:space="preserve">The </w:t>
      </w:r>
      <w:r w:rsidRPr="00DA01D5">
        <w:rPr>
          <w:rFonts w:asciiTheme="minorHAnsi" w:eastAsia="Times New Roman" w:hAnsiTheme="minorHAnsi" w:cstheme="minorHAnsi"/>
          <w:sz w:val="22"/>
          <w:szCs w:val="22"/>
        </w:rPr>
        <w:t xml:space="preserve">third center is the Emerging Center in </w:t>
      </w:r>
      <w:r w:rsidRPr="00DA01D5">
        <w:rPr>
          <w:rFonts w:asciiTheme="minorHAnsi" w:hAnsiTheme="minorHAnsi" w:cstheme="minorHAnsi"/>
          <w:sz w:val="22"/>
          <w:szCs w:val="22"/>
        </w:rPr>
        <w:t xml:space="preserve">Mining Environment (CE-Environnement Minier) within the </w:t>
      </w:r>
      <w:r w:rsidRPr="00DA01D5">
        <w:rPr>
          <w:rFonts w:asciiTheme="minorHAnsi" w:eastAsia="Times New Roman" w:hAnsiTheme="minorHAnsi" w:cstheme="minorHAnsi"/>
          <w:i/>
          <w:sz w:val="22"/>
          <w:szCs w:val="22"/>
        </w:rPr>
        <w:t>EMIG</w:t>
      </w:r>
      <w:r w:rsidRPr="00DA01D5">
        <w:rPr>
          <w:rFonts w:asciiTheme="minorHAnsi" w:eastAsia="Calibri" w:hAnsiTheme="minorHAnsi" w:cstheme="minorHAnsi"/>
          <w:sz w:val="22"/>
          <w:szCs w:val="22"/>
        </w:rPr>
        <w:t xml:space="preserve">. </w:t>
      </w:r>
      <w:r w:rsidRPr="00126CD2">
        <w:rPr>
          <w:rFonts w:asciiTheme="minorHAnsi" w:eastAsia="Calibri" w:hAnsiTheme="minorHAnsi" w:cstheme="minorHAnsi"/>
          <w:sz w:val="22"/>
          <w:szCs w:val="22"/>
        </w:rPr>
        <w:t xml:space="preserve">EMIG </w:t>
      </w:r>
      <w:r w:rsidRPr="00126CD2">
        <w:rPr>
          <w:rFonts w:asciiTheme="minorHAnsi" w:eastAsia="Calibri" w:hAnsiTheme="minorHAnsi" w:cstheme="minorHAnsi"/>
          <w:color w:val="auto"/>
          <w:sz w:val="22"/>
          <w:szCs w:val="22"/>
        </w:rPr>
        <w:t>is</w:t>
      </w:r>
      <w:r>
        <w:rPr>
          <w:rFonts w:ascii="Calibri" w:eastAsia="Calibri" w:hAnsi="Calibri" w:cs="Calibri"/>
          <w:color w:val="auto"/>
          <w:sz w:val="22"/>
          <w:szCs w:val="22"/>
        </w:rPr>
        <w:t xml:space="preserve"> under the supervision</w:t>
      </w:r>
      <w:r>
        <w:rPr>
          <w:rFonts w:ascii="Calibri" w:eastAsia="Calibri" w:hAnsi="Calibri" w:cs="Calibri"/>
        </w:rPr>
        <w:t xml:space="preserve"> of</w:t>
      </w:r>
      <w:r>
        <w:rPr>
          <w:rFonts w:ascii="Calibri" w:eastAsia="Calibri" w:hAnsi="Calibri" w:cs="Calibri"/>
          <w:color w:val="auto"/>
          <w:sz w:val="22"/>
          <w:szCs w:val="22"/>
        </w:rPr>
        <w:t xml:space="preserve"> the Ministry of Mines</w:t>
      </w:r>
      <w:r w:rsidRPr="009248B0">
        <w:rPr>
          <w:rFonts w:ascii="Calibri" w:eastAsia="Calibri" w:hAnsi="Calibri" w:cs="Calibri"/>
          <w:color w:val="auto"/>
          <w:sz w:val="22"/>
          <w:szCs w:val="22"/>
        </w:rPr>
        <w:t xml:space="preserve">. </w:t>
      </w:r>
    </w:p>
    <w:p w14:paraId="32DB094D" w14:textId="77777777" w:rsidR="00801EEC" w:rsidRPr="007D7372" w:rsidRDefault="00B00100" w:rsidP="006C70A5">
      <w:pPr>
        <w:widowControl/>
        <w:numPr>
          <w:ilvl w:val="0"/>
          <w:numId w:val="30"/>
        </w:numPr>
        <w:tabs>
          <w:tab w:val="left" w:pos="450"/>
        </w:tabs>
        <w:autoSpaceDE/>
        <w:autoSpaceDN/>
        <w:adjustRightInd/>
        <w:spacing w:after="240"/>
        <w:ind w:left="0" w:right="720" w:firstLine="0"/>
        <w:jc w:val="both"/>
        <w:rPr>
          <w:rFonts w:asciiTheme="minorHAnsi" w:eastAsia="Calibri" w:hAnsiTheme="minorHAnsi" w:cstheme="minorHAnsi"/>
          <w:color w:val="auto"/>
          <w:sz w:val="22"/>
          <w:szCs w:val="22"/>
        </w:rPr>
      </w:pPr>
      <w:r>
        <w:rPr>
          <w:rFonts w:ascii="Calibri" w:eastAsia="Calibri" w:hAnsi="Calibri" w:cs="Calibri"/>
          <w:color w:val="auto"/>
          <w:sz w:val="22"/>
          <w:szCs w:val="22"/>
        </w:rPr>
        <w:t xml:space="preserve">UAM has a central unit dedicated to procurement activities </w:t>
      </w:r>
      <w:r w:rsidRPr="00DA01D5">
        <w:rPr>
          <w:rFonts w:ascii="Calibri" w:eastAsia="Calibri" w:hAnsi="Calibri" w:cs="Calibri"/>
          <w:color w:val="auto"/>
          <w:sz w:val="22"/>
          <w:szCs w:val="22"/>
        </w:rPr>
        <w:t xml:space="preserve">for </w:t>
      </w:r>
      <w:r>
        <w:rPr>
          <w:rFonts w:ascii="Calibri" w:eastAsia="Calibri" w:hAnsi="Calibri" w:cs="Calibri"/>
          <w:color w:val="auto"/>
          <w:sz w:val="22"/>
          <w:szCs w:val="22"/>
        </w:rPr>
        <w:t xml:space="preserve">all </w:t>
      </w:r>
      <w:r w:rsidRPr="00DA01D5">
        <w:rPr>
          <w:rFonts w:ascii="Calibri" w:eastAsia="Calibri" w:hAnsi="Calibri" w:cs="Calibri"/>
          <w:color w:val="auto"/>
          <w:sz w:val="22"/>
          <w:szCs w:val="22"/>
        </w:rPr>
        <w:t xml:space="preserve">of </w:t>
      </w:r>
      <w:r>
        <w:rPr>
          <w:rFonts w:ascii="Calibri" w:eastAsia="Calibri" w:hAnsi="Calibri" w:cs="Calibri"/>
          <w:color w:val="auto"/>
          <w:sz w:val="22"/>
          <w:szCs w:val="22"/>
        </w:rPr>
        <w:t xml:space="preserve">its dependencies (faculties, research institutes and high school). The </w:t>
      </w:r>
      <w:r w:rsidRPr="00FA3436">
        <w:rPr>
          <w:rFonts w:ascii="Calibri" w:eastAsia="Calibri" w:hAnsi="Calibri" w:cs="Calibri"/>
          <w:color w:val="auto"/>
          <w:sz w:val="22"/>
          <w:szCs w:val="22"/>
        </w:rPr>
        <w:t>procurement Unit (</w:t>
      </w:r>
      <w:r w:rsidRPr="000C46A6">
        <w:rPr>
          <w:rFonts w:ascii="Calibri" w:eastAsia="Calibri" w:hAnsi="Calibri" w:cs="Calibri"/>
          <w:i/>
          <w:color w:val="auto"/>
          <w:sz w:val="22"/>
          <w:szCs w:val="22"/>
        </w:rPr>
        <w:t>Services des Marchés Publics</w:t>
      </w:r>
      <w:r w:rsidRPr="00FA3436">
        <w:rPr>
          <w:rFonts w:ascii="Calibri" w:eastAsia="Calibri" w:hAnsi="Calibri" w:cs="Calibri"/>
          <w:color w:val="auto"/>
          <w:sz w:val="22"/>
          <w:szCs w:val="22"/>
        </w:rPr>
        <w:t>) is housed within the “</w:t>
      </w:r>
      <w:r w:rsidRPr="000C46A6">
        <w:rPr>
          <w:rFonts w:ascii="Calibri" w:eastAsia="Calibri" w:hAnsi="Calibri" w:cs="Calibri"/>
          <w:i/>
          <w:color w:val="auto"/>
          <w:sz w:val="22"/>
          <w:szCs w:val="22"/>
        </w:rPr>
        <w:t>Division Finances et Marchés Publics</w:t>
      </w:r>
      <w:r w:rsidRPr="00FA3436">
        <w:rPr>
          <w:rFonts w:ascii="Calibri" w:eastAsia="Calibri" w:hAnsi="Calibri" w:cs="Calibri"/>
          <w:color w:val="auto"/>
          <w:sz w:val="22"/>
          <w:szCs w:val="22"/>
        </w:rPr>
        <w:t>”</w:t>
      </w:r>
      <w:r w:rsidRPr="000C46A6">
        <w:rPr>
          <w:rFonts w:ascii="Calibri" w:eastAsia="Calibri" w:hAnsi="Calibri" w:cs="Calibri"/>
          <w:sz w:val="22"/>
          <w:szCs w:val="22"/>
        </w:rPr>
        <w:t>, which</w:t>
      </w:r>
      <w:r w:rsidRPr="00FA3436">
        <w:rPr>
          <w:rFonts w:ascii="Calibri" w:eastAsia="Calibri" w:hAnsi="Calibri" w:cs="Calibri"/>
          <w:color w:val="auto"/>
          <w:sz w:val="22"/>
          <w:szCs w:val="22"/>
        </w:rPr>
        <w:t xml:space="preserve"> is in charge </w:t>
      </w:r>
      <w:r w:rsidRPr="000C46A6">
        <w:rPr>
          <w:rFonts w:ascii="Calibri" w:eastAsia="Calibri" w:hAnsi="Calibri" w:cs="Calibri"/>
          <w:sz w:val="22"/>
          <w:szCs w:val="22"/>
        </w:rPr>
        <w:t xml:space="preserve">of </w:t>
      </w:r>
      <w:r w:rsidRPr="00FA3436">
        <w:rPr>
          <w:rFonts w:ascii="Calibri" w:eastAsia="Calibri" w:hAnsi="Calibri" w:cs="Calibri"/>
          <w:color w:val="auto"/>
          <w:sz w:val="22"/>
          <w:szCs w:val="22"/>
        </w:rPr>
        <w:t>the preparation of UAM</w:t>
      </w:r>
      <w:r w:rsidRPr="000C46A6">
        <w:rPr>
          <w:rFonts w:ascii="Calibri" w:eastAsia="Calibri" w:hAnsi="Calibri" w:cs="Calibri"/>
          <w:sz w:val="22"/>
          <w:szCs w:val="22"/>
        </w:rPr>
        <w:t>’s</w:t>
      </w:r>
      <w:r w:rsidRPr="00FA3436">
        <w:rPr>
          <w:rFonts w:ascii="Calibri" w:eastAsia="Calibri" w:hAnsi="Calibri" w:cs="Calibri"/>
          <w:color w:val="auto"/>
          <w:sz w:val="22"/>
          <w:szCs w:val="22"/>
        </w:rPr>
        <w:t xml:space="preserve"> budget, the budget execution</w:t>
      </w:r>
      <w:r w:rsidRPr="000C46A6">
        <w:rPr>
          <w:rFonts w:ascii="Calibri" w:eastAsia="Calibri" w:hAnsi="Calibri" w:cs="Calibri"/>
          <w:sz w:val="22"/>
          <w:szCs w:val="22"/>
        </w:rPr>
        <w:t xml:space="preserve"> and </w:t>
      </w:r>
      <w:r w:rsidRPr="00FA3436">
        <w:rPr>
          <w:rFonts w:ascii="Calibri" w:eastAsia="Calibri" w:hAnsi="Calibri" w:cs="Calibri"/>
          <w:color w:val="auto"/>
          <w:sz w:val="22"/>
          <w:szCs w:val="22"/>
        </w:rPr>
        <w:t xml:space="preserve">the entrustment of the receivables. </w:t>
      </w:r>
      <w:r w:rsidRPr="00FA3436">
        <w:rPr>
          <w:rFonts w:asciiTheme="minorHAnsi" w:hAnsiTheme="minorHAnsi" w:cstheme="minorHAnsi"/>
          <w:sz w:val="22"/>
          <w:szCs w:val="22"/>
        </w:rPr>
        <w:t xml:space="preserve">This is a departure from the principle of good governance which must result in the fact that the party making the payments is not also in charge of the procurement. </w:t>
      </w:r>
      <w:r w:rsidRPr="00C056FE">
        <w:rPr>
          <w:rFonts w:asciiTheme="minorHAnsi" w:hAnsiTheme="minorHAnsi" w:cstheme="minorHAnsi"/>
          <w:sz w:val="22"/>
          <w:szCs w:val="22"/>
        </w:rPr>
        <w:t xml:space="preserve">There is no procurement manual. </w:t>
      </w:r>
      <w:r w:rsidRPr="00313754">
        <w:rPr>
          <w:rFonts w:asciiTheme="minorHAnsi" w:hAnsiTheme="minorHAnsi" w:cstheme="minorHAnsi"/>
          <w:sz w:val="22"/>
          <w:szCs w:val="22"/>
        </w:rPr>
        <w:t>The Procurement</w:t>
      </w:r>
      <w:r w:rsidRPr="009C4AC9">
        <w:rPr>
          <w:rFonts w:asciiTheme="minorHAnsi" w:hAnsiTheme="minorHAnsi" w:cstheme="minorHAnsi"/>
          <w:sz w:val="22"/>
          <w:szCs w:val="22"/>
        </w:rPr>
        <w:t xml:space="preserve"> </w:t>
      </w:r>
      <w:r>
        <w:rPr>
          <w:rFonts w:asciiTheme="minorHAnsi" w:hAnsiTheme="minorHAnsi" w:cstheme="minorHAnsi"/>
          <w:sz w:val="22"/>
          <w:szCs w:val="22"/>
        </w:rPr>
        <w:t>U</w:t>
      </w:r>
      <w:r w:rsidRPr="009C4AC9">
        <w:rPr>
          <w:rFonts w:asciiTheme="minorHAnsi" w:hAnsiTheme="minorHAnsi" w:cstheme="minorHAnsi"/>
          <w:sz w:val="22"/>
          <w:szCs w:val="22"/>
        </w:rPr>
        <w:t xml:space="preserve">nit </w:t>
      </w:r>
      <w:r w:rsidRPr="00D27C13">
        <w:rPr>
          <w:rFonts w:asciiTheme="minorHAnsi" w:hAnsiTheme="minorHAnsi" w:cstheme="minorHAnsi"/>
          <w:sz w:val="22"/>
          <w:szCs w:val="22"/>
        </w:rPr>
        <w:t>uses</w:t>
      </w:r>
      <w:r w:rsidRPr="009C4AC9">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9C4AC9">
        <w:rPr>
          <w:rFonts w:asciiTheme="minorHAnsi" w:hAnsiTheme="minorHAnsi" w:cstheme="minorHAnsi"/>
          <w:sz w:val="22"/>
          <w:szCs w:val="22"/>
        </w:rPr>
        <w:t xml:space="preserve">existing regulatory texts </w:t>
      </w:r>
      <w:r w:rsidRPr="00D27C13">
        <w:rPr>
          <w:rFonts w:asciiTheme="minorHAnsi" w:hAnsiTheme="minorHAnsi" w:cstheme="minorHAnsi"/>
          <w:sz w:val="22"/>
          <w:szCs w:val="22"/>
        </w:rPr>
        <w:t xml:space="preserve">which are numerous </w:t>
      </w:r>
      <w:r w:rsidRPr="009C4AC9">
        <w:rPr>
          <w:rFonts w:asciiTheme="minorHAnsi" w:hAnsiTheme="minorHAnsi" w:cstheme="minorHAnsi"/>
          <w:sz w:val="22"/>
          <w:szCs w:val="22"/>
        </w:rPr>
        <w:t>to conduct its procurement activities.</w:t>
      </w:r>
      <w:r>
        <w:rPr>
          <w:rFonts w:asciiTheme="minorHAnsi" w:hAnsiTheme="minorHAnsi" w:cstheme="minorHAnsi"/>
          <w:sz w:val="22"/>
          <w:szCs w:val="22"/>
        </w:rPr>
        <w:t xml:space="preserve"> </w:t>
      </w:r>
      <w:r w:rsidRPr="002C1D26">
        <w:rPr>
          <w:rFonts w:asciiTheme="minorHAnsi" w:hAnsiTheme="minorHAnsi" w:cstheme="minorHAnsi"/>
          <w:sz w:val="22"/>
          <w:szCs w:val="22"/>
        </w:rPr>
        <w:t>Currently, th</w:t>
      </w:r>
      <w:r>
        <w:rPr>
          <w:rFonts w:asciiTheme="minorHAnsi" w:hAnsiTheme="minorHAnsi" w:cstheme="minorHAnsi"/>
          <w:sz w:val="22"/>
          <w:szCs w:val="22"/>
        </w:rPr>
        <w:t>e u</w:t>
      </w:r>
      <w:r w:rsidRPr="00B87FE6">
        <w:rPr>
          <w:rFonts w:asciiTheme="minorHAnsi" w:hAnsiTheme="minorHAnsi" w:cstheme="minorHAnsi"/>
          <w:sz w:val="22"/>
          <w:szCs w:val="22"/>
        </w:rPr>
        <w:t xml:space="preserve">nit is staffed with only one key </w:t>
      </w:r>
      <w:r w:rsidR="00FA3436">
        <w:rPr>
          <w:rFonts w:asciiTheme="minorHAnsi" w:hAnsiTheme="minorHAnsi" w:cstheme="minorHAnsi"/>
          <w:sz w:val="22"/>
          <w:szCs w:val="22"/>
        </w:rPr>
        <w:t>staff</w:t>
      </w:r>
      <w:r w:rsidRPr="00B87FE6">
        <w:rPr>
          <w:rFonts w:asciiTheme="minorHAnsi" w:hAnsiTheme="minorHAnsi" w:cstheme="minorHAnsi"/>
          <w:sz w:val="22"/>
          <w:szCs w:val="22"/>
        </w:rPr>
        <w:t xml:space="preserve"> with </w:t>
      </w:r>
      <w:r>
        <w:rPr>
          <w:rFonts w:asciiTheme="minorHAnsi" w:hAnsiTheme="minorHAnsi" w:cstheme="minorHAnsi"/>
          <w:sz w:val="22"/>
          <w:szCs w:val="22"/>
        </w:rPr>
        <w:t xml:space="preserve">procurement experience and has undergone </w:t>
      </w:r>
      <w:r w:rsidRPr="00B87FE6">
        <w:rPr>
          <w:rFonts w:asciiTheme="minorHAnsi" w:hAnsiTheme="minorHAnsi" w:cstheme="minorHAnsi"/>
          <w:sz w:val="22"/>
          <w:szCs w:val="22"/>
        </w:rPr>
        <w:t>procurement</w:t>
      </w:r>
      <w:r>
        <w:rPr>
          <w:rFonts w:asciiTheme="minorHAnsi" w:hAnsiTheme="minorHAnsi" w:cstheme="minorHAnsi"/>
          <w:sz w:val="22"/>
          <w:szCs w:val="22"/>
        </w:rPr>
        <w:t xml:space="preserve"> training on national procedures</w:t>
      </w:r>
      <w:r w:rsidRPr="00B87FE6">
        <w:rPr>
          <w:rFonts w:asciiTheme="minorHAnsi" w:hAnsiTheme="minorHAnsi" w:cstheme="minorHAnsi"/>
          <w:sz w:val="22"/>
          <w:szCs w:val="22"/>
        </w:rPr>
        <w:t>.</w:t>
      </w:r>
      <w:r w:rsidRPr="00E4720F">
        <w:rPr>
          <w:rFonts w:ascii="Times New Roman" w:hAnsi="Times New Roman"/>
        </w:rPr>
        <w:t xml:space="preserve"> </w:t>
      </w:r>
      <w:r w:rsidRPr="00D6458A">
        <w:rPr>
          <w:rFonts w:asciiTheme="minorHAnsi" w:hAnsiTheme="minorHAnsi" w:cstheme="minorHAnsi"/>
          <w:sz w:val="22"/>
          <w:szCs w:val="22"/>
        </w:rPr>
        <w:t xml:space="preserve">This </w:t>
      </w:r>
      <w:r w:rsidR="00B95C69">
        <w:rPr>
          <w:rFonts w:asciiTheme="minorHAnsi" w:hAnsiTheme="minorHAnsi" w:cstheme="minorHAnsi"/>
          <w:sz w:val="22"/>
          <w:szCs w:val="22"/>
        </w:rPr>
        <w:t>staff</w:t>
      </w:r>
      <w:r w:rsidRPr="00D6458A">
        <w:rPr>
          <w:rFonts w:asciiTheme="minorHAnsi" w:hAnsiTheme="minorHAnsi" w:cstheme="minorHAnsi"/>
          <w:sz w:val="22"/>
          <w:szCs w:val="22"/>
        </w:rPr>
        <w:t xml:space="preserve"> is supported by only one </w:t>
      </w:r>
      <w:r w:rsidRPr="0075769E">
        <w:rPr>
          <w:rFonts w:asciiTheme="minorHAnsi" w:hAnsiTheme="minorHAnsi" w:cstheme="minorHAnsi"/>
          <w:sz w:val="22"/>
          <w:szCs w:val="22"/>
        </w:rPr>
        <w:t>trainee staff</w:t>
      </w:r>
      <w:r>
        <w:rPr>
          <w:rFonts w:cstheme="minorHAnsi"/>
        </w:rPr>
        <w:t xml:space="preserve"> </w:t>
      </w:r>
      <w:r>
        <w:rPr>
          <w:rFonts w:asciiTheme="minorHAnsi" w:hAnsiTheme="minorHAnsi" w:cstheme="minorHAnsi"/>
          <w:sz w:val="22"/>
          <w:szCs w:val="22"/>
        </w:rPr>
        <w:t xml:space="preserve">and there is </w:t>
      </w:r>
      <w:r w:rsidR="00FA3436">
        <w:rPr>
          <w:rFonts w:asciiTheme="minorHAnsi" w:hAnsiTheme="minorHAnsi" w:cstheme="minorHAnsi"/>
          <w:sz w:val="22"/>
          <w:szCs w:val="22"/>
        </w:rPr>
        <w:t xml:space="preserve">a </w:t>
      </w:r>
      <w:r>
        <w:rPr>
          <w:rFonts w:asciiTheme="minorHAnsi" w:hAnsiTheme="minorHAnsi" w:cstheme="minorHAnsi"/>
          <w:sz w:val="22"/>
          <w:szCs w:val="22"/>
        </w:rPr>
        <w:t xml:space="preserve">need to have additional procurement staff recruited for the unit. </w:t>
      </w:r>
      <w:r w:rsidRPr="007A6F32">
        <w:rPr>
          <w:rFonts w:ascii="Calibri" w:eastAsia="Calibri" w:hAnsi="Calibri" w:cs="Calibri"/>
          <w:color w:val="auto"/>
          <w:sz w:val="22"/>
          <w:szCs w:val="22"/>
        </w:rPr>
        <w:t xml:space="preserve">The risks identified during the assessment of </w:t>
      </w:r>
      <w:r w:rsidR="005B759C">
        <w:rPr>
          <w:rFonts w:ascii="Calibri" w:eastAsia="Calibri" w:hAnsi="Calibri" w:cs="Calibri"/>
          <w:color w:val="auto"/>
          <w:sz w:val="22"/>
          <w:szCs w:val="22"/>
        </w:rPr>
        <w:t xml:space="preserve">the </w:t>
      </w:r>
      <w:r>
        <w:rPr>
          <w:rFonts w:ascii="Calibri" w:eastAsia="Calibri" w:hAnsi="Calibri" w:cs="Calibri"/>
          <w:color w:val="auto"/>
          <w:sz w:val="22"/>
          <w:szCs w:val="22"/>
        </w:rPr>
        <w:t>UAM Procurement Unit</w:t>
      </w:r>
      <w:r w:rsidRPr="007A6F32">
        <w:rPr>
          <w:rFonts w:ascii="Calibri" w:eastAsia="Calibri" w:hAnsi="Calibri" w:cs="Calibri"/>
          <w:color w:val="auto"/>
          <w:sz w:val="22"/>
          <w:szCs w:val="22"/>
        </w:rPr>
        <w:t xml:space="preserve"> are: (i) </w:t>
      </w:r>
      <w:r w:rsidR="00FA3436">
        <w:rPr>
          <w:rFonts w:ascii="Calibri" w:eastAsia="Calibri" w:hAnsi="Calibri" w:cs="Calibri"/>
          <w:color w:val="auto"/>
          <w:sz w:val="22"/>
          <w:szCs w:val="22"/>
        </w:rPr>
        <w:t xml:space="preserve">the </w:t>
      </w:r>
      <w:r w:rsidRPr="007A6F32">
        <w:rPr>
          <w:rFonts w:ascii="Calibri" w:eastAsia="Calibri" w:hAnsi="Calibri" w:cs="Calibri"/>
          <w:color w:val="auto"/>
          <w:sz w:val="22"/>
          <w:szCs w:val="22"/>
        </w:rPr>
        <w:t xml:space="preserve">lack of </w:t>
      </w:r>
      <w:r>
        <w:rPr>
          <w:rFonts w:ascii="Calibri" w:eastAsia="Calibri" w:hAnsi="Calibri" w:cs="Calibri"/>
        </w:rPr>
        <w:t>a</w:t>
      </w:r>
      <w:r>
        <w:rPr>
          <w:rFonts w:ascii="Calibri" w:eastAsia="Calibri" w:hAnsi="Calibri" w:cs="Calibri"/>
          <w:color w:val="auto"/>
          <w:sz w:val="22"/>
          <w:szCs w:val="22"/>
        </w:rPr>
        <w:t xml:space="preserve"> procurement manual</w:t>
      </w:r>
      <w:r>
        <w:rPr>
          <w:rFonts w:ascii="Calibri" w:eastAsia="Calibri" w:hAnsi="Calibri" w:cs="Calibri"/>
        </w:rPr>
        <w:t>;</w:t>
      </w:r>
      <w:r w:rsidRPr="007A6F32">
        <w:rPr>
          <w:rFonts w:ascii="Calibri" w:eastAsia="Calibri" w:hAnsi="Calibri" w:cs="Calibri"/>
          <w:color w:val="auto"/>
          <w:sz w:val="22"/>
          <w:szCs w:val="22"/>
        </w:rPr>
        <w:t xml:space="preserve"> (</w:t>
      </w:r>
      <w:r w:rsidRPr="00A44101">
        <w:rPr>
          <w:rFonts w:ascii="Calibri" w:eastAsia="Calibri" w:hAnsi="Calibri" w:cs="Calibri"/>
          <w:color w:val="auto"/>
          <w:sz w:val="22"/>
          <w:szCs w:val="22"/>
        </w:rPr>
        <w:t xml:space="preserve">ii) </w:t>
      </w:r>
      <w:r>
        <w:rPr>
          <w:rFonts w:ascii="Calibri" w:eastAsia="Calibri" w:hAnsi="Calibri" w:cs="Calibri"/>
          <w:color w:val="auto"/>
          <w:sz w:val="22"/>
          <w:szCs w:val="22"/>
        </w:rPr>
        <w:t>too many procurement activities for the procurement specialist of UAM,</w:t>
      </w:r>
      <w:r>
        <w:rPr>
          <w:rFonts w:ascii="Calibri" w:eastAsia="Calibri" w:hAnsi="Calibri" w:cs="Calibri"/>
        </w:rPr>
        <w:t xml:space="preserve"> which</w:t>
      </w:r>
      <w:r>
        <w:rPr>
          <w:rFonts w:ascii="Calibri" w:eastAsia="Calibri" w:hAnsi="Calibri" w:cs="Calibri"/>
          <w:color w:val="auto"/>
          <w:sz w:val="22"/>
          <w:szCs w:val="22"/>
        </w:rPr>
        <w:t xml:space="preserve"> may affect the quality of documentation and project performance</w:t>
      </w:r>
      <w:r w:rsidR="00FA3436">
        <w:rPr>
          <w:rFonts w:ascii="Calibri" w:eastAsia="Calibri" w:hAnsi="Calibri" w:cs="Calibri"/>
          <w:color w:val="auto"/>
          <w:sz w:val="22"/>
          <w:szCs w:val="22"/>
        </w:rPr>
        <w:t>;</w:t>
      </w:r>
      <w:r>
        <w:rPr>
          <w:rFonts w:ascii="Calibri" w:eastAsia="Calibri" w:hAnsi="Calibri" w:cs="Calibri"/>
          <w:color w:val="auto"/>
          <w:sz w:val="22"/>
          <w:szCs w:val="22"/>
        </w:rPr>
        <w:t xml:space="preserve"> (iii) </w:t>
      </w:r>
      <w:r w:rsidRPr="007D7372">
        <w:rPr>
          <w:rFonts w:ascii="Calibri" w:eastAsia="Calibri" w:hAnsi="Calibri" w:cs="Calibri"/>
          <w:color w:val="auto"/>
          <w:sz w:val="22"/>
          <w:szCs w:val="22"/>
        </w:rPr>
        <w:t xml:space="preserve">delays in </w:t>
      </w:r>
      <w:r>
        <w:rPr>
          <w:rFonts w:ascii="Calibri" w:eastAsia="Calibri" w:hAnsi="Calibri" w:cs="Calibri"/>
          <w:color w:val="auto"/>
          <w:sz w:val="22"/>
          <w:szCs w:val="22"/>
        </w:rPr>
        <w:t>evaluation by the evaluation committee and award</w:t>
      </w:r>
      <w:r>
        <w:rPr>
          <w:rFonts w:ascii="Calibri" w:eastAsia="Calibri" w:hAnsi="Calibri" w:cs="Calibri"/>
        </w:rPr>
        <w:t>ing</w:t>
      </w:r>
      <w:r>
        <w:rPr>
          <w:rFonts w:ascii="Calibri" w:eastAsia="Calibri" w:hAnsi="Calibri" w:cs="Calibri"/>
          <w:color w:val="auto"/>
          <w:sz w:val="22"/>
          <w:szCs w:val="22"/>
        </w:rPr>
        <w:t xml:space="preserve"> of contracts</w:t>
      </w:r>
      <w:r>
        <w:rPr>
          <w:rFonts w:ascii="Calibri" w:eastAsia="Calibri" w:hAnsi="Calibri" w:cs="Calibri"/>
        </w:rPr>
        <w:t>;</w:t>
      </w:r>
      <w:r w:rsidRPr="007D7372">
        <w:rPr>
          <w:rFonts w:ascii="Calibri" w:eastAsia="Calibri" w:hAnsi="Calibri" w:cs="Calibri"/>
          <w:color w:val="auto"/>
          <w:sz w:val="22"/>
          <w:szCs w:val="22"/>
        </w:rPr>
        <w:t xml:space="preserve"> and (i</w:t>
      </w:r>
      <w:r>
        <w:rPr>
          <w:rFonts w:ascii="Calibri" w:eastAsia="Calibri" w:hAnsi="Calibri" w:cs="Calibri"/>
          <w:color w:val="auto"/>
          <w:sz w:val="22"/>
          <w:szCs w:val="22"/>
        </w:rPr>
        <w:t>v</w:t>
      </w:r>
      <w:r w:rsidRPr="007D7372">
        <w:rPr>
          <w:rFonts w:ascii="Calibri" w:eastAsia="Calibri" w:hAnsi="Calibri" w:cs="Calibri"/>
          <w:color w:val="auto"/>
          <w:sz w:val="22"/>
          <w:szCs w:val="22"/>
        </w:rPr>
        <w:t xml:space="preserve">) </w:t>
      </w:r>
      <w:r w:rsidR="00FA3436">
        <w:rPr>
          <w:rFonts w:ascii="Calibri" w:eastAsia="Calibri" w:hAnsi="Calibri" w:cs="Calibri"/>
          <w:color w:val="auto"/>
          <w:sz w:val="22"/>
          <w:szCs w:val="22"/>
        </w:rPr>
        <w:t xml:space="preserve">the </w:t>
      </w:r>
      <w:r w:rsidRPr="007D7372">
        <w:rPr>
          <w:rFonts w:ascii="Calibri" w:eastAsia="Calibri" w:hAnsi="Calibri" w:cs="Calibri"/>
          <w:color w:val="auto"/>
          <w:sz w:val="22"/>
          <w:szCs w:val="22"/>
        </w:rPr>
        <w:t>lack of a dedicated archiving room with a trained staff</w:t>
      </w:r>
      <w:r w:rsidR="0065171B">
        <w:rPr>
          <w:rFonts w:ascii="Calibri" w:eastAsia="Calibri" w:hAnsi="Calibri" w:cs="Calibri"/>
          <w:color w:val="auto"/>
          <w:sz w:val="22"/>
          <w:szCs w:val="22"/>
        </w:rPr>
        <w:t xml:space="preserve"> member</w:t>
      </w:r>
      <w:r w:rsidRPr="007D7372">
        <w:rPr>
          <w:rFonts w:ascii="Calibri" w:eastAsia="Calibri" w:hAnsi="Calibri" w:cs="Calibri"/>
          <w:color w:val="auto"/>
          <w:sz w:val="22"/>
          <w:szCs w:val="22"/>
        </w:rPr>
        <w:t xml:space="preserve"> for its management.</w:t>
      </w:r>
    </w:p>
    <w:p w14:paraId="1800A5D1" w14:textId="77777777" w:rsidR="00801EEC" w:rsidRPr="008E303E" w:rsidRDefault="00B00100" w:rsidP="006C70A5">
      <w:pPr>
        <w:widowControl/>
        <w:numPr>
          <w:ilvl w:val="0"/>
          <w:numId w:val="30"/>
        </w:numPr>
        <w:tabs>
          <w:tab w:val="left" w:pos="450"/>
        </w:tabs>
        <w:autoSpaceDE/>
        <w:autoSpaceDN/>
        <w:adjustRightInd/>
        <w:spacing w:after="240"/>
        <w:ind w:left="0" w:right="720" w:firstLine="0"/>
        <w:jc w:val="both"/>
        <w:rPr>
          <w:rFonts w:asciiTheme="minorHAnsi" w:eastAsia="Calibri" w:hAnsiTheme="minorHAnsi" w:cstheme="minorHAnsi"/>
          <w:color w:val="auto"/>
          <w:sz w:val="22"/>
          <w:szCs w:val="22"/>
        </w:rPr>
      </w:pPr>
      <w:r w:rsidRPr="00DA01D5">
        <w:rPr>
          <w:rFonts w:ascii="Calibri" w:eastAsia="Calibri" w:hAnsi="Calibri" w:cs="Calibri"/>
          <w:color w:val="auto"/>
          <w:sz w:val="22"/>
          <w:szCs w:val="22"/>
        </w:rPr>
        <w:t xml:space="preserve">In the case of </w:t>
      </w:r>
      <w:r>
        <w:rPr>
          <w:rFonts w:ascii="Calibri" w:eastAsia="Calibri" w:hAnsi="Calibri" w:cs="Calibri"/>
          <w:color w:val="auto"/>
          <w:sz w:val="22"/>
          <w:szCs w:val="22"/>
        </w:rPr>
        <w:t>EMIG</w:t>
      </w:r>
      <w:r w:rsidRPr="00DA01D5">
        <w:rPr>
          <w:rFonts w:ascii="Calibri" w:eastAsia="Calibri" w:hAnsi="Calibri" w:cs="Calibri"/>
          <w:color w:val="auto"/>
          <w:sz w:val="22"/>
          <w:szCs w:val="22"/>
        </w:rPr>
        <w:t>,</w:t>
      </w:r>
      <w:r>
        <w:rPr>
          <w:rFonts w:ascii="Calibri" w:eastAsia="Calibri" w:hAnsi="Calibri" w:cs="Calibri"/>
          <w:color w:val="auto"/>
          <w:sz w:val="22"/>
          <w:szCs w:val="22"/>
        </w:rPr>
        <w:t xml:space="preserve"> </w:t>
      </w:r>
      <w:r w:rsidRPr="00DA01D5">
        <w:rPr>
          <w:rFonts w:ascii="Calibri" w:eastAsia="Calibri" w:hAnsi="Calibri" w:cs="Calibri"/>
          <w:color w:val="auto"/>
          <w:sz w:val="22"/>
          <w:szCs w:val="22"/>
        </w:rPr>
        <w:t>t</w:t>
      </w:r>
      <w:r w:rsidRPr="00742F2A">
        <w:rPr>
          <w:rFonts w:ascii="Calibri" w:eastAsia="Calibri" w:hAnsi="Calibri" w:cs="Calibri"/>
          <w:color w:val="auto"/>
          <w:sz w:val="22"/>
          <w:szCs w:val="22"/>
        </w:rPr>
        <w:t xml:space="preserve">he existing manual </w:t>
      </w:r>
      <w:r>
        <w:rPr>
          <w:rFonts w:ascii="Calibri" w:eastAsia="Calibri" w:hAnsi="Calibri" w:cs="Calibri"/>
          <w:color w:val="auto"/>
          <w:sz w:val="22"/>
          <w:szCs w:val="22"/>
        </w:rPr>
        <w:t>for</w:t>
      </w:r>
      <w:r w:rsidRPr="00DA01D5">
        <w:rPr>
          <w:rFonts w:ascii="Calibri" w:eastAsia="Calibri" w:hAnsi="Calibri" w:cs="Calibri"/>
          <w:color w:val="auto"/>
          <w:sz w:val="22"/>
          <w:szCs w:val="22"/>
        </w:rPr>
        <w:t xml:space="preserve"> </w:t>
      </w:r>
      <w:r w:rsidRPr="00742F2A">
        <w:rPr>
          <w:rFonts w:ascii="Calibri" w:eastAsia="Calibri" w:hAnsi="Calibri" w:cs="Calibri"/>
          <w:color w:val="auto"/>
          <w:sz w:val="22"/>
          <w:szCs w:val="22"/>
        </w:rPr>
        <w:t xml:space="preserve">administrative and accounting procedures was adopted on </w:t>
      </w:r>
      <w:r w:rsidR="000B75A4" w:rsidRPr="00742F2A">
        <w:rPr>
          <w:rFonts w:ascii="Calibri" w:eastAsia="Calibri" w:hAnsi="Calibri" w:cs="Calibri"/>
          <w:color w:val="auto"/>
          <w:sz w:val="22"/>
          <w:szCs w:val="22"/>
        </w:rPr>
        <w:t>March 27, 2009</w:t>
      </w:r>
      <w:r w:rsidR="000B75A4" w:rsidRPr="00DA01D5">
        <w:rPr>
          <w:rFonts w:ascii="Calibri" w:eastAsia="Calibri" w:hAnsi="Calibri" w:cs="Calibri"/>
          <w:color w:val="auto"/>
          <w:sz w:val="22"/>
          <w:szCs w:val="22"/>
        </w:rPr>
        <w:t xml:space="preserve"> and</w:t>
      </w:r>
      <w:r>
        <w:rPr>
          <w:rFonts w:ascii="Calibri" w:eastAsia="Calibri" w:hAnsi="Calibri" w:cs="Calibri"/>
          <w:color w:val="auto"/>
          <w:sz w:val="22"/>
          <w:szCs w:val="22"/>
        </w:rPr>
        <w:t xml:space="preserve"> </w:t>
      </w:r>
      <w:r w:rsidRPr="00742F2A">
        <w:rPr>
          <w:rFonts w:ascii="Calibri" w:eastAsia="Calibri" w:hAnsi="Calibri" w:cs="Calibri"/>
          <w:color w:val="auto"/>
          <w:sz w:val="22"/>
          <w:szCs w:val="22"/>
        </w:rPr>
        <w:t>is outdated</w:t>
      </w:r>
      <w:r>
        <w:rPr>
          <w:rFonts w:ascii="Calibri" w:eastAsia="Calibri" w:hAnsi="Calibri" w:cs="Calibri"/>
          <w:color w:val="auto"/>
          <w:sz w:val="22"/>
          <w:szCs w:val="22"/>
        </w:rPr>
        <w:t>.</w:t>
      </w:r>
      <w:r w:rsidRPr="00742F2A">
        <w:rPr>
          <w:rFonts w:ascii="Calibri" w:eastAsia="Calibri" w:hAnsi="Calibri" w:cs="Calibri"/>
          <w:color w:val="auto"/>
          <w:sz w:val="22"/>
          <w:szCs w:val="22"/>
        </w:rPr>
        <w:t xml:space="preserve"> There is an accounting and financial department but </w:t>
      </w:r>
      <w:r>
        <w:rPr>
          <w:rFonts w:ascii="Calibri" w:eastAsia="Calibri" w:hAnsi="Calibri" w:cs="Calibri"/>
          <w:color w:val="auto"/>
          <w:sz w:val="22"/>
          <w:szCs w:val="22"/>
        </w:rPr>
        <w:t xml:space="preserve">there is </w:t>
      </w:r>
      <w:r w:rsidRPr="00742F2A">
        <w:rPr>
          <w:rFonts w:ascii="Calibri" w:eastAsia="Calibri" w:hAnsi="Calibri" w:cs="Calibri"/>
          <w:color w:val="auto"/>
          <w:sz w:val="22"/>
          <w:szCs w:val="22"/>
        </w:rPr>
        <w:t xml:space="preserve">no </w:t>
      </w:r>
      <w:r w:rsidRPr="00FA3436">
        <w:rPr>
          <w:rFonts w:ascii="Calibri" w:eastAsia="Calibri" w:hAnsi="Calibri" w:cs="Calibri"/>
          <w:color w:val="auto"/>
          <w:sz w:val="22"/>
          <w:szCs w:val="22"/>
        </w:rPr>
        <w:t>procurement unit</w:t>
      </w:r>
      <w:r w:rsidRPr="00FA3436">
        <w:rPr>
          <w:rFonts w:asciiTheme="minorHAnsi" w:eastAsia="Calibri" w:hAnsiTheme="minorHAnsi" w:cstheme="minorHAnsi"/>
          <w:color w:val="auto"/>
          <w:sz w:val="22"/>
          <w:szCs w:val="22"/>
        </w:rPr>
        <w:t>.</w:t>
      </w:r>
      <w:r w:rsidRPr="000C46A6">
        <w:rPr>
          <w:rFonts w:eastAsia="Calibri" w:cstheme="minorHAnsi"/>
          <w:sz w:val="22"/>
          <w:szCs w:val="22"/>
        </w:rPr>
        <w:t xml:space="preserve"> </w:t>
      </w:r>
      <w:r w:rsidRPr="00FA3436">
        <w:rPr>
          <w:rFonts w:asciiTheme="minorHAnsi" w:hAnsiTheme="minorHAnsi" w:cstheme="minorHAnsi"/>
          <w:sz w:val="22"/>
          <w:szCs w:val="22"/>
        </w:rPr>
        <w:t>When required, the</w:t>
      </w:r>
      <w:r w:rsidRPr="000C46A6">
        <w:rPr>
          <w:rFonts w:cstheme="minorHAnsi"/>
          <w:sz w:val="22"/>
          <w:szCs w:val="22"/>
        </w:rPr>
        <w:t xml:space="preserve"> </w:t>
      </w:r>
      <w:r w:rsidRPr="00FA3436">
        <w:rPr>
          <w:rFonts w:asciiTheme="minorHAnsi" w:hAnsiTheme="minorHAnsi" w:cstheme="minorHAnsi"/>
          <w:sz w:val="22"/>
          <w:szCs w:val="22"/>
        </w:rPr>
        <w:t xml:space="preserve">General Director sets up a procurement committee in accordance with the national regulatory texts. </w:t>
      </w:r>
      <w:r w:rsidRPr="000C46A6">
        <w:rPr>
          <w:rFonts w:asciiTheme="minorHAnsi" w:eastAsia="Calibri" w:hAnsiTheme="minorHAnsi" w:cstheme="minorHAnsi"/>
          <w:color w:val="auto"/>
          <w:sz w:val="22"/>
          <w:szCs w:val="22"/>
        </w:rPr>
        <w:t xml:space="preserve">The risks identified during the assessment of EMIG are the following: (i) </w:t>
      </w:r>
      <w:r w:rsidRPr="00FA3436">
        <w:rPr>
          <w:rFonts w:asciiTheme="minorHAnsi" w:hAnsiTheme="minorHAnsi" w:cstheme="minorHAnsi"/>
          <w:sz w:val="22"/>
          <w:szCs w:val="22"/>
        </w:rPr>
        <w:t>the organization chart adopted on April 20, 2018</w:t>
      </w:r>
      <w:r w:rsidRPr="000C46A6">
        <w:rPr>
          <w:rFonts w:asciiTheme="minorHAnsi" w:hAnsiTheme="minorHAnsi" w:cstheme="minorHAnsi"/>
          <w:sz w:val="22"/>
          <w:szCs w:val="22"/>
        </w:rPr>
        <w:t>,</w:t>
      </w:r>
      <w:r w:rsidRPr="00FA3436">
        <w:rPr>
          <w:rFonts w:asciiTheme="minorHAnsi" w:hAnsiTheme="minorHAnsi" w:cstheme="minorHAnsi"/>
          <w:sz w:val="22"/>
          <w:szCs w:val="22"/>
        </w:rPr>
        <w:t xml:space="preserve"> does</w:t>
      </w:r>
      <w:r w:rsidRPr="000C46A6">
        <w:rPr>
          <w:rFonts w:asciiTheme="minorHAnsi" w:hAnsiTheme="minorHAnsi" w:cstheme="minorHAnsi"/>
          <w:sz w:val="22"/>
          <w:szCs w:val="22"/>
        </w:rPr>
        <w:t xml:space="preserve"> not</w:t>
      </w:r>
      <w:r w:rsidRPr="00FA3436">
        <w:rPr>
          <w:rFonts w:asciiTheme="minorHAnsi" w:hAnsiTheme="minorHAnsi" w:cstheme="minorHAnsi"/>
          <w:sz w:val="22"/>
          <w:szCs w:val="22"/>
        </w:rPr>
        <w:t xml:space="preserve"> include a procurement service</w:t>
      </w:r>
      <w:r w:rsidRPr="000C46A6">
        <w:rPr>
          <w:rFonts w:asciiTheme="minorHAnsi" w:hAnsiTheme="minorHAnsi" w:cstheme="minorHAnsi"/>
          <w:sz w:val="22"/>
          <w:szCs w:val="22"/>
        </w:rPr>
        <w:t xml:space="preserve"> unit; </w:t>
      </w:r>
      <w:r w:rsidRPr="00FA3436">
        <w:rPr>
          <w:rFonts w:asciiTheme="minorHAnsi" w:hAnsiTheme="minorHAnsi" w:cstheme="minorHAnsi"/>
          <w:sz w:val="22"/>
          <w:szCs w:val="22"/>
        </w:rPr>
        <w:t>(ii)</w:t>
      </w:r>
      <w:r w:rsidRPr="000C46A6">
        <w:rPr>
          <w:rFonts w:asciiTheme="minorHAnsi" w:eastAsia="Calibri" w:hAnsiTheme="minorHAnsi" w:cstheme="minorHAnsi"/>
          <w:color w:val="auto"/>
          <w:sz w:val="22"/>
          <w:szCs w:val="22"/>
        </w:rPr>
        <w:t xml:space="preserve"> </w:t>
      </w:r>
      <w:r w:rsidRPr="00FA3436">
        <w:rPr>
          <w:rFonts w:asciiTheme="minorHAnsi" w:hAnsiTheme="minorHAnsi" w:cstheme="minorHAnsi"/>
          <w:sz w:val="22"/>
          <w:szCs w:val="22"/>
        </w:rPr>
        <w:t>the administrative and accounting manual of procedures is outdated</w:t>
      </w:r>
      <w:r w:rsidR="0086053A">
        <w:rPr>
          <w:rFonts w:asciiTheme="minorHAnsi" w:hAnsiTheme="minorHAnsi" w:cstheme="minorHAnsi"/>
          <w:sz w:val="22"/>
          <w:szCs w:val="22"/>
        </w:rPr>
        <w:t>;</w:t>
      </w:r>
      <w:r w:rsidRPr="000C46A6">
        <w:rPr>
          <w:rFonts w:asciiTheme="minorHAnsi" w:eastAsia="Calibri" w:hAnsiTheme="minorHAnsi" w:cstheme="minorHAnsi"/>
          <w:color w:val="auto"/>
          <w:sz w:val="22"/>
          <w:szCs w:val="22"/>
        </w:rPr>
        <w:t xml:space="preserve"> (i</w:t>
      </w:r>
      <w:r w:rsidR="0065171B">
        <w:rPr>
          <w:rFonts w:asciiTheme="minorHAnsi" w:eastAsia="Calibri" w:hAnsiTheme="minorHAnsi" w:cstheme="minorHAnsi"/>
          <w:color w:val="auto"/>
          <w:sz w:val="22"/>
          <w:szCs w:val="22"/>
        </w:rPr>
        <w:t>ii</w:t>
      </w:r>
      <w:r w:rsidRPr="000C46A6">
        <w:rPr>
          <w:rFonts w:asciiTheme="minorHAnsi" w:eastAsia="Calibri" w:hAnsiTheme="minorHAnsi" w:cstheme="minorHAnsi"/>
          <w:color w:val="auto"/>
          <w:sz w:val="22"/>
          <w:szCs w:val="22"/>
        </w:rPr>
        <w:t xml:space="preserve">) lack </w:t>
      </w:r>
      <w:r w:rsidRPr="000C46A6">
        <w:rPr>
          <w:rFonts w:asciiTheme="minorHAnsi" w:eastAsia="Calibri" w:hAnsiTheme="minorHAnsi" w:cstheme="minorHAnsi"/>
          <w:sz w:val="22"/>
          <w:szCs w:val="22"/>
        </w:rPr>
        <w:t xml:space="preserve">of a </w:t>
      </w:r>
      <w:r w:rsidRPr="000C46A6">
        <w:rPr>
          <w:rFonts w:asciiTheme="minorHAnsi" w:eastAsia="Calibri" w:hAnsiTheme="minorHAnsi" w:cstheme="minorHAnsi"/>
          <w:color w:val="auto"/>
          <w:sz w:val="22"/>
          <w:szCs w:val="22"/>
        </w:rPr>
        <w:t xml:space="preserve">Procurement Specialist </w:t>
      </w:r>
      <w:r w:rsidRPr="000C46A6">
        <w:rPr>
          <w:rFonts w:asciiTheme="minorHAnsi" w:eastAsia="Calibri" w:hAnsiTheme="minorHAnsi" w:cstheme="minorHAnsi"/>
          <w:sz w:val="22"/>
          <w:szCs w:val="22"/>
        </w:rPr>
        <w:t>who</w:t>
      </w:r>
      <w:r w:rsidRPr="000C46A6">
        <w:rPr>
          <w:rFonts w:asciiTheme="minorHAnsi" w:eastAsia="Calibri" w:hAnsiTheme="minorHAnsi" w:cstheme="minorHAnsi"/>
          <w:color w:val="auto"/>
          <w:sz w:val="22"/>
          <w:szCs w:val="22"/>
        </w:rPr>
        <w:t xml:space="preserve"> is proficient in </w:t>
      </w:r>
      <w:r w:rsidRPr="000C46A6">
        <w:rPr>
          <w:rFonts w:asciiTheme="minorHAnsi" w:eastAsia="Calibri" w:hAnsiTheme="minorHAnsi" w:cstheme="minorHAnsi"/>
          <w:sz w:val="22"/>
          <w:szCs w:val="22"/>
        </w:rPr>
        <w:t>n</w:t>
      </w:r>
      <w:r w:rsidRPr="000C46A6">
        <w:rPr>
          <w:rFonts w:asciiTheme="minorHAnsi" w:eastAsia="Calibri" w:hAnsiTheme="minorHAnsi" w:cstheme="minorHAnsi"/>
          <w:color w:val="auto"/>
          <w:sz w:val="22"/>
          <w:szCs w:val="22"/>
        </w:rPr>
        <w:t>ational</w:t>
      </w:r>
      <w:r w:rsidRPr="00FA3436">
        <w:rPr>
          <w:rFonts w:ascii="Calibri" w:eastAsia="Calibri" w:hAnsi="Calibri" w:cs="Calibri"/>
          <w:color w:val="auto"/>
          <w:sz w:val="22"/>
          <w:szCs w:val="22"/>
        </w:rPr>
        <w:t xml:space="preserve"> </w:t>
      </w:r>
      <w:r w:rsidRPr="000C46A6">
        <w:rPr>
          <w:rFonts w:ascii="Calibri" w:eastAsia="Calibri" w:hAnsi="Calibri" w:cs="Calibri"/>
          <w:sz w:val="22"/>
          <w:szCs w:val="22"/>
        </w:rPr>
        <w:t>procurement p</w:t>
      </w:r>
      <w:r w:rsidRPr="00FA3436">
        <w:rPr>
          <w:rFonts w:ascii="Calibri" w:eastAsia="Calibri" w:hAnsi="Calibri" w:cs="Calibri"/>
          <w:color w:val="auto"/>
          <w:sz w:val="22"/>
          <w:szCs w:val="22"/>
        </w:rPr>
        <w:t>rocedures</w:t>
      </w:r>
      <w:r w:rsidRPr="000C46A6">
        <w:rPr>
          <w:rFonts w:ascii="Calibri" w:eastAsia="Calibri" w:hAnsi="Calibri" w:cs="Calibri"/>
          <w:sz w:val="22"/>
          <w:szCs w:val="22"/>
        </w:rPr>
        <w:t>;</w:t>
      </w:r>
      <w:r w:rsidRPr="00FA3436">
        <w:rPr>
          <w:rFonts w:ascii="Calibri" w:eastAsia="Calibri" w:hAnsi="Calibri" w:cs="Calibri"/>
          <w:color w:val="auto"/>
          <w:sz w:val="22"/>
          <w:szCs w:val="22"/>
        </w:rPr>
        <w:t xml:space="preserve"> (</w:t>
      </w:r>
      <w:r w:rsidR="00481727">
        <w:rPr>
          <w:rFonts w:ascii="Calibri" w:eastAsia="Calibri" w:hAnsi="Calibri" w:cs="Calibri"/>
          <w:color w:val="auto"/>
          <w:sz w:val="22"/>
          <w:szCs w:val="22"/>
        </w:rPr>
        <w:t>i</w:t>
      </w:r>
      <w:r w:rsidRPr="00FA3436">
        <w:rPr>
          <w:rFonts w:ascii="Calibri" w:eastAsia="Calibri" w:hAnsi="Calibri" w:cs="Calibri"/>
          <w:color w:val="auto"/>
          <w:sz w:val="22"/>
          <w:szCs w:val="22"/>
        </w:rPr>
        <w:t>v) delays in activities which are linked to evaluation committee management and awarding of contracts</w:t>
      </w:r>
      <w:r w:rsidRPr="000C46A6">
        <w:rPr>
          <w:rFonts w:ascii="Calibri" w:eastAsia="Calibri" w:hAnsi="Calibri" w:cs="Calibri"/>
          <w:sz w:val="22"/>
          <w:szCs w:val="22"/>
        </w:rPr>
        <w:t>;</w:t>
      </w:r>
      <w:r w:rsidRPr="00FA3436">
        <w:rPr>
          <w:rFonts w:ascii="Calibri" w:eastAsia="Calibri" w:hAnsi="Calibri" w:cs="Calibri"/>
          <w:color w:val="auto"/>
          <w:sz w:val="22"/>
          <w:szCs w:val="22"/>
        </w:rPr>
        <w:t xml:space="preserve"> and (v) lack of a dedicated archiving</w:t>
      </w:r>
      <w:r w:rsidRPr="007D7372">
        <w:rPr>
          <w:rFonts w:ascii="Calibri" w:eastAsia="Calibri" w:hAnsi="Calibri" w:cs="Calibri"/>
          <w:color w:val="auto"/>
          <w:sz w:val="22"/>
          <w:szCs w:val="22"/>
        </w:rPr>
        <w:t xml:space="preserve"> room with a trained staff for its management.</w:t>
      </w:r>
    </w:p>
    <w:p w14:paraId="6BE60A68" w14:textId="77777777" w:rsidR="00801EEC" w:rsidRPr="000D68F4" w:rsidRDefault="00B00100" w:rsidP="006C70A5">
      <w:pPr>
        <w:widowControl/>
        <w:numPr>
          <w:ilvl w:val="0"/>
          <w:numId w:val="30"/>
        </w:numPr>
        <w:tabs>
          <w:tab w:val="left" w:pos="450"/>
        </w:tabs>
        <w:autoSpaceDE/>
        <w:autoSpaceDN/>
        <w:adjustRightInd/>
        <w:spacing w:after="240"/>
        <w:ind w:left="0" w:right="720" w:firstLine="0"/>
        <w:jc w:val="both"/>
      </w:pPr>
      <w:r w:rsidRPr="000C4966">
        <w:rPr>
          <w:rFonts w:ascii="Calibri" w:eastAsia="Calibri" w:hAnsi="Calibri" w:cs="Calibri"/>
          <w:color w:val="auto"/>
          <w:sz w:val="22"/>
          <w:szCs w:val="22"/>
        </w:rPr>
        <w:lastRenderedPageBreak/>
        <w:t xml:space="preserve">An action plan to mitigate the risks identified in the procurement assessment has been prepared, in consultation with the </w:t>
      </w:r>
      <w:r>
        <w:rPr>
          <w:rFonts w:ascii="Calibri" w:eastAsia="Calibri" w:hAnsi="Calibri" w:cs="Calibri"/>
          <w:color w:val="auto"/>
          <w:sz w:val="22"/>
          <w:szCs w:val="22"/>
        </w:rPr>
        <w:t>Recipients</w:t>
      </w:r>
      <w:r w:rsidRPr="000C4966">
        <w:rPr>
          <w:rFonts w:ascii="Calibri" w:eastAsia="Calibri" w:hAnsi="Calibri" w:cs="Calibri"/>
          <w:color w:val="auto"/>
          <w:sz w:val="22"/>
          <w:szCs w:val="22"/>
        </w:rPr>
        <w:t xml:space="preserve">. With the implementation of the proposed measures of the action plan and the support of the World Bank team, the overall procurement risk will be rated </w:t>
      </w:r>
      <w:r>
        <w:rPr>
          <w:rFonts w:ascii="Calibri" w:eastAsia="Calibri" w:hAnsi="Calibri" w:cs="Calibri"/>
          <w:color w:val="auto"/>
          <w:sz w:val="22"/>
          <w:szCs w:val="22"/>
        </w:rPr>
        <w:t>Substantial</w:t>
      </w:r>
      <w:r w:rsidR="000D68F4">
        <w:rPr>
          <w:rFonts w:ascii="Calibri" w:eastAsia="Calibri" w:hAnsi="Calibri" w:cs="Calibri"/>
          <w:color w:val="auto"/>
          <w:sz w:val="22"/>
          <w:szCs w:val="22"/>
        </w:rPr>
        <w:t>.</w:t>
      </w:r>
    </w:p>
    <w:p w14:paraId="3D9FD312" w14:textId="739DC9FA" w:rsidR="00C8431B" w:rsidRPr="008E2709" w:rsidRDefault="00B00100" w:rsidP="00423ED0">
      <w:pPr>
        <w:jc w:val="center"/>
        <w:rPr>
          <w:rFonts w:asciiTheme="minorHAnsi" w:hAnsiTheme="minorHAnsi" w:cstheme="minorHAnsi"/>
          <w:b/>
          <w:i/>
          <w:sz w:val="22"/>
          <w:szCs w:val="22"/>
        </w:rPr>
      </w:pPr>
      <w:bookmarkStart w:id="423" w:name="_Toc499736271"/>
      <w:bookmarkStart w:id="424" w:name="_Toc499821282"/>
      <w:bookmarkEnd w:id="422"/>
      <w:r w:rsidRPr="00126CD2">
        <w:rPr>
          <w:rFonts w:ascii="Calibri" w:eastAsia="Times New Roman" w:hAnsi="Calibri" w:cs="Times New Roman"/>
          <w:b/>
          <w:bCs/>
          <w:i/>
          <w:color w:val="auto"/>
          <w:sz w:val="22"/>
          <w:szCs w:val="22"/>
        </w:rPr>
        <w:t xml:space="preserve">Table A2.5: </w:t>
      </w:r>
      <w:r w:rsidRPr="00126CD2">
        <w:rPr>
          <w:rFonts w:ascii="Calibri" w:eastAsia="Times New Roman" w:hAnsi="Calibri" w:cs="Calibri"/>
          <w:b/>
          <w:bCs/>
          <w:i/>
          <w:color w:val="auto"/>
          <w:sz w:val="22"/>
          <w:szCs w:val="22"/>
        </w:rPr>
        <w:t xml:space="preserve">Action </w:t>
      </w:r>
      <w:r w:rsidR="0086053A">
        <w:rPr>
          <w:rFonts w:ascii="Calibri" w:eastAsia="Times New Roman" w:hAnsi="Calibri" w:cs="Calibri"/>
          <w:b/>
          <w:bCs/>
          <w:i/>
          <w:color w:val="auto"/>
          <w:sz w:val="22"/>
          <w:szCs w:val="22"/>
        </w:rPr>
        <w:t>P</w:t>
      </w:r>
      <w:r w:rsidRPr="00126CD2">
        <w:rPr>
          <w:rFonts w:ascii="Calibri" w:eastAsia="Times New Roman" w:hAnsi="Calibri" w:cs="Calibri"/>
          <w:b/>
          <w:bCs/>
          <w:i/>
          <w:color w:val="auto"/>
          <w:sz w:val="22"/>
          <w:szCs w:val="22"/>
        </w:rPr>
        <w:t xml:space="preserve">lan for </w:t>
      </w:r>
      <w:r w:rsidR="0086053A">
        <w:rPr>
          <w:rFonts w:ascii="Calibri" w:eastAsia="Times New Roman" w:hAnsi="Calibri" w:cs="Calibri"/>
          <w:b/>
          <w:bCs/>
          <w:i/>
          <w:color w:val="auto"/>
          <w:sz w:val="22"/>
          <w:szCs w:val="22"/>
        </w:rPr>
        <w:t>S</w:t>
      </w:r>
      <w:r w:rsidRPr="00126CD2">
        <w:rPr>
          <w:rFonts w:ascii="Calibri" w:eastAsia="Times New Roman" w:hAnsi="Calibri" w:cs="Calibri"/>
          <w:b/>
          <w:bCs/>
          <w:i/>
          <w:color w:val="auto"/>
          <w:sz w:val="22"/>
          <w:szCs w:val="22"/>
        </w:rPr>
        <w:t xml:space="preserve">trengthening </w:t>
      </w:r>
      <w:r w:rsidR="0086053A">
        <w:rPr>
          <w:rFonts w:ascii="Calibri" w:eastAsia="Times New Roman" w:hAnsi="Calibri" w:cs="Calibri"/>
          <w:b/>
          <w:bCs/>
          <w:i/>
          <w:color w:val="auto"/>
          <w:sz w:val="22"/>
          <w:szCs w:val="22"/>
        </w:rPr>
        <w:t>P</w:t>
      </w:r>
      <w:r w:rsidRPr="00126CD2">
        <w:rPr>
          <w:rFonts w:ascii="Calibri" w:eastAsia="Times New Roman" w:hAnsi="Calibri" w:cs="Calibri"/>
          <w:b/>
          <w:bCs/>
          <w:i/>
          <w:color w:val="auto"/>
          <w:sz w:val="22"/>
          <w:szCs w:val="22"/>
        </w:rPr>
        <w:t xml:space="preserve">rocurement </w:t>
      </w:r>
      <w:r w:rsidR="0086053A">
        <w:rPr>
          <w:rFonts w:ascii="Calibri" w:eastAsia="Times New Roman" w:hAnsi="Calibri" w:cs="Calibri"/>
          <w:b/>
          <w:bCs/>
          <w:i/>
          <w:color w:val="auto"/>
          <w:sz w:val="22"/>
          <w:szCs w:val="22"/>
        </w:rPr>
        <w:t>C</w:t>
      </w:r>
      <w:r w:rsidRPr="00126CD2">
        <w:rPr>
          <w:rFonts w:ascii="Calibri" w:eastAsia="Times New Roman" w:hAnsi="Calibri" w:cs="Calibri"/>
          <w:b/>
          <w:bCs/>
          <w:i/>
          <w:color w:val="auto"/>
          <w:sz w:val="22"/>
          <w:szCs w:val="22"/>
        </w:rPr>
        <w:t>apacity</w:t>
      </w:r>
      <w:bookmarkEnd w:id="423"/>
      <w:bookmarkEnd w:id="424"/>
      <w:r w:rsidRPr="00126CD2">
        <w:rPr>
          <w:rFonts w:ascii="Calibri" w:eastAsia="Times New Roman" w:hAnsi="Calibri" w:cs="Calibri"/>
          <w:b/>
          <w:bCs/>
          <w:i/>
          <w:color w:val="auto"/>
          <w:sz w:val="22"/>
          <w:szCs w:val="22"/>
        </w:rPr>
        <w:t xml:space="preserve"> in Niger (for </w:t>
      </w:r>
      <w:r w:rsidRPr="008E2709">
        <w:rPr>
          <w:rFonts w:asciiTheme="minorHAnsi" w:hAnsiTheme="minorHAnsi" w:cstheme="minorHAnsi"/>
          <w:b/>
          <w:i/>
          <w:sz w:val="22"/>
          <w:szCs w:val="22"/>
        </w:rPr>
        <w:t>UAM and EMIG</w:t>
      </w:r>
    </w:p>
    <w:p w14:paraId="37713879" w14:textId="77777777" w:rsidR="00D43BB0" w:rsidRPr="008E2709" w:rsidRDefault="00D43BB0" w:rsidP="00D43BB0">
      <w:pPr>
        <w:jc w:val="center"/>
        <w:rPr>
          <w:rFonts w:ascii="Calibri" w:eastAsia="Times New Roman" w:hAnsi="Calibri" w:cs="Calibri"/>
          <w:b/>
          <w:bCs/>
          <w:color w:val="auto"/>
          <w:sz w:val="22"/>
          <w:szCs w:val="22"/>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197"/>
        <w:gridCol w:w="3893"/>
        <w:gridCol w:w="1620"/>
        <w:gridCol w:w="1597"/>
      </w:tblGrid>
      <w:tr w:rsidR="000C3959" w14:paraId="3E87E739" w14:textId="77777777" w:rsidTr="00126CD2">
        <w:trPr>
          <w:cantSplit/>
          <w:tblHeader/>
          <w:jc w:val="center"/>
        </w:trPr>
        <w:tc>
          <w:tcPr>
            <w:tcW w:w="588" w:type="dxa"/>
            <w:tcBorders>
              <w:bottom w:val="single" w:sz="4" w:space="0" w:color="auto"/>
            </w:tcBorders>
          </w:tcPr>
          <w:p w14:paraId="0D90591F" w14:textId="77777777" w:rsidR="00D43BB0" w:rsidRPr="00D4589B" w:rsidRDefault="00B00100" w:rsidP="00A01C2F">
            <w:pPr>
              <w:jc w:val="center"/>
              <w:rPr>
                <w:rFonts w:asciiTheme="minorHAnsi" w:hAnsiTheme="minorHAnsi" w:cstheme="minorHAnsi"/>
                <w:b/>
                <w:sz w:val="20"/>
                <w:szCs w:val="20"/>
              </w:rPr>
            </w:pPr>
            <w:r w:rsidRPr="00D4589B">
              <w:rPr>
                <w:rFonts w:asciiTheme="minorHAnsi" w:hAnsiTheme="minorHAnsi" w:cstheme="minorHAnsi"/>
                <w:b/>
                <w:sz w:val="20"/>
                <w:szCs w:val="20"/>
              </w:rPr>
              <w:t>No.</w:t>
            </w:r>
          </w:p>
        </w:tc>
        <w:tc>
          <w:tcPr>
            <w:tcW w:w="2197" w:type="dxa"/>
            <w:tcBorders>
              <w:bottom w:val="single" w:sz="4" w:space="0" w:color="auto"/>
            </w:tcBorders>
          </w:tcPr>
          <w:p w14:paraId="75B7A199" w14:textId="77777777" w:rsidR="00D43BB0" w:rsidRPr="00D4589B" w:rsidRDefault="00B00100" w:rsidP="00A01C2F">
            <w:pPr>
              <w:jc w:val="center"/>
              <w:rPr>
                <w:rFonts w:asciiTheme="minorHAnsi" w:hAnsiTheme="minorHAnsi" w:cstheme="minorHAnsi"/>
                <w:b/>
                <w:sz w:val="20"/>
                <w:szCs w:val="20"/>
              </w:rPr>
            </w:pPr>
            <w:r w:rsidRPr="00D4589B">
              <w:rPr>
                <w:rFonts w:asciiTheme="minorHAnsi" w:hAnsiTheme="minorHAnsi" w:cstheme="minorHAnsi"/>
                <w:b/>
                <w:sz w:val="20"/>
                <w:szCs w:val="20"/>
              </w:rPr>
              <w:t>Key risks</w:t>
            </w:r>
          </w:p>
        </w:tc>
        <w:tc>
          <w:tcPr>
            <w:tcW w:w="3893" w:type="dxa"/>
          </w:tcPr>
          <w:p w14:paraId="20BF5249" w14:textId="77777777" w:rsidR="00D43BB0" w:rsidRPr="00D4589B" w:rsidRDefault="00B00100" w:rsidP="00A01C2F">
            <w:pPr>
              <w:jc w:val="center"/>
              <w:rPr>
                <w:rFonts w:asciiTheme="minorHAnsi" w:hAnsiTheme="minorHAnsi" w:cstheme="minorHAnsi"/>
                <w:b/>
                <w:sz w:val="20"/>
                <w:szCs w:val="20"/>
              </w:rPr>
            </w:pPr>
            <w:r w:rsidRPr="00D4589B">
              <w:rPr>
                <w:rFonts w:asciiTheme="minorHAnsi" w:hAnsiTheme="minorHAnsi" w:cstheme="minorHAnsi"/>
                <w:b/>
                <w:sz w:val="20"/>
                <w:szCs w:val="20"/>
              </w:rPr>
              <w:t>Mitigation Actions</w:t>
            </w:r>
          </w:p>
        </w:tc>
        <w:tc>
          <w:tcPr>
            <w:tcW w:w="1620" w:type="dxa"/>
            <w:tcBorders>
              <w:bottom w:val="single" w:sz="4" w:space="0" w:color="auto"/>
            </w:tcBorders>
          </w:tcPr>
          <w:p w14:paraId="66C47CFB" w14:textId="77777777" w:rsidR="00D43BB0" w:rsidRPr="00D4589B" w:rsidRDefault="00B00100" w:rsidP="00A01C2F">
            <w:pPr>
              <w:jc w:val="center"/>
              <w:rPr>
                <w:rFonts w:asciiTheme="minorHAnsi" w:hAnsiTheme="minorHAnsi" w:cstheme="minorHAnsi"/>
                <w:b/>
                <w:sz w:val="20"/>
                <w:szCs w:val="20"/>
              </w:rPr>
            </w:pPr>
            <w:r w:rsidRPr="00D4589B">
              <w:rPr>
                <w:rFonts w:asciiTheme="minorHAnsi" w:hAnsiTheme="minorHAnsi" w:cstheme="minorHAnsi"/>
                <w:b/>
                <w:sz w:val="20"/>
                <w:szCs w:val="20"/>
              </w:rPr>
              <w:t>By Whom</w:t>
            </w:r>
          </w:p>
        </w:tc>
        <w:tc>
          <w:tcPr>
            <w:tcW w:w="1597" w:type="dxa"/>
            <w:tcBorders>
              <w:bottom w:val="single" w:sz="4" w:space="0" w:color="auto"/>
            </w:tcBorders>
          </w:tcPr>
          <w:p w14:paraId="1AFB8772" w14:textId="77777777" w:rsidR="00D43BB0" w:rsidRPr="00D4589B" w:rsidRDefault="00B00100" w:rsidP="00A01C2F">
            <w:pPr>
              <w:jc w:val="center"/>
              <w:rPr>
                <w:rFonts w:asciiTheme="minorHAnsi" w:hAnsiTheme="minorHAnsi" w:cstheme="minorHAnsi"/>
                <w:b/>
                <w:sz w:val="20"/>
                <w:szCs w:val="20"/>
              </w:rPr>
            </w:pPr>
            <w:r w:rsidRPr="00D4589B">
              <w:rPr>
                <w:rFonts w:asciiTheme="minorHAnsi" w:hAnsiTheme="minorHAnsi" w:cstheme="minorHAnsi"/>
                <w:b/>
                <w:sz w:val="20"/>
                <w:szCs w:val="20"/>
              </w:rPr>
              <w:t>By When</w:t>
            </w:r>
          </w:p>
        </w:tc>
      </w:tr>
      <w:tr w:rsidR="000C3959" w14:paraId="63FBF6AE" w14:textId="77777777" w:rsidTr="00126CD2">
        <w:trPr>
          <w:trHeight w:val="296"/>
          <w:jc w:val="center"/>
        </w:trPr>
        <w:tc>
          <w:tcPr>
            <w:tcW w:w="9895" w:type="dxa"/>
            <w:gridSpan w:val="5"/>
            <w:tcBorders>
              <w:left w:val="single" w:sz="4" w:space="0" w:color="auto"/>
              <w:bottom w:val="single" w:sz="4" w:space="0" w:color="auto"/>
              <w:right w:val="single" w:sz="4" w:space="0" w:color="auto"/>
            </w:tcBorders>
            <w:vAlign w:val="center"/>
          </w:tcPr>
          <w:p w14:paraId="7EBE4221" w14:textId="77777777" w:rsidR="00D43BB0" w:rsidRPr="00126CD2" w:rsidRDefault="00D43BB0" w:rsidP="00A01C2F">
            <w:pPr>
              <w:jc w:val="center"/>
              <w:rPr>
                <w:rFonts w:asciiTheme="minorHAnsi" w:hAnsiTheme="minorHAnsi" w:cstheme="minorHAnsi"/>
                <w:b/>
                <w:sz w:val="20"/>
                <w:szCs w:val="20"/>
                <w:lang w:val="fr-FR"/>
              </w:rPr>
            </w:pPr>
          </w:p>
        </w:tc>
      </w:tr>
      <w:tr w:rsidR="000C3959" w14:paraId="001B88E8" w14:textId="77777777" w:rsidTr="00126CD2">
        <w:trPr>
          <w:trHeight w:val="1304"/>
          <w:jc w:val="center"/>
        </w:trPr>
        <w:tc>
          <w:tcPr>
            <w:tcW w:w="588" w:type="dxa"/>
            <w:tcBorders>
              <w:left w:val="single" w:sz="4" w:space="0" w:color="auto"/>
              <w:bottom w:val="single" w:sz="4" w:space="0" w:color="auto"/>
              <w:right w:val="single" w:sz="4" w:space="0" w:color="auto"/>
            </w:tcBorders>
            <w:vAlign w:val="center"/>
          </w:tcPr>
          <w:p w14:paraId="54335371" w14:textId="77777777" w:rsidR="00D43BB0" w:rsidRPr="00D4589B" w:rsidRDefault="00B00100" w:rsidP="00A01C2F">
            <w:pPr>
              <w:jc w:val="center"/>
              <w:rPr>
                <w:rFonts w:asciiTheme="minorHAnsi" w:hAnsiTheme="minorHAnsi" w:cstheme="minorHAnsi"/>
                <w:sz w:val="20"/>
                <w:szCs w:val="20"/>
              </w:rPr>
            </w:pPr>
            <w:r w:rsidRPr="00D4589B">
              <w:rPr>
                <w:rFonts w:asciiTheme="minorHAnsi" w:hAnsiTheme="minorHAnsi" w:cstheme="minorHAnsi"/>
                <w:sz w:val="20"/>
                <w:szCs w:val="20"/>
              </w:rPr>
              <w:t>1</w:t>
            </w:r>
          </w:p>
        </w:tc>
        <w:tc>
          <w:tcPr>
            <w:tcW w:w="2197" w:type="dxa"/>
            <w:tcBorders>
              <w:top w:val="nil"/>
              <w:left w:val="single" w:sz="4" w:space="0" w:color="auto"/>
              <w:bottom w:val="single" w:sz="4" w:space="0" w:color="auto"/>
              <w:right w:val="single" w:sz="4" w:space="0" w:color="auto"/>
            </w:tcBorders>
          </w:tcPr>
          <w:p w14:paraId="5014F4E9" w14:textId="77777777" w:rsidR="00D43BB0" w:rsidRPr="00D4589B" w:rsidRDefault="00B00100" w:rsidP="00A01C2F">
            <w:pPr>
              <w:rPr>
                <w:rFonts w:ascii="Times New Roman" w:hAnsi="Times New Roman"/>
                <w:sz w:val="20"/>
                <w:szCs w:val="20"/>
              </w:rPr>
            </w:pPr>
            <w:r w:rsidRPr="00D4589B">
              <w:rPr>
                <w:rFonts w:asciiTheme="minorHAnsi" w:hAnsiTheme="minorHAnsi" w:cstheme="minorHAnsi"/>
                <w:sz w:val="20"/>
                <w:szCs w:val="20"/>
              </w:rPr>
              <w:t xml:space="preserve">Lack </w:t>
            </w:r>
            <w:r w:rsidRPr="00D4589B">
              <w:rPr>
                <w:rFonts w:asciiTheme="minorHAnsi" w:eastAsia="Calibri" w:hAnsiTheme="minorHAnsi" w:cstheme="minorHAnsi"/>
                <w:color w:val="auto"/>
                <w:sz w:val="20"/>
                <w:szCs w:val="20"/>
              </w:rPr>
              <w:t xml:space="preserve">of </w:t>
            </w:r>
            <w:r>
              <w:rPr>
                <w:rFonts w:asciiTheme="minorHAnsi" w:eastAsia="Calibri" w:hAnsiTheme="minorHAnsi" w:cstheme="minorHAnsi"/>
                <w:color w:val="auto"/>
                <w:sz w:val="20"/>
                <w:szCs w:val="20"/>
              </w:rPr>
              <w:t xml:space="preserve">procurement </w:t>
            </w:r>
            <w:r w:rsidRPr="00D4589B">
              <w:rPr>
                <w:rFonts w:asciiTheme="minorHAnsi" w:eastAsia="Calibri" w:hAnsiTheme="minorHAnsi" w:cstheme="minorHAnsi"/>
                <w:color w:val="auto"/>
                <w:sz w:val="20"/>
                <w:szCs w:val="20"/>
              </w:rPr>
              <w:t>manual</w:t>
            </w:r>
            <w:r w:rsidRPr="00D4589B">
              <w:rPr>
                <w:rFonts w:ascii="Calibri" w:eastAsia="Calibri" w:hAnsi="Calibri" w:cs="Calibri"/>
                <w:color w:val="auto"/>
                <w:sz w:val="20"/>
                <w:szCs w:val="20"/>
              </w:rPr>
              <w:t>s</w:t>
            </w:r>
          </w:p>
        </w:tc>
        <w:tc>
          <w:tcPr>
            <w:tcW w:w="3893" w:type="dxa"/>
            <w:tcBorders>
              <w:left w:val="single" w:sz="4" w:space="0" w:color="auto"/>
              <w:right w:val="single" w:sz="4" w:space="0" w:color="auto"/>
            </w:tcBorders>
          </w:tcPr>
          <w:p w14:paraId="4F0466D6"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Preparation of project implementation manual</w:t>
            </w:r>
            <w:r>
              <w:rPr>
                <w:rFonts w:asciiTheme="minorHAnsi" w:hAnsiTheme="minorHAnsi" w:cstheme="minorHAnsi"/>
                <w:sz w:val="20"/>
                <w:szCs w:val="20"/>
              </w:rPr>
              <w:t>, which will include procurement manual. This will be</w:t>
            </w:r>
            <w:r w:rsidRPr="00D4589B">
              <w:rPr>
                <w:rFonts w:asciiTheme="minorHAnsi" w:hAnsiTheme="minorHAnsi" w:cstheme="minorHAnsi"/>
                <w:sz w:val="20"/>
                <w:szCs w:val="20"/>
              </w:rPr>
              <w:t xml:space="preserve"> reviewed and agreed by </w:t>
            </w:r>
            <w:r w:rsidR="00C00B64" w:rsidRPr="00DA01D5">
              <w:rPr>
                <w:rFonts w:asciiTheme="minorHAnsi" w:hAnsiTheme="minorHAnsi" w:cstheme="minorHAnsi"/>
                <w:sz w:val="20"/>
                <w:szCs w:val="20"/>
              </w:rPr>
              <w:t>World</w:t>
            </w:r>
            <w:r w:rsidR="00C00B64" w:rsidRPr="00D4589B">
              <w:rPr>
                <w:rFonts w:asciiTheme="minorHAnsi" w:hAnsiTheme="minorHAnsi" w:cstheme="minorHAnsi"/>
                <w:sz w:val="20"/>
                <w:szCs w:val="20"/>
              </w:rPr>
              <w:t xml:space="preserve"> </w:t>
            </w:r>
            <w:r w:rsidRPr="00D4589B">
              <w:rPr>
                <w:rFonts w:asciiTheme="minorHAnsi" w:hAnsiTheme="minorHAnsi" w:cstheme="minorHAnsi"/>
                <w:sz w:val="20"/>
                <w:szCs w:val="20"/>
              </w:rPr>
              <w:t>Bank.</w:t>
            </w:r>
          </w:p>
          <w:p w14:paraId="76E9F190" w14:textId="77777777" w:rsidR="00D43BB0" w:rsidRPr="00D4589B" w:rsidRDefault="00D43BB0" w:rsidP="00A01C2F">
            <w:pPr>
              <w:rPr>
                <w:rFonts w:asciiTheme="minorHAnsi" w:hAnsiTheme="minorHAnsi" w:cstheme="minorHAnsi"/>
                <w:sz w:val="20"/>
                <w:szCs w:val="20"/>
              </w:rPr>
            </w:pPr>
          </w:p>
          <w:p w14:paraId="07E508A4"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Organize a workshop to UAM staff involved in the project.</w:t>
            </w:r>
          </w:p>
        </w:tc>
        <w:tc>
          <w:tcPr>
            <w:tcW w:w="1620" w:type="dxa"/>
            <w:tcBorders>
              <w:left w:val="single" w:sz="4" w:space="0" w:color="auto"/>
              <w:bottom w:val="single" w:sz="4" w:space="0" w:color="auto"/>
              <w:right w:val="single" w:sz="4" w:space="0" w:color="auto"/>
            </w:tcBorders>
          </w:tcPr>
          <w:p w14:paraId="788941A2"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UAM</w:t>
            </w:r>
            <w:r>
              <w:rPr>
                <w:rFonts w:asciiTheme="minorHAnsi" w:hAnsiTheme="minorHAnsi" w:cstheme="minorHAnsi"/>
                <w:sz w:val="20"/>
                <w:szCs w:val="20"/>
              </w:rPr>
              <w:t>/EMIG</w:t>
            </w:r>
          </w:p>
          <w:p w14:paraId="44A7DDAF" w14:textId="77777777" w:rsidR="00D43BB0" w:rsidRPr="00D4589B" w:rsidRDefault="00D43BB0" w:rsidP="00A01C2F">
            <w:pPr>
              <w:rPr>
                <w:rFonts w:asciiTheme="minorHAnsi" w:hAnsiTheme="minorHAnsi" w:cstheme="minorHAnsi"/>
                <w:sz w:val="20"/>
                <w:szCs w:val="20"/>
              </w:rPr>
            </w:pPr>
          </w:p>
        </w:tc>
        <w:tc>
          <w:tcPr>
            <w:tcW w:w="1597" w:type="dxa"/>
            <w:tcBorders>
              <w:left w:val="single" w:sz="4" w:space="0" w:color="auto"/>
              <w:bottom w:val="single" w:sz="4" w:space="0" w:color="auto"/>
              <w:right w:val="single" w:sz="4" w:space="0" w:color="auto"/>
            </w:tcBorders>
          </w:tcPr>
          <w:p w14:paraId="76F069E6"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 xml:space="preserve">Preferably </w:t>
            </w:r>
            <w:r>
              <w:rPr>
                <w:rFonts w:asciiTheme="minorHAnsi" w:hAnsiTheme="minorHAnsi" w:cstheme="minorHAnsi"/>
                <w:sz w:val="20"/>
                <w:szCs w:val="20"/>
              </w:rPr>
              <w:t xml:space="preserve">three months after </w:t>
            </w:r>
            <w:r w:rsidRPr="00D4589B">
              <w:rPr>
                <w:rFonts w:asciiTheme="minorHAnsi" w:hAnsiTheme="minorHAnsi" w:cstheme="minorHAnsi"/>
                <w:sz w:val="20"/>
                <w:szCs w:val="20"/>
              </w:rPr>
              <w:t>project effectiveness</w:t>
            </w:r>
            <w:r w:rsidR="00821C0D">
              <w:rPr>
                <w:rFonts w:asciiTheme="minorHAnsi" w:hAnsiTheme="minorHAnsi" w:cstheme="minorHAnsi"/>
                <w:sz w:val="20"/>
                <w:szCs w:val="20"/>
              </w:rPr>
              <w:t xml:space="preserve"> (requirement for DLI#1</w:t>
            </w:r>
            <w:r w:rsidR="00374214">
              <w:rPr>
                <w:rFonts w:asciiTheme="minorHAnsi" w:hAnsiTheme="minorHAnsi" w:cstheme="minorHAnsi"/>
                <w:sz w:val="20"/>
                <w:szCs w:val="20"/>
              </w:rPr>
              <w:t>, prerequisite for initial disbursement)</w:t>
            </w:r>
          </w:p>
        </w:tc>
      </w:tr>
      <w:tr w:rsidR="000C3959" w14:paraId="483ABB01" w14:textId="77777777" w:rsidTr="00126CD2">
        <w:trPr>
          <w:trHeight w:val="1655"/>
          <w:jc w:val="center"/>
        </w:trPr>
        <w:tc>
          <w:tcPr>
            <w:tcW w:w="588" w:type="dxa"/>
            <w:tcBorders>
              <w:left w:val="single" w:sz="4" w:space="0" w:color="auto"/>
              <w:bottom w:val="single" w:sz="4" w:space="0" w:color="auto"/>
              <w:right w:val="single" w:sz="4" w:space="0" w:color="auto"/>
            </w:tcBorders>
            <w:vAlign w:val="center"/>
          </w:tcPr>
          <w:p w14:paraId="3B5FD292" w14:textId="77777777" w:rsidR="00D43BB0" w:rsidRPr="00D4589B" w:rsidRDefault="00B00100" w:rsidP="00A01C2F">
            <w:pPr>
              <w:jc w:val="center"/>
              <w:rPr>
                <w:rFonts w:asciiTheme="minorHAnsi" w:hAnsiTheme="minorHAnsi" w:cstheme="minorHAnsi"/>
                <w:sz w:val="20"/>
                <w:szCs w:val="20"/>
              </w:rPr>
            </w:pPr>
            <w:r w:rsidRPr="00D4589B">
              <w:rPr>
                <w:rFonts w:asciiTheme="minorHAnsi" w:hAnsiTheme="minorHAnsi" w:cstheme="minorHAnsi"/>
                <w:sz w:val="20"/>
                <w:szCs w:val="20"/>
              </w:rPr>
              <w:t>2</w:t>
            </w:r>
          </w:p>
        </w:tc>
        <w:tc>
          <w:tcPr>
            <w:tcW w:w="2197" w:type="dxa"/>
            <w:tcBorders>
              <w:top w:val="nil"/>
              <w:left w:val="single" w:sz="4" w:space="0" w:color="auto"/>
              <w:bottom w:val="single" w:sz="4" w:space="0" w:color="auto"/>
              <w:right w:val="single" w:sz="4" w:space="0" w:color="auto"/>
            </w:tcBorders>
          </w:tcPr>
          <w:p w14:paraId="661DFDE9" w14:textId="77777777" w:rsidR="00D43BB0" w:rsidRPr="00D4589B" w:rsidRDefault="00B00100" w:rsidP="00A01C2F">
            <w:pPr>
              <w:rPr>
                <w:rFonts w:ascii="Times New Roman" w:hAnsi="Times New Roman"/>
                <w:sz w:val="20"/>
                <w:szCs w:val="20"/>
              </w:rPr>
            </w:pPr>
            <w:r>
              <w:rPr>
                <w:rFonts w:ascii="Calibri" w:eastAsia="Calibri" w:hAnsi="Calibri" w:cs="Calibri"/>
                <w:color w:val="auto"/>
                <w:sz w:val="20"/>
                <w:szCs w:val="20"/>
              </w:rPr>
              <w:t>Too many procurement activities</w:t>
            </w:r>
            <w:r w:rsidRPr="00D4589B">
              <w:rPr>
                <w:rFonts w:ascii="Calibri" w:eastAsia="Calibri" w:hAnsi="Calibri" w:cs="Calibri"/>
                <w:color w:val="auto"/>
                <w:sz w:val="20"/>
                <w:szCs w:val="20"/>
              </w:rPr>
              <w:t xml:space="preserve"> for the procurement specialist of UAM that may affect the project performance</w:t>
            </w:r>
          </w:p>
        </w:tc>
        <w:tc>
          <w:tcPr>
            <w:tcW w:w="3893" w:type="dxa"/>
            <w:tcBorders>
              <w:left w:val="single" w:sz="4" w:space="0" w:color="auto"/>
              <w:right w:val="single" w:sz="4" w:space="0" w:color="auto"/>
            </w:tcBorders>
          </w:tcPr>
          <w:p w14:paraId="27A2B7D3"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 xml:space="preserve">Appointment of one qualified procurement </w:t>
            </w:r>
            <w:r>
              <w:rPr>
                <w:rFonts w:asciiTheme="minorHAnsi" w:hAnsiTheme="minorHAnsi" w:cstheme="minorHAnsi"/>
                <w:sz w:val="20"/>
                <w:szCs w:val="20"/>
              </w:rPr>
              <w:t>specialist</w:t>
            </w:r>
            <w:r w:rsidRPr="00D4589B">
              <w:rPr>
                <w:rFonts w:asciiTheme="minorHAnsi" w:hAnsiTheme="minorHAnsi" w:cstheme="minorHAnsi"/>
                <w:sz w:val="20"/>
                <w:szCs w:val="20"/>
              </w:rPr>
              <w:t xml:space="preserve"> through a competitive process </w:t>
            </w:r>
          </w:p>
        </w:tc>
        <w:tc>
          <w:tcPr>
            <w:tcW w:w="1620" w:type="dxa"/>
            <w:tcBorders>
              <w:left w:val="single" w:sz="4" w:space="0" w:color="auto"/>
              <w:bottom w:val="single" w:sz="4" w:space="0" w:color="auto"/>
              <w:right w:val="single" w:sz="4" w:space="0" w:color="auto"/>
            </w:tcBorders>
          </w:tcPr>
          <w:p w14:paraId="2872EDE0"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UAM</w:t>
            </w:r>
          </w:p>
        </w:tc>
        <w:tc>
          <w:tcPr>
            <w:tcW w:w="1597" w:type="dxa"/>
            <w:tcBorders>
              <w:left w:val="single" w:sz="4" w:space="0" w:color="auto"/>
              <w:bottom w:val="single" w:sz="4" w:space="0" w:color="auto"/>
              <w:right w:val="single" w:sz="4" w:space="0" w:color="auto"/>
            </w:tcBorders>
          </w:tcPr>
          <w:p w14:paraId="5C1C6425"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 xml:space="preserve">Not later than </w:t>
            </w:r>
            <w:r w:rsidR="00014B08">
              <w:rPr>
                <w:rFonts w:asciiTheme="minorHAnsi" w:hAnsiTheme="minorHAnsi" w:cstheme="minorHAnsi"/>
                <w:sz w:val="20"/>
                <w:szCs w:val="20"/>
              </w:rPr>
              <w:t>three (</w:t>
            </w:r>
            <w:r w:rsidRPr="00D4589B">
              <w:rPr>
                <w:rFonts w:asciiTheme="minorHAnsi" w:hAnsiTheme="minorHAnsi" w:cstheme="minorHAnsi"/>
                <w:sz w:val="20"/>
                <w:szCs w:val="20"/>
              </w:rPr>
              <w:t>3</w:t>
            </w:r>
            <w:r w:rsidR="00014B08">
              <w:rPr>
                <w:rFonts w:asciiTheme="minorHAnsi" w:hAnsiTheme="minorHAnsi" w:cstheme="minorHAnsi"/>
                <w:sz w:val="20"/>
                <w:szCs w:val="20"/>
              </w:rPr>
              <w:t>)</w:t>
            </w:r>
            <w:r w:rsidRPr="00D4589B">
              <w:rPr>
                <w:rFonts w:asciiTheme="minorHAnsi" w:hAnsiTheme="minorHAnsi" w:cstheme="minorHAnsi"/>
                <w:sz w:val="20"/>
                <w:szCs w:val="20"/>
              </w:rPr>
              <w:t xml:space="preserve"> months within project </w:t>
            </w:r>
            <w:r>
              <w:rPr>
                <w:rFonts w:asciiTheme="minorHAnsi" w:hAnsiTheme="minorHAnsi" w:cstheme="minorHAnsi"/>
                <w:sz w:val="20"/>
                <w:szCs w:val="20"/>
              </w:rPr>
              <w:t>effectiveness.</w:t>
            </w:r>
          </w:p>
        </w:tc>
      </w:tr>
      <w:tr w:rsidR="000C3959" w14:paraId="7EC083DB" w14:textId="77777777" w:rsidTr="00126CD2">
        <w:trPr>
          <w:jc w:val="center"/>
        </w:trPr>
        <w:tc>
          <w:tcPr>
            <w:tcW w:w="588" w:type="dxa"/>
            <w:tcBorders>
              <w:left w:val="single" w:sz="4" w:space="0" w:color="auto"/>
              <w:bottom w:val="single" w:sz="4" w:space="0" w:color="auto"/>
              <w:right w:val="single" w:sz="4" w:space="0" w:color="auto"/>
            </w:tcBorders>
            <w:vAlign w:val="center"/>
          </w:tcPr>
          <w:p w14:paraId="1024EDDB" w14:textId="77777777" w:rsidR="00D43BB0" w:rsidRPr="00D4589B" w:rsidRDefault="00B00100" w:rsidP="00A01C2F">
            <w:pPr>
              <w:jc w:val="center"/>
              <w:rPr>
                <w:rFonts w:asciiTheme="minorHAnsi" w:hAnsiTheme="minorHAnsi" w:cstheme="minorHAnsi"/>
                <w:sz w:val="20"/>
                <w:szCs w:val="20"/>
              </w:rPr>
            </w:pPr>
            <w:r w:rsidRPr="00D4589B">
              <w:rPr>
                <w:rFonts w:asciiTheme="minorHAnsi" w:hAnsiTheme="minorHAnsi" w:cstheme="minorHAnsi"/>
                <w:sz w:val="20"/>
                <w:szCs w:val="20"/>
              </w:rPr>
              <w:t>3</w:t>
            </w:r>
          </w:p>
        </w:tc>
        <w:tc>
          <w:tcPr>
            <w:tcW w:w="2197" w:type="dxa"/>
            <w:tcBorders>
              <w:top w:val="nil"/>
              <w:left w:val="single" w:sz="4" w:space="0" w:color="auto"/>
              <w:bottom w:val="single" w:sz="4" w:space="0" w:color="auto"/>
              <w:right w:val="single" w:sz="4" w:space="0" w:color="auto"/>
            </w:tcBorders>
          </w:tcPr>
          <w:p w14:paraId="73C5B1E3" w14:textId="77777777" w:rsidR="00D43BB0" w:rsidRPr="00D4589B" w:rsidRDefault="00B00100" w:rsidP="00A01C2F">
            <w:pPr>
              <w:rPr>
                <w:rFonts w:ascii="Times New Roman" w:hAnsi="Times New Roman"/>
                <w:sz w:val="20"/>
                <w:szCs w:val="20"/>
              </w:rPr>
            </w:pPr>
            <w:r w:rsidRPr="00D4589B">
              <w:rPr>
                <w:rFonts w:ascii="Calibri" w:eastAsia="Calibri" w:hAnsi="Calibri" w:cs="Calibri"/>
                <w:color w:val="auto"/>
                <w:sz w:val="20"/>
                <w:szCs w:val="20"/>
              </w:rPr>
              <w:t xml:space="preserve">Delays in </w:t>
            </w:r>
            <w:r>
              <w:rPr>
                <w:rFonts w:ascii="Calibri" w:eastAsia="Calibri" w:hAnsi="Calibri" w:cs="Calibri"/>
                <w:color w:val="auto"/>
                <w:sz w:val="20"/>
                <w:szCs w:val="20"/>
              </w:rPr>
              <w:t>evaluation</w:t>
            </w:r>
            <w:r w:rsidRPr="00D4589B">
              <w:rPr>
                <w:rFonts w:ascii="Calibri" w:eastAsia="Calibri" w:hAnsi="Calibri" w:cs="Calibri"/>
                <w:color w:val="auto"/>
                <w:sz w:val="20"/>
                <w:szCs w:val="20"/>
              </w:rPr>
              <w:t xml:space="preserve"> activities linked to evaluation committee</w:t>
            </w:r>
            <w:r>
              <w:rPr>
                <w:rFonts w:ascii="Calibri" w:eastAsia="Calibri" w:hAnsi="Calibri" w:cs="Calibri"/>
                <w:color w:val="auto"/>
                <w:sz w:val="20"/>
                <w:szCs w:val="20"/>
              </w:rPr>
              <w:t xml:space="preserve"> with </w:t>
            </w:r>
            <w:r w:rsidRPr="00D4589B">
              <w:rPr>
                <w:rFonts w:ascii="Calibri" w:eastAsia="Calibri" w:hAnsi="Calibri" w:cs="Calibri"/>
                <w:color w:val="auto"/>
                <w:sz w:val="20"/>
                <w:szCs w:val="20"/>
              </w:rPr>
              <w:t xml:space="preserve">management </w:t>
            </w:r>
            <w:r>
              <w:rPr>
                <w:rFonts w:ascii="Calibri" w:eastAsia="Calibri" w:hAnsi="Calibri" w:cs="Calibri"/>
                <w:color w:val="auto"/>
                <w:sz w:val="20"/>
                <w:szCs w:val="20"/>
              </w:rPr>
              <w:t xml:space="preserve">of </w:t>
            </w:r>
            <w:r w:rsidRPr="00D4589B">
              <w:rPr>
                <w:rFonts w:ascii="Calibri" w:eastAsia="Calibri" w:hAnsi="Calibri" w:cs="Calibri"/>
                <w:color w:val="auto"/>
                <w:sz w:val="20"/>
                <w:szCs w:val="20"/>
              </w:rPr>
              <w:t>award</w:t>
            </w:r>
            <w:r w:rsidR="00C8431B">
              <w:rPr>
                <w:rFonts w:ascii="Calibri" w:eastAsia="Calibri" w:hAnsi="Calibri" w:cs="Calibri"/>
                <w:color w:val="auto"/>
                <w:sz w:val="20"/>
                <w:szCs w:val="20"/>
              </w:rPr>
              <w:t xml:space="preserve"> </w:t>
            </w:r>
            <w:r w:rsidRPr="00D4589B">
              <w:rPr>
                <w:rFonts w:ascii="Calibri" w:eastAsia="Calibri" w:hAnsi="Calibri" w:cs="Calibri"/>
                <w:color w:val="auto"/>
                <w:sz w:val="20"/>
                <w:szCs w:val="20"/>
              </w:rPr>
              <w:t>of contracts</w:t>
            </w:r>
          </w:p>
        </w:tc>
        <w:tc>
          <w:tcPr>
            <w:tcW w:w="3893" w:type="dxa"/>
            <w:tcBorders>
              <w:left w:val="single" w:sz="4" w:space="0" w:color="auto"/>
              <w:right w:val="single" w:sz="4" w:space="0" w:color="auto"/>
            </w:tcBorders>
          </w:tcPr>
          <w:p w14:paraId="02464EAD" w14:textId="77777777" w:rsidR="00D43BB0" w:rsidRPr="00D4589B" w:rsidRDefault="00B00100" w:rsidP="00A01C2F">
            <w:pPr>
              <w:rPr>
                <w:rFonts w:asciiTheme="minorHAnsi" w:hAnsiTheme="minorHAnsi" w:cstheme="minorHAnsi"/>
                <w:sz w:val="20"/>
                <w:szCs w:val="20"/>
              </w:rPr>
            </w:pPr>
            <w:r>
              <w:rPr>
                <w:rFonts w:asciiTheme="minorHAnsi" w:hAnsiTheme="minorHAnsi" w:cstheme="minorHAnsi"/>
                <w:sz w:val="20"/>
                <w:szCs w:val="20"/>
              </w:rPr>
              <w:t>Regular</w:t>
            </w:r>
            <w:r w:rsidR="00C8431B">
              <w:rPr>
                <w:rFonts w:asciiTheme="minorHAnsi" w:hAnsiTheme="minorHAnsi" w:cstheme="minorHAnsi"/>
                <w:sz w:val="20"/>
                <w:szCs w:val="20"/>
              </w:rPr>
              <w:t xml:space="preserve"> </w:t>
            </w:r>
            <w:r w:rsidRPr="00D4589B">
              <w:rPr>
                <w:rFonts w:asciiTheme="minorHAnsi" w:hAnsiTheme="minorHAnsi" w:cstheme="minorHAnsi"/>
                <w:sz w:val="20"/>
                <w:szCs w:val="20"/>
              </w:rPr>
              <w:t xml:space="preserve">monitoring of procurement plans </w:t>
            </w:r>
            <w:r>
              <w:rPr>
                <w:rFonts w:asciiTheme="minorHAnsi" w:hAnsiTheme="minorHAnsi" w:cstheme="minorHAnsi"/>
                <w:sz w:val="20"/>
                <w:szCs w:val="20"/>
              </w:rPr>
              <w:t xml:space="preserve">implementation to ensure quality of the procurement process. </w:t>
            </w:r>
          </w:p>
          <w:p w14:paraId="5E44E40A" w14:textId="77777777" w:rsidR="00D43BB0" w:rsidRPr="00D4589B" w:rsidRDefault="00D43BB0" w:rsidP="00A01C2F">
            <w:pPr>
              <w:rPr>
                <w:rFonts w:asciiTheme="minorHAnsi" w:hAnsiTheme="minorHAnsi" w:cstheme="minorHAnsi"/>
                <w:sz w:val="20"/>
                <w:szCs w:val="20"/>
              </w:rPr>
            </w:pPr>
          </w:p>
          <w:p w14:paraId="13ED3F63" w14:textId="77777777" w:rsidR="00D43BB0" w:rsidRPr="00D4589B" w:rsidRDefault="00B00100" w:rsidP="00A01C2F">
            <w:pPr>
              <w:rPr>
                <w:rFonts w:ascii="Times New Roman" w:hAnsi="Times New Roman"/>
                <w:sz w:val="20"/>
                <w:szCs w:val="20"/>
              </w:rPr>
            </w:pPr>
            <w:r w:rsidRPr="00D4589B">
              <w:rPr>
                <w:rFonts w:asciiTheme="minorHAnsi" w:hAnsiTheme="minorHAnsi" w:cstheme="minorHAnsi"/>
                <w:sz w:val="20"/>
                <w:szCs w:val="20"/>
              </w:rPr>
              <w:t>The critical approval times will be reflected in the timelines of the procurement plan.</w:t>
            </w:r>
            <w:r w:rsidRPr="00D4589B">
              <w:rPr>
                <w:rFonts w:ascii="Times New Roman" w:hAnsi="Times New Roman"/>
                <w:sz w:val="20"/>
                <w:szCs w:val="20"/>
              </w:rPr>
              <w:t xml:space="preserve"> </w:t>
            </w:r>
          </w:p>
        </w:tc>
        <w:tc>
          <w:tcPr>
            <w:tcW w:w="1620" w:type="dxa"/>
            <w:tcBorders>
              <w:left w:val="single" w:sz="4" w:space="0" w:color="auto"/>
              <w:bottom w:val="single" w:sz="4" w:space="0" w:color="auto"/>
              <w:right w:val="single" w:sz="4" w:space="0" w:color="auto"/>
            </w:tcBorders>
          </w:tcPr>
          <w:p w14:paraId="0FA564BA"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UAM</w:t>
            </w:r>
          </w:p>
        </w:tc>
        <w:tc>
          <w:tcPr>
            <w:tcW w:w="1597" w:type="dxa"/>
            <w:tcBorders>
              <w:left w:val="single" w:sz="4" w:space="0" w:color="auto"/>
              <w:bottom w:val="single" w:sz="4" w:space="0" w:color="auto"/>
              <w:right w:val="single" w:sz="4" w:space="0" w:color="auto"/>
            </w:tcBorders>
          </w:tcPr>
          <w:p w14:paraId="5715EA0B"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Throughout project life</w:t>
            </w:r>
          </w:p>
        </w:tc>
      </w:tr>
      <w:tr w:rsidR="000C3959" w14:paraId="741CB1AE" w14:textId="77777777" w:rsidTr="00126CD2">
        <w:trPr>
          <w:trHeight w:val="617"/>
          <w:jc w:val="center"/>
        </w:trPr>
        <w:tc>
          <w:tcPr>
            <w:tcW w:w="588" w:type="dxa"/>
            <w:vMerge w:val="restart"/>
            <w:tcBorders>
              <w:left w:val="single" w:sz="4" w:space="0" w:color="auto"/>
              <w:right w:val="single" w:sz="4" w:space="0" w:color="auto"/>
            </w:tcBorders>
            <w:vAlign w:val="center"/>
          </w:tcPr>
          <w:p w14:paraId="3A8F5CEC" w14:textId="77777777" w:rsidR="00D43BB0" w:rsidRPr="00D4589B" w:rsidRDefault="00B00100" w:rsidP="00A01C2F">
            <w:pPr>
              <w:jc w:val="center"/>
              <w:rPr>
                <w:rFonts w:asciiTheme="minorHAnsi" w:hAnsiTheme="minorHAnsi" w:cstheme="minorHAnsi"/>
                <w:sz w:val="20"/>
                <w:szCs w:val="20"/>
              </w:rPr>
            </w:pPr>
            <w:r w:rsidRPr="00D4589B">
              <w:rPr>
                <w:rFonts w:asciiTheme="minorHAnsi" w:hAnsiTheme="minorHAnsi" w:cstheme="minorHAnsi"/>
                <w:sz w:val="20"/>
                <w:szCs w:val="20"/>
              </w:rPr>
              <w:t>4</w:t>
            </w:r>
          </w:p>
        </w:tc>
        <w:tc>
          <w:tcPr>
            <w:tcW w:w="2197" w:type="dxa"/>
            <w:vMerge w:val="restart"/>
            <w:tcBorders>
              <w:top w:val="nil"/>
              <w:left w:val="single" w:sz="4" w:space="0" w:color="auto"/>
              <w:right w:val="single" w:sz="4" w:space="0" w:color="auto"/>
            </w:tcBorders>
          </w:tcPr>
          <w:p w14:paraId="28ECA706" w14:textId="77777777" w:rsidR="00D43BB0" w:rsidRPr="00D4589B" w:rsidRDefault="00B00100" w:rsidP="00A01C2F">
            <w:pPr>
              <w:rPr>
                <w:rFonts w:ascii="Times New Roman" w:hAnsi="Times New Roman"/>
                <w:sz w:val="20"/>
                <w:szCs w:val="20"/>
              </w:rPr>
            </w:pPr>
            <w:r w:rsidRPr="00D4589B">
              <w:rPr>
                <w:rFonts w:ascii="Calibri" w:eastAsia="Calibri" w:hAnsi="Calibri" w:cs="Calibri"/>
                <w:color w:val="auto"/>
                <w:sz w:val="20"/>
                <w:szCs w:val="20"/>
              </w:rPr>
              <w:t>Lack of a dedicated archiving room with a trained staff for its management</w:t>
            </w:r>
          </w:p>
        </w:tc>
        <w:tc>
          <w:tcPr>
            <w:tcW w:w="3893" w:type="dxa"/>
            <w:tcBorders>
              <w:left w:val="single" w:sz="4" w:space="0" w:color="auto"/>
              <w:right w:val="single" w:sz="4" w:space="0" w:color="auto"/>
            </w:tcBorders>
          </w:tcPr>
          <w:p w14:paraId="19D04A21" w14:textId="77777777" w:rsidR="00D43BB0" w:rsidRPr="00D4589B" w:rsidRDefault="00B00100" w:rsidP="00A01C2F">
            <w:pPr>
              <w:rPr>
                <w:rFonts w:asciiTheme="minorHAnsi" w:hAnsiTheme="minorHAnsi" w:cstheme="minorHAnsi"/>
                <w:sz w:val="20"/>
                <w:szCs w:val="20"/>
              </w:rPr>
            </w:pPr>
            <w:r w:rsidRPr="00D4589B">
              <w:rPr>
                <w:rFonts w:asciiTheme="minorHAnsi" w:eastAsia="Calibri" w:hAnsiTheme="minorHAnsi" w:cstheme="minorHAnsi"/>
                <w:color w:val="auto"/>
                <w:sz w:val="20"/>
                <w:szCs w:val="20"/>
              </w:rPr>
              <w:t xml:space="preserve">Provide adequate space and equipment for the procurement archive </w:t>
            </w:r>
            <w:r>
              <w:rPr>
                <w:rFonts w:asciiTheme="minorHAnsi" w:eastAsia="Calibri" w:hAnsiTheme="minorHAnsi" w:cstheme="minorHAnsi"/>
                <w:color w:val="auto"/>
                <w:sz w:val="20"/>
                <w:szCs w:val="20"/>
              </w:rPr>
              <w:t>and</w:t>
            </w:r>
            <w:r w:rsidRPr="00D4589B">
              <w:rPr>
                <w:rFonts w:asciiTheme="minorHAnsi" w:eastAsia="Calibri" w:hAnsiTheme="minorHAnsi" w:cstheme="minorHAnsi"/>
                <w:color w:val="auto"/>
                <w:sz w:val="20"/>
                <w:szCs w:val="20"/>
              </w:rPr>
              <w:t xml:space="preserve"> adequate filing system </w:t>
            </w:r>
          </w:p>
        </w:tc>
        <w:tc>
          <w:tcPr>
            <w:tcW w:w="1620" w:type="dxa"/>
            <w:vMerge w:val="restart"/>
            <w:tcBorders>
              <w:left w:val="single" w:sz="4" w:space="0" w:color="auto"/>
              <w:right w:val="single" w:sz="4" w:space="0" w:color="auto"/>
            </w:tcBorders>
          </w:tcPr>
          <w:p w14:paraId="66B88943"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UAM</w:t>
            </w:r>
          </w:p>
        </w:tc>
        <w:tc>
          <w:tcPr>
            <w:tcW w:w="1597" w:type="dxa"/>
            <w:vMerge w:val="restart"/>
            <w:tcBorders>
              <w:left w:val="single" w:sz="4" w:space="0" w:color="auto"/>
              <w:right w:val="single" w:sz="4" w:space="0" w:color="auto"/>
            </w:tcBorders>
          </w:tcPr>
          <w:p w14:paraId="5076AECC"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 xml:space="preserve">No later than </w:t>
            </w:r>
            <w:r w:rsidR="00014B08">
              <w:rPr>
                <w:rFonts w:asciiTheme="minorHAnsi" w:hAnsiTheme="minorHAnsi" w:cstheme="minorHAnsi"/>
                <w:sz w:val="20"/>
                <w:szCs w:val="20"/>
              </w:rPr>
              <w:t>six (</w:t>
            </w:r>
            <w:r w:rsidRPr="00D4589B">
              <w:rPr>
                <w:rFonts w:asciiTheme="minorHAnsi" w:hAnsiTheme="minorHAnsi" w:cstheme="minorHAnsi"/>
                <w:sz w:val="20"/>
                <w:szCs w:val="20"/>
              </w:rPr>
              <w:t>6</w:t>
            </w:r>
            <w:r w:rsidR="00014B08">
              <w:rPr>
                <w:rFonts w:asciiTheme="minorHAnsi" w:hAnsiTheme="minorHAnsi" w:cstheme="minorHAnsi"/>
                <w:sz w:val="20"/>
                <w:szCs w:val="20"/>
              </w:rPr>
              <w:t>)</w:t>
            </w:r>
            <w:r w:rsidRPr="00D4589B">
              <w:rPr>
                <w:rFonts w:asciiTheme="minorHAnsi" w:hAnsiTheme="minorHAnsi" w:cstheme="minorHAnsi"/>
                <w:sz w:val="20"/>
                <w:szCs w:val="20"/>
              </w:rPr>
              <w:t xml:space="preserve"> months </w:t>
            </w:r>
            <w:r>
              <w:rPr>
                <w:rFonts w:asciiTheme="minorHAnsi" w:hAnsiTheme="minorHAnsi" w:cstheme="minorHAnsi"/>
                <w:sz w:val="20"/>
                <w:szCs w:val="20"/>
              </w:rPr>
              <w:t>after</w:t>
            </w:r>
            <w:r w:rsidRPr="00D4589B">
              <w:rPr>
                <w:rFonts w:asciiTheme="minorHAnsi" w:hAnsiTheme="minorHAnsi" w:cstheme="minorHAnsi"/>
                <w:sz w:val="20"/>
                <w:szCs w:val="20"/>
              </w:rPr>
              <w:t xml:space="preserve"> </w:t>
            </w:r>
            <w:r w:rsidR="00F034E1">
              <w:rPr>
                <w:rFonts w:asciiTheme="minorHAnsi" w:hAnsiTheme="minorHAnsi" w:cstheme="minorHAnsi"/>
                <w:sz w:val="20"/>
                <w:szCs w:val="20"/>
              </w:rPr>
              <w:t xml:space="preserve">the </w:t>
            </w:r>
            <w:r w:rsidRPr="00D4589B">
              <w:rPr>
                <w:rFonts w:asciiTheme="minorHAnsi" w:hAnsiTheme="minorHAnsi" w:cstheme="minorHAnsi"/>
                <w:sz w:val="20"/>
                <w:szCs w:val="20"/>
              </w:rPr>
              <w:t>project</w:t>
            </w:r>
            <w:r>
              <w:rPr>
                <w:rFonts w:asciiTheme="minorHAnsi" w:hAnsiTheme="minorHAnsi" w:cstheme="minorHAnsi"/>
                <w:sz w:val="20"/>
                <w:szCs w:val="20"/>
              </w:rPr>
              <w:t>’s</w:t>
            </w:r>
            <w:r w:rsidRPr="00D4589B">
              <w:rPr>
                <w:rFonts w:asciiTheme="minorHAnsi" w:hAnsiTheme="minorHAnsi" w:cstheme="minorHAnsi"/>
                <w:sz w:val="20"/>
                <w:szCs w:val="20"/>
              </w:rPr>
              <w:t xml:space="preserve"> </w:t>
            </w:r>
            <w:r>
              <w:rPr>
                <w:rFonts w:asciiTheme="minorHAnsi" w:hAnsiTheme="minorHAnsi" w:cstheme="minorHAnsi"/>
                <w:sz w:val="20"/>
                <w:szCs w:val="20"/>
              </w:rPr>
              <w:t xml:space="preserve">effective. </w:t>
            </w:r>
          </w:p>
        </w:tc>
      </w:tr>
      <w:tr w:rsidR="000C3959" w14:paraId="0478E96A" w14:textId="77777777" w:rsidTr="00126CD2">
        <w:trPr>
          <w:trHeight w:val="616"/>
          <w:jc w:val="center"/>
        </w:trPr>
        <w:tc>
          <w:tcPr>
            <w:tcW w:w="588" w:type="dxa"/>
            <w:vMerge/>
            <w:tcBorders>
              <w:left w:val="single" w:sz="4" w:space="0" w:color="auto"/>
              <w:bottom w:val="single" w:sz="4" w:space="0" w:color="auto"/>
              <w:right w:val="single" w:sz="4" w:space="0" w:color="auto"/>
            </w:tcBorders>
          </w:tcPr>
          <w:p w14:paraId="0BD95DCB" w14:textId="77777777" w:rsidR="00D43BB0" w:rsidRPr="00D4589B" w:rsidRDefault="00D43BB0" w:rsidP="00A01C2F">
            <w:pPr>
              <w:rPr>
                <w:rFonts w:ascii="Times New Roman" w:hAnsi="Times New Roman"/>
                <w:sz w:val="20"/>
                <w:szCs w:val="20"/>
              </w:rPr>
            </w:pPr>
          </w:p>
        </w:tc>
        <w:tc>
          <w:tcPr>
            <w:tcW w:w="2197" w:type="dxa"/>
            <w:vMerge/>
            <w:tcBorders>
              <w:left w:val="single" w:sz="4" w:space="0" w:color="auto"/>
              <w:bottom w:val="single" w:sz="4" w:space="0" w:color="auto"/>
              <w:right w:val="single" w:sz="4" w:space="0" w:color="auto"/>
            </w:tcBorders>
            <w:vAlign w:val="center"/>
          </w:tcPr>
          <w:p w14:paraId="2CEFF8B5" w14:textId="77777777" w:rsidR="00D43BB0" w:rsidRPr="00D4589B" w:rsidRDefault="00D43BB0" w:rsidP="00A01C2F">
            <w:pPr>
              <w:rPr>
                <w:rFonts w:ascii="Calibri" w:eastAsia="Calibri" w:hAnsi="Calibri" w:cs="Calibri"/>
                <w:color w:val="auto"/>
                <w:sz w:val="20"/>
                <w:szCs w:val="20"/>
              </w:rPr>
            </w:pPr>
          </w:p>
        </w:tc>
        <w:tc>
          <w:tcPr>
            <w:tcW w:w="3893" w:type="dxa"/>
            <w:tcBorders>
              <w:left w:val="single" w:sz="4" w:space="0" w:color="auto"/>
              <w:right w:val="single" w:sz="4" w:space="0" w:color="auto"/>
            </w:tcBorders>
          </w:tcPr>
          <w:p w14:paraId="0D2507EE" w14:textId="77777777" w:rsidR="00D43BB0" w:rsidRPr="00D4589B" w:rsidRDefault="00B00100" w:rsidP="00A01C2F">
            <w:pPr>
              <w:rPr>
                <w:rFonts w:asciiTheme="minorHAnsi" w:hAnsiTheme="minorHAnsi" w:cstheme="minorHAnsi"/>
                <w:sz w:val="20"/>
                <w:szCs w:val="20"/>
              </w:rPr>
            </w:pPr>
            <w:r w:rsidRPr="00D4589B">
              <w:rPr>
                <w:rFonts w:asciiTheme="minorHAnsi" w:hAnsiTheme="minorHAnsi" w:cstheme="minorHAnsi"/>
                <w:sz w:val="20"/>
                <w:szCs w:val="20"/>
              </w:rPr>
              <w:t>Designate the procurement assistant to be responsible for data management</w:t>
            </w:r>
          </w:p>
        </w:tc>
        <w:tc>
          <w:tcPr>
            <w:tcW w:w="1620" w:type="dxa"/>
            <w:vMerge/>
            <w:tcBorders>
              <w:left w:val="single" w:sz="4" w:space="0" w:color="auto"/>
              <w:bottom w:val="single" w:sz="4" w:space="0" w:color="auto"/>
              <w:right w:val="single" w:sz="4" w:space="0" w:color="auto"/>
            </w:tcBorders>
          </w:tcPr>
          <w:p w14:paraId="60ADF692" w14:textId="77777777" w:rsidR="00D43BB0" w:rsidRPr="00D4589B" w:rsidRDefault="00D43BB0" w:rsidP="00A01C2F">
            <w:pPr>
              <w:rPr>
                <w:rFonts w:ascii="Times New Roman" w:hAnsi="Times New Roman"/>
                <w:sz w:val="20"/>
                <w:szCs w:val="20"/>
              </w:rPr>
            </w:pPr>
          </w:p>
        </w:tc>
        <w:tc>
          <w:tcPr>
            <w:tcW w:w="1597" w:type="dxa"/>
            <w:vMerge/>
            <w:tcBorders>
              <w:left w:val="single" w:sz="4" w:space="0" w:color="auto"/>
              <w:bottom w:val="single" w:sz="4" w:space="0" w:color="auto"/>
              <w:right w:val="single" w:sz="4" w:space="0" w:color="auto"/>
            </w:tcBorders>
          </w:tcPr>
          <w:p w14:paraId="0CD93953" w14:textId="77777777" w:rsidR="00D43BB0" w:rsidRPr="00D4589B" w:rsidRDefault="00D43BB0" w:rsidP="00A01C2F">
            <w:pPr>
              <w:rPr>
                <w:rFonts w:ascii="Times New Roman" w:hAnsi="Times New Roman"/>
                <w:sz w:val="20"/>
                <w:szCs w:val="20"/>
              </w:rPr>
            </w:pPr>
          </w:p>
        </w:tc>
      </w:tr>
    </w:tbl>
    <w:p w14:paraId="2D9F4D31" w14:textId="77777777" w:rsidR="00596AEA" w:rsidRDefault="00596AEA">
      <w:pPr>
        <w:widowControl/>
        <w:autoSpaceDE/>
        <w:autoSpaceDN/>
        <w:adjustRightInd/>
        <w:spacing w:after="240"/>
        <w:ind w:right="720"/>
        <w:jc w:val="both"/>
        <w:rPr>
          <w:rFonts w:ascii="Calibri" w:eastAsia="Calibri" w:hAnsi="Calibri" w:cs="Calibri"/>
          <w:color w:val="auto"/>
          <w:sz w:val="22"/>
          <w:szCs w:val="22"/>
        </w:rPr>
      </w:pPr>
    </w:p>
    <w:p w14:paraId="536127CB" w14:textId="77777777" w:rsidR="00E12470" w:rsidRDefault="00B00100" w:rsidP="004E2E0D">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color w:val="auto"/>
          <w:sz w:val="22"/>
          <w:szCs w:val="22"/>
        </w:rPr>
        <w:t xml:space="preserve">Overall </w:t>
      </w:r>
      <w:r w:rsidR="00FA3436">
        <w:rPr>
          <w:rFonts w:ascii="Calibri" w:eastAsia="Calibri" w:hAnsi="Calibri" w:cs="Calibri"/>
          <w:color w:val="auto"/>
          <w:sz w:val="22"/>
          <w:szCs w:val="22"/>
        </w:rPr>
        <w:t xml:space="preserve">the </w:t>
      </w:r>
      <w:r w:rsidRPr="002E1A3F">
        <w:rPr>
          <w:rFonts w:ascii="Calibri" w:eastAsia="Calibri" w:hAnsi="Calibri" w:cs="Calibri"/>
          <w:color w:val="auto"/>
          <w:sz w:val="22"/>
          <w:szCs w:val="22"/>
        </w:rPr>
        <w:t>procurement risk rating for the Implementing Agencies (centers</w:t>
      </w:r>
      <w:r>
        <w:rPr>
          <w:rFonts w:ascii="Calibri" w:eastAsia="Calibri" w:hAnsi="Calibri" w:cs="Calibri"/>
          <w:color w:val="auto"/>
          <w:sz w:val="22"/>
          <w:szCs w:val="22"/>
        </w:rPr>
        <w:t xml:space="preserve">, </w:t>
      </w:r>
      <w:r w:rsidR="000B5E33">
        <w:rPr>
          <w:rFonts w:ascii="Calibri" w:eastAsia="Calibri" w:hAnsi="Calibri" w:cs="Calibri"/>
          <w:color w:val="auto"/>
          <w:sz w:val="22"/>
          <w:szCs w:val="22"/>
        </w:rPr>
        <w:t xml:space="preserve">AAU, </w:t>
      </w:r>
      <w:r w:rsidRPr="002E1A3F">
        <w:rPr>
          <w:rFonts w:ascii="Calibri" w:eastAsia="Calibri" w:hAnsi="Calibri" w:cs="Calibri"/>
          <w:color w:val="auto"/>
          <w:sz w:val="22"/>
          <w:szCs w:val="22"/>
        </w:rPr>
        <w:t>NUC</w:t>
      </w:r>
      <w:r>
        <w:rPr>
          <w:rFonts w:ascii="Calibri" w:eastAsia="Calibri" w:hAnsi="Calibri" w:cs="Calibri"/>
          <w:color w:val="auto"/>
          <w:sz w:val="22"/>
          <w:szCs w:val="22"/>
        </w:rPr>
        <w:t xml:space="preserve"> and the PCU-Gambia</w:t>
      </w:r>
      <w:r w:rsidRPr="002E1A3F">
        <w:rPr>
          <w:rFonts w:ascii="Calibri" w:eastAsia="Calibri" w:hAnsi="Calibri" w:cs="Calibri"/>
          <w:color w:val="auto"/>
          <w:sz w:val="22"/>
          <w:szCs w:val="22"/>
        </w:rPr>
        <w:t>) across the project is</w:t>
      </w:r>
      <w:r>
        <w:rPr>
          <w:rFonts w:ascii="Calibri" w:eastAsia="Calibri" w:hAnsi="Calibri" w:cs="Calibri"/>
          <w:color w:val="auto"/>
          <w:sz w:val="22"/>
          <w:szCs w:val="22"/>
        </w:rPr>
        <w:t xml:space="preserve"> </w:t>
      </w:r>
      <w:r w:rsidR="00FA3436">
        <w:rPr>
          <w:rFonts w:ascii="Calibri" w:eastAsia="Calibri" w:hAnsi="Calibri" w:cs="Calibri"/>
          <w:color w:val="auto"/>
          <w:sz w:val="22"/>
          <w:szCs w:val="22"/>
        </w:rPr>
        <w:t>S</w:t>
      </w:r>
      <w:r>
        <w:rPr>
          <w:rFonts w:ascii="Calibri" w:eastAsia="Calibri" w:hAnsi="Calibri" w:cs="Calibri"/>
          <w:color w:val="auto"/>
          <w:sz w:val="22"/>
          <w:szCs w:val="22"/>
        </w:rPr>
        <w:t>ubstantial</w:t>
      </w:r>
      <w:r w:rsidRPr="002E1A3F">
        <w:rPr>
          <w:rFonts w:ascii="Calibri" w:eastAsia="Calibri" w:hAnsi="Calibri" w:cs="Calibri"/>
          <w:color w:val="auto"/>
          <w:sz w:val="22"/>
          <w:szCs w:val="22"/>
        </w:rPr>
        <w:t>.</w:t>
      </w:r>
    </w:p>
    <w:p w14:paraId="51406C2A" w14:textId="77777777" w:rsidR="00EF520E" w:rsidRDefault="00B00100" w:rsidP="008E2709">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color w:val="auto"/>
          <w:sz w:val="22"/>
          <w:szCs w:val="22"/>
        </w:rPr>
        <w:lastRenderedPageBreak/>
        <w:t xml:space="preserve">The applicable thresholds for </w:t>
      </w:r>
      <w:r w:rsidR="00CC7188">
        <w:rPr>
          <w:rFonts w:ascii="Calibri" w:eastAsia="Calibri" w:hAnsi="Calibri" w:cs="Calibri"/>
          <w:color w:val="auto"/>
          <w:sz w:val="22"/>
          <w:szCs w:val="22"/>
        </w:rPr>
        <w:t>AAU</w:t>
      </w:r>
      <w:r w:rsidR="00E5217C">
        <w:rPr>
          <w:rFonts w:ascii="Calibri" w:eastAsia="Calibri" w:hAnsi="Calibri" w:cs="Calibri"/>
          <w:color w:val="auto"/>
          <w:sz w:val="22"/>
          <w:szCs w:val="22"/>
        </w:rPr>
        <w:t xml:space="preserve"> (based on Ghana’s thresholds</w:t>
      </w:r>
      <w:r w:rsidRPr="002E1A3F">
        <w:rPr>
          <w:rFonts w:ascii="Calibri" w:eastAsia="Calibri" w:hAnsi="Calibri" w:cs="Calibri"/>
          <w:color w:val="auto"/>
          <w:sz w:val="22"/>
          <w:szCs w:val="22"/>
        </w:rPr>
        <w:t xml:space="preserve"> are shown below in Tables A2.</w:t>
      </w:r>
      <w:r>
        <w:rPr>
          <w:rFonts w:ascii="Calibri" w:eastAsia="Calibri" w:hAnsi="Calibri" w:cs="Calibri"/>
          <w:color w:val="auto"/>
          <w:sz w:val="22"/>
          <w:szCs w:val="22"/>
        </w:rPr>
        <w:t>6a</w:t>
      </w:r>
      <w:r w:rsidRPr="002E1A3F">
        <w:rPr>
          <w:rFonts w:ascii="Calibri" w:eastAsia="Calibri" w:hAnsi="Calibri" w:cs="Calibri"/>
          <w:color w:val="auto"/>
          <w:sz w:val="22"/>
          <w:szCs w:val="22"/>
        </w:rPr>
        <w:t>.</w:t>
      </w:r>
    </w:p>
    <w:p w14:paraId="46653FC6" w14:textId="77777777" w:rsidR="00121073" w:rsidRDefault="00121073" w:rsidP="00FC1A97">
      <w:pPr>
        <w:pStyle w:val="ListParagraph"/>
        <w:spacing w:after="120"/>
        <w:ind w:left="360" w:right="720"/>
        <w:jc w:val="center"/>
        <w:rPr>
          <w:rFonts w:ascii="Calibri" w:eastAsia="Calibri" w:hAnsi="Calibri" w:cs="Calibri"/>
          <w:b/>
          <w:sz w:val="22"/>
          <w:szCs w:val="22"/>
        </w:rPr>
      </w:pPr>
    </w:p>
    <w:p w14:paraId="30AA49A3" w14:textId="77777777" w:rsidR="00121073" w:rsidRDefault="00121073" w:rsidP="00FC1A97">
      <w:pPr>
        <w:pStyle w:val="ListParagraph"/>
        <w:spacing w:after="120"/>
        <w:ind w:left="360" w:right="720"/>
        <w:jc w:val="center"/>
        <w:rPr>
          <w:rFonts w:ascii="Calibri" w:eastAsia="Calibri" w:hAnsi="Calibri" w:cs="Calibri"/>
          <w:b/>
          <w:sz w:val="22"/>
          <w:szCs w:val="22"/>
        </w:rPr>
      </w:pPr>
    </w:p>
    <w:p w14:paraId="1E612122" w14:textId="77777777" w:rsidR="00121073" w:rsidRDefault="00121073" w:rsidP="00FC1A97">
      <w:pPr>
        <w:pStyle w:val="ListParagraph"/>
        <w:spacing w:after="120"/>
        <w:ind w:left="360" w:right="720"/>
        <w:jc w:val="center"/>
        <w:rPr>
          <w:rFonts w:ascii="Calibri" w:eastAsia="Calibri" w:hAnsi="Calibri" w:cs="Calibri"/>
          <w:b/>
          <w:sz w:val="22"/>
          <w:szCs w:val="22"/>
        </w:rPr>
      </w:pPr>
    </w:p>
    <w:p w14:paraId="4FE709D7" w14:textId="77777777" w:rsidR="00121073" w:rsidRDefault="00121073" w:rsidP="00FC1A97">
      <w:pPr>
        <w:pStyle w:val="ListParagraph"/>
        <w:spacing w:after="120"/>
        <w:ind w:left="360" w:right="720"/>
        <w:jc w:val="center"/>
        <w:rPr>
          <w:rFonts w:ascii="Calibri" w:eastAsia="Calibri" w:hAnsi="Calibri" w:cs="Calibri"/>
          <w:b/>
          <w:sz w:val="22"/>
          <w:szCs w:val="22"/>
        </w:rPr>
      </w:pPr>
    </w:p>
    <w:p w14:paraId="0591B934" w14:textId="50928345" w:rsidR="009E06CA" w:rsidRDefault="00B00100" w:rsidP="006C70A5">
      <w:pPr>
        <w:pStyle w:val="ListParagraph"/>
        <w:spacing w:after="120"/>
        <w:ind w:left="360" w:right="720"/>
        <w:jc w:val="center"/>
        <w:rPr>
          <w:rFonts w:ascii="Calibri" w:eastAsia="Calibri" w:hAnsi="Calibri" w:cs="Calibri"/>
          <w:b/>
          <w:i/>
          <w:sz w:val="22"/>
          <w:szCs w:val="22"/>
        </w:rPr>
      </w:pPr>
      <w:r w:rsidRPr="00EF520E">
        <w:rPr>
          <w:rFonts w:ascii="Calibri" w:eastAsia="Calibri" w:hAnsi="Calibri" w:cs="Calibri"/>
          <w:b/>
          <w:sz w:val="22"/>
          <w:szCs w:val="22"/>
        </w:rPr>
        <w:t xml:space="preserve">Table A2.6a. </w:t>
      </w:r>
      <w:r w:rsidR="009E06CA">
        <w:rPr>
          <w:rFonts w:ascii="Calibri" w:eastAsia="Calibri" w:hAnsi="Calibri" w:cs="Calibri"/>
          <w:b/>
          <w:i/>
          <w:sz w:val="22"/>
          <w:szCs w:val="22"/>
        </w:rPr>
        <w:t>Applicable Procurement Thresholds for Ghana (to be used by AAU)</w:t>
      </w:r>
    </w:p>
    <w:p w14:paraId="2B5647E5" w14:textId="1FC2D1A6" w:rsidR="00607FB4" w:rsidRDefault="00607FB4" w:rsidP="006C70A5">
      <w:pPr>
        <w:widowControl/>
        <w:autoSpaceDE/>
        <w:autoSpaceDN/>
        <w:adjustRightInd/>
        <w:ind w:right="720"/>
        <w:jc w:val="center"/>
        <w:rPr>
          <w:rFonts w:ascii="Calibri" w:eastAsia="Calibri" w:hAnsi="Calibri" w:cs="Calibri"/>
          <w:color w:val="auto"/>
          <w:sz w:val="22"/>
          <w:szCs w:val="22"/>
        </w:rPr>
      </w:pPr>
    </w:p>
    <w:tbl>
      <w:tblPr>
        <w:tblStyle w:val="TableGrid"/>
        <w:tblW w:w="10770" w:type="dxa"/>
        <w:tblInd w:w="-8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19"/>
        <w:gridCol w:w="706"/>
        <w:gridCol w:w="756"/>
        <w:gridCol w:w="596"/>
        <w:gridCol w:w="816"/>
        <w:gridCol w:w="722"/>
        <w:gridCol w:w="905"/>
        <w:gridCol w:w="669"/>
        <w:gridCol w:w="791"/>
        <w:gridCol w:w="905"/>
        <w:gridCol w:w="669"/>
        <w:gridCol w:w="791"/>
        <w:gridCol w:w="816"/>
        <w:gridCol w:w="912"/>
        <w:tblGridChange w:id="425">
          <w:tblGrid>
            <w:gridCol w:w="719"/>
            <w:gridCol w:w="706"/>
            <w:gridCol w:w="756"/>
            <w:gridCol w:w="596"/>
            <w:gridCol w:w="816"/>
            <w:gridCol w:w="722"/>
            <w:gridCol w:w="905"/>
            <w:gridCol w:w="669"/>
            <w:gridCol w:w="791"/>
            <w:gridCol w:w="905"/>
            <w:gridCol w:w="669"/>
            <w:gridCol w:w="791"/>
            <w:gridCol w:w="816"/>
            <w:gridCol w:w="912"/>
          </w:tblGrid>
        </w:tblGridChange>
      </w:tblGrid>
      <w:tr w:rsidR="00607FB4" w14:paraId="3492AE1B" w14:textId="77777777" w:rsidTr="006C70A5">
        <w:trPr>
          <w:trHeight w:val="215"/>
        </w:trPr>
        <w:tc>
          <w:tcPr>
            <w:tcW w:w="718" w:type="dxa"/>
            <w:tcBorders>
              <w:top w:val="single" w:sz="8" w:space="0" w:color="auto"/>
              <w:left w:val="single" w:sz="8" w:space="0" w:color="auto"/>
              <w:bottom w:val="single" w:sz="8" w:space="0" w:color="auto"/>
              <w:right w:val="single" w:sz="8" w:space="0" w:color="auto"/>
            </w:tcBorders>
            <w:vAlign w:val="center"/>
          </w:tcPr>
          <w:p w14:paraId="2810D42A" w14:textId="77777777" w:rsidR="00607FB4" w:rsidRDefault="00607FB4">
            <w:pPr>
              <w:jc w:val="center"/>
              <w:rPr>
                <w:rFonts w:ascii="Arial Narrow" w:eastAsiaTheme="minorHAnsi" w:hAnsi="Arial Narrow" w:cstheme="minorBidi"/>
                <w:b/>
                <w:color w:val="auto"/>
                <w:sz w:val="14"/>
                <w:szCs w:val="16"/>
              </w:rPr>
            </w:pPr>
          </w:p>
        </w:tc>
        <w:tc>
          <w:tcPr>
            <w:tcW w:w="3599" w:type="dxa"/>
            <w:gridSpan w:val="5"/>
            <w:tcBorders>
              <w:top w:val="single" w:sz="8" w:space="0" w:color="auto"/>
              <w:left w:val="single" w:sz="8" w:space="0" w:color="auto"/>
              <w:bottom w:val="single" w:sz="8" w:space="0" w:color="auto"/>
              <w:right w:val="single" w:sz="12" w:space="0" w:color="auto"/>
            </w:tcBorders>
            <w:vAlign w:val="center"/>
            <w:hideMark/>
          </w:tcPr>
          <w:p w14:paraId="28A81D09" w14:textId="77777777" w:rsidR="00607FB4" w:rsidRDefault="00607FB4">
            <w:pPr>
              <w:jc w:val="center"/>
              <w:rPr>
                <w:rFonts w:ascii="Arial Narrow" w:hAnsi="Arial Narrow"/>
                <w:b/>
                <w:color w:val="FF0000"/>
                <w:sz w:val="16"/>
                <w:szCs w:val="16"/>
              </w:rPr>
            </w:pPr>
            <w:r>
              <w:rPr>
                <w:rFonts w:ascii="Arial Narrow" w:hAnsi="Arial Narrow"/>
                <w:b/>
                <w:color w:val="FF0000"/>
                <w:sz w:val="16"/>
                <w:szCs w:val="16"/>
              </w:rPr>
              <w:t>Prior Review Threshold in (US$’000)</w:t>
            </w:r>
          </w:p>
        </w:tc>
        <w:tc>
          <w:tcPr>
            <w:tcW w:w="6453" w:type="dxa"/>
            <w:gridSpan w:val="8"/>
            <w:tcBorders>
              <w:top w:val="single" w:sz="8" w:space="0" w:color="auto"/>
              <w:left w:val="single" w:sz="12" w:space="0" w:color="auto"/>
              <w:bottom w:val="single" w:sz="8" w:space="0" w:color="auto"/>
              <w:right w:val="single" w:sz="8" w:space="0" w:color="auto"/>
            </w:tcBorders>
            <w:vAlign w:val="center"/>
            <w:hideMark/>
          </w:tcPr>
          <w:p w14:paraId="546EAA93" w14:textId="77777777" w:rsidR="00607FB4" w:rsidRDefault="00607FB4">
            <w:pPr>
              <w:jc w:val="center"/>
              <w:rPr>
                <w:rFonts w:ascii="Arial Narrow" w:hAnsi="Arial Narrow"/>
                <w:b/>
                <w:color w:val="0000FF"/>
                <w:sz w:val="16"/>
                <w:szCs w:val="16"/>
              </w:rPr>
            </w:pPr>
            <w:r>
              <w:rPr>
                <w:rFonts w:ascii="Arial Narrow" w:hAnsi="Arial Narrow"/>
                <w:b/>
                <w:color w:val="0000FF"/>
                <w:sz w:val="16"/>
                <w:szCs w:val="16"/>
              </w:rPr>
              <w:t>Procurement Methods Thresholds in (US$’000)</w:t>
            </w:r>
          </w:p>
        </w:tc>
      </w:tr>
      <w:tr w:rsidR="00607FB4" w14:paraId="57F86CEA" w14:textId="77777777" w:rsidTr="00607FB4">
        <w:trPr>
          <w:trHeight w:val="303"/>
        </w:trPr>
        <w:tc>
          <w:tcPr>
            <w:tcW w:w="718" w:type="dxa"/>
            <w:vMerge w:val="restar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A2E2071" w14:textId="77777777" w:rsidR="00607FB4" w:rsidRDefault="00607FB4">
            <w:pPr>
              <w:jc w:val="center"/>
              <w:rPr>
                <w:rFonts w:ascii="Arial Narrow" w:hAnsi="Arial Narrow"/>
                <w:b/>
                <w:color w:val="auto"/>
                <w:sz w:val="16"/>
                <w:szCs w:val="16"/>
              </w:rPr>
            </w:pPr>
            <w:r>
              <w:rPr>
                <w:rFonts w:ascii="Arial Narrow" w:hAnsi="Arial Narrow"/>
                <w:b/>
                <w:sz w:val="16"/>
                <w:szCs w:val="16"/>
              </w:rPr>
              <w:t>RISK RATING</w:t>
            </w:r>
          </w:p>
        </w:tc>
        <w:tc>
          <w:tcPr>
            <w:tcW w:w="1462" w:type="dxa"/>
            <w:gridSpan w:val="2"/>
            <w:tcBorders>
              <w:top w:val="single" w:sz="8" w:space="0" w:color="auto"/>
              <w:left w:val="single" w:sz="8" w:space="0" w:color="auto"/>
              <w:bottom w:val="single" w:sz="4" w:space="0" w:color="auto"/>
              <w:right w:val="single" w:sz="4" w:space="0" w:color="auto"/>
            </w:tcBorders>
            <w:shd w:val="clear" w:color="auto" w:fill="E7E6E6" w:themeFill="background2"/>
            <w:vAlign w:val="center"/>
          </w:tcPr>
          <w:p w14:paraId="569F78B3" w14:textId="77777777" w:rsidR="00607FB4" w:rsidRDefault="00607FB4">
            <w:pPr>
              <w:jc w:val="center"/>
              <w:rPr>
                <w:rFonts w:ascii="Arial Narrow" w:hAnsi="Arial Narrow"/>
                <w:color w:val="FF0000"/>
                <w:sz w:val="14"/>
                <w:szCs w:val="16"/>
              </w:rPr>
            </w:pPr>
          </w:p>
        </w:tc>
        <w:tc>
          <w:tcPr>
            <w:tcW w:w="1413" w:type="dxa"/>
            <w:gridSpan w:val="2"/>
            <w:tcBorders>
              <w:top w:val="single" w:sz="8" w:space="0" w:color="auto"/>
              <w:left w:val="single" w:sz="4" w:space="0" w:color="auto"/>
              <w:bottom w:val="single" w:sz="4" w:space="0" w:color="auto"/>
              <w:right w:val="single" w:sz="4" w:space="0" w:color="auto"/>
            </w:tcBorders>
            <w:shd w:val="clear" w:color="auto" w:fill="E7E6E6" w:themeFill="background2"/>
            <w:vAlign w:val="center"/>
            <w:hideMark/>
          </w:tcPr>
          <w:p w14:paraId="3EE6495D" w14:textId="77777777" w:rsidR="00607FB4" w:rsidRDefault="00607FB4">
            <w:pPr>
              <w:jc w:val="center"/>
              <w:rPr>
                <w:rFonts w:ascii="Arial Narrow" w:hAnsi="Arial Narrow"/>
                <w:b/>
                <w:color w:val="FF0000"/>
                <w:sz w:val="16"/>
                <w:szCs w:val="16"/>
              </w:rPr>
            </w:pPr>
            <w:r>
              <w:rPr>
                <w:rFonts w:ascii="Arial Narrow" w:hAnsi="Arial Narrow"/>
                <w:b/>
                <w:color w:val="FF0000"/>
                <w:sz w:val="15"/>
                <w:szCs w:val="15"/>
              </w:rPr>
              <w:t>Consultants</w:t>
            </w:r>
          </w:p>
        </w:tc>
        <w:tc>
          <w:tcPr>
            <w:tcW w:w="722" w:type="dxa"/>
            <w:vMerge w:val="restart"/>
            <w:tcBorders>
              <w:top w:val="single" w:sz="8" w:space="0" w:color="auto"/>
              <w:left w:val="single" w:sz="4" w:space="0" w:color="auto"/>
              <w:bottom w:val="single" w:sz="8" w:space="0" w:color="auto"/>
              <w:right w:val="single" w:sz="12" w:space="0" w:color="auto"/>
            </w:tcBorders>
            <w:shd w:val="clear" w:color="auto" w:fill="E7E6E6" w:themeFill="background2"/>
            <w:vAlign w:val="center"/>
            <w:hideMark/>
          </w:tcPr>
          <w:p w14:paraId="23994290" w14:textId="77777777" w:rsidR="00607FB4" w:rsidRDefault="00607FB4">
            <w:pPr>
              <w:jc w:val="center"/>
              <w:rPr>
                <w:rFonts w:ascii="Arial Narrow" w:hAnsi="Arial Narrow"/>
                <w:b/>
                <w:color w:val="FF0000"/>
                <w:sz w:val="15"/>
                <w:szCs w:val="15"/>
              </w:rPr>
            </w:pPr>
            <w:r>
              <w:rPr>
                <w:rFonts w:ascii="Arial Narrow" w:hAnsi="Arial Narrow"/>
                <w:b/>
                <w:color w:val="FF0000"/>
                <w:sz w:val="15"/>
                <w:szCs w:val="15"/>
              </w:rPr>
              <w:t>Single Source &amp; Direct Contract</w:t>
            </w:r>
          </w:p>
        </w:tc>
        <w:tc>
          <w:tcPr>
            <w:tcW w:w="2363" w:type="dxa"/>
            <w:gridSpan w:val="3"/>
            <w:tcBorders>
              <w:top w:val="single" w:sz="8" w:space="0" w:color="auto"/>
              <w:left w:val="single" w:sz="12" w:space="0" w:color="auto"/>
              <w:bottom w:val="single" w:sz="4" w:space="0" w:color="auto"/>
              <w:right w:val="single" w:sz="8" w:space="0" w:color="auto"/>
            </w:tcBorders>
            <w:shd w:val="clear" w:color="auto" w:fill="E7E6E6" w:themeFill="background2"/>
            <w:vAlign w:val="center"/>
            <w:hideMark/>
          </w:tcPr>
          <w:p w14:paraId="499B569E" w14:textId="77777777" w:rsidR="00607FB4" w:rsidRDefault="00607FB4">
            <w:pPr>
              <w:jc w:val="center"/>
              <w:rPr>
                <w:rFonts w:ascii="Arial Narrow" w:hAnsi="Arial Narrow"/>
                <w:b/>
                <w:color w:val="0000FF"/>
                <w:sz w:val="15"/>
                <w:szCs w:val="15"/>
              </w:rPr>
            </w:pPr>
            <w:r>
              <w:rPr>
                <w:rFonts w:ascii="Arial Narrow" w:hAnsi="Arial Narrow"/>
                <w:b/>
                <w:color w:val="0000FF"/>
                <w:sz w:val="15"/>
                <w:szCs w:val="15"/>
              </w:rPr>
              <w:t>Works</w:t>
            </w:r>
          </w:p>
        </w:tc>
        <w:tc>
          <w:tcPr>
            <w:tcW w:w="2363" w:type="dxa"/>
            <w:gridSpan w:val="3"/>
            <w:tcBorders>
              <w:top w:val="single" w:sz="8" w:space="0" w:color="auto"/>
              <w:left w:val="single" w:sz="8" w:space="0" w:color="auto"/>
              <w:bottom w:val="single" w:sz="4" w:space="0" w:color="auto"/>
              <w:right w:val="single" w:sz="8" w:space="0" w:color="auto"/>
            </w:tcBorders>
            <w:shd w:val="clear" w:color="auto" w:fill="E7E6E6" w:themeFill="background2"/>
            <w:vAlign w:val="center"/>
            <w:hideMark/>
          </w:tcPr>
          <w:p w14:paraId="6756D01A" w14:textId="77777777" w:rsidR="00607FB4" w:rsidRDefault="00607FB4">
            <w:pPr>
              <w:jc w:val="center"/>
              <w:rPr>
                <w:rFonts w:ascii="Arial Narrow" w:hAnsi="Arial Narrow"/>
                <w:b/>
                <w:color w:val="0000FF"/>
                <w:sz w:val="15"/>
                <w:szCs w:val="15"/>
              </w:rPr>
            </w:pPr>
            <w:r>
              <w:rPr>
                <w:rFonts w:ascii="Arial Narrow" w:hAnsi="Arial Narrow"/>
                <w:b/>
                <w:color w:val="0000FF"/>
                <w:sz w:val="15"/>
                <w:szCs w:val="15"/>
              </w:rPr>
              <w:t>Goods, IT and non-consulting services</w:t>
            </w:r>
          </w:p>
        </w:tc>
        <w:tc>
          <w:tcPr>
            <w:tcW w:w="1725" w:type="dxa"/>
            <w:gridSpan w:val="2"/>
            <w:tcBorders>
              <w:top w:val="single" w:sz="8" w:space="0" w:color="auto"/>
              <w:left w:val="single" w:sz="8" w:space="0" w:color="auto"/>
              <w:bottom w:val="single" w:sz="4" w:space="0" w:color="auto"/>
              <w:right w:val="single" w:sz="8" w:space="0" w:color="auto"/>
            </w:tcBorders>
            <w:shd w:val="clear" w:color="auto" w:fill="E7E6E6" w:themeFill="background2"/>
            <w:vAlign w:val="center"/>
            <w:hideMark/>
          </w:tcPr>
          <w:p w14:paraId="087A5415" w14:textId="77777777" w:rsidR="00607FB4" w:rsidRDefault="00607FB4">
            <w:pPr>
              <w:jc w:val="center"/>
              <w:rPr>
                <w:rFonts w:ascii="Arial Narrow" w:hAnsi="Arial Narrow"/>
                <w:b/>
                <w:color w:val="0000FF"/>
                <w:sz w:val="15"/>
                <w:szCs w:val="15"/>
              </w:rPr>
            </w:pPr>
            <w:r>
              <w:rPr>
                <w:rFonts w:ascii="Arial Narrow" w:hAnsi="Arial Narrow"/>
                <w:b/>
                <w:color w:val="0000FF"/>
                <w:sz w:val="15"/>
                <w:szCs w:val="15"/>
              </w:rPr>
              <w:t>Shortlist of National Consultants</w:t>
            </w:r>
          </w:p>
        </w:tc>
      </w:tr>
      <w:tr w:rsidR="00607FB4" w14:paraId="71D96BF9" w14:textId="77777777" w:rsidTr="006C70A5">
        <w:trPr>
          <w:trHeight w:val="109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0772B31" w14:textId="77777777" w:rsidR="00607FB4" w:rsidRDefault="00607FB4">
            <w:pPr>
              <w:rPr>
                <w:rFonts w:ascii="Arial Narrow" w:hAnsi="Arial Narrow"/>
                <w:b/>
                <w:sz w:val="16"/>
                <w:szCs w:val="16"/>
              </w:rPr>
            </w:pPr>
          </w:p>
        </w:tc>
        <w:tc>
          <w:tcPr>
            <w:tcW w:w="706" w:type="dxa"/>
            <w:tcBorders>
              <w:top w:val="single" w:sz="4" w:space="0" w:color="auto"/>
              <w:left w:val="single" w:sz="8" w:space="0" w:color="auto"/>
              <w:bottom w:val="single" w:sz="8" w:space="0" w:color="auto"/>
              <w:right w:val="single" w:sz="4" w:space="0" w:color="auto"/>
            </w:tcBorders>
            <w:shd w:val="clear" w:color="auto" w:fill="E7E6E6" w:themeFill="background2"/>
            <w:vAlign w:val="center"/>
            <w:hideMark/>
          </w:tcPr>
          <w:p w14:paraId="26C0DD01" w14:textId="77777777" w:rsidR="00607FB4" w:rsidRDefault="00607FB4">
            <w:pPr>
              <w:jc w:val="center"/>
              <w:rPr>
                <w:rFonts w:ascii="Arial Narrow" w:hAnsi="Arial Narrow"/>
                <w:b/>
                <w:color w:val="FF0000"/>
                <w:sz w:val="14"/>
                <w:szCs w:val="14"/>
              </w:rPr>
            </w:pPr>
            <w:r>
              <w:rPr>
                <w:rFonts w:ascii="Arial Narrow" w:hAnsi="Arial Narrow"/>
                <w:b/>
                <w:color w:val="FF0000"/>
                <w:sz w:val="14"/>
                <w:szCs w:val="14"/>
              </w:rPr>
              <w:t>Works</w:t>
            </w:r>
          </w:p>
        </w:tc>
        <w:tc>
          <w:tcPr>
            <w:tcW w:w="756" w:type="dxa"/>
            <w:tcBorders>
              <w:top w:val="single" w:sz="4" w:space="0" w:color="auto"/>
              <w:left w:val="single" w:sz="4" w:space="0" w:color="auto"/>
              <w:bottom w:val="single" w:sz="8" w:space="0" w:color="auto"/>
              <w:right w:val="single" w:sz="4" w:space="0" w:color="auto"/>
            </w:tcBorders>
            <w:shd w:val="clear" w:color="auto" w:fill="E7E6E6" w:themeFill="background2"/>
            <w:vAlign w:val="center"/>
            <w:hideMark/>
          </w:tcPr>
          <w:p w14:paraId="4FEB3FE9" w14:textId="77777777" w:rsidR="00607FB4" w:rsidRDefault="00607FB4">
            <w:pPr>
              <w:jc w:val="center"/>
              <w:rPr>
                <w:rFonts w:ascii="Arial Narrow" w:hAnsi="Arial Narrow"/>
                <w:b/>
                <w:color w:val="FF0000"/>
                <w:sz w:val="14"/>
                <w:szCs w:val="14"/>
              </w:rPr>
            </w:pPr>
            <w:r>
              <w:rPr>
                <w:rFonts w:ascii="Arial Narrow" w:hAnsi="Arial Narrow"/>
                <w:b/>
                <w:color w:val="FF0000"/>
                <w:sz w:val="14"/>
                <w:szCs w:val="14"/>
              </w:rPr>
              <w:t xml:space="preserve">Goods, IT Systems+ </w:t>
            </w:r>
            <w:proofErr w:type="gramStart"/>
            <w:r>
              <w:rPr>
                <w:rFonts w:ascii="Arial Narrow" w:hAnsi="Arial Narrow"/>
                <w:b/>
                <w:color w:val="FF0000"/>
                <w:sz w:val="14"/>
                <w:szCs w:val="14"/>
              </w:rPr>
              <w:t>Non Con. Serv</w:t>
            </w:r>
            <w:proofErr w:type="gramEnd"/>
          </w:p>
        </w:tc>
        <w:tc>
          <w:tcPr>
            <w:tcW w:w="597" w:type="dxa"/>
            <w:tcBorders>
              <w:top w:val="single" w:sz="4" w:space="0" w:color="auto"/>
              <w:left w:val="single" w:sz="4" w:space="0" w:color="auto"/>
              <w:bottom w:val="single" w:sz="8" w:space="0" w:color="auto"/>
              <w:right w:val="single" w:sz="4" w:space="0" w:color="auto"/>
            </w:tcBorders>
            <w:shd w:val="clear" w:color="auto" w:fill="E7E6E6" w:themeFill="background2"/>
            <w:vAlign w:val="center"/>
            <w:hideMark/>
          </w:tcPr>
          <w:p w14:paraId="0EFFB19A" w14:textId="77777777" w:rsidR="00607FB4" w:rsidRDefault="00607FB4">
            <w:pPr>
              <w:jc w:val="center"/>
              <w:rPr>
                <w:rFonts w:ascii="Arial Narrow" w:hAnsi="Arial Narrow"/>
                <w:b/>
                <w:color w:val="FF0000"/>
                <w:sz w:val="14"/>
                <w:szCs w:val="14"/>
              </w:rPr>
            </w:pPr>
            <w:r>
              <w:rPr>
                <w:rFonts w:ascii="Arial Narrow" w:hAnsi="Arial Narrow"/>
                <w:b/>
                <w:color w:val="FF0000"/>
                <w:sz w:val="14"/>
                <w:szCs w:val="14"/>
              </w:rPr>
              <w:t>Firms</w:t>
            </w:r>
          </w:p>
        </w:tc>
        <w:tc>
          <w:tcPr>
            <w:tcW w:w="815" w:type="dxa"/>
            <w:tcBorders>
              <w:top w:val="single" w:sz="4" w:space="0" w:color="auto"/>
              <w:left w:val="single" w:sz="4" w:space="0" w:color="auto"/>
              <w:bottom w:val="single" w:sz="8" w:space="0" w:color="auto"/>
              <w:right w:val="single" w:sz="4" w:space="0" w:color="auto"/>
            </w:tcBorders>
            <w:shd w:val="clear" w:color="auto" w:fill="E7E6E6" w:themeFill="background2"/>
            <w:vAlign w:val="center"/>
            <w:hideMark/>
          </w:tcPr>
          <w:p w14:paraId="024D2044" w14:textId="77777777" w:rsidR="00607FB4" w:rsidRDefault="00607FB4">
            <w:pPr>
              <w:jc w:val="center"/>
              <w:rPr>
                <w:rFonts w:ascii="Arial Narrow" w:hAnsi="Arial Narrow"/>
                <w:b/>
                <w:color w:val="FF0000"/>
                <w:sz w:val="14"/>
                <w:szCs w:val="14"/>
              </w:rPr>
            </w:pPr>
            <w:r>
              <w:rPr>
                <w:rFonts w:ascii="Arial Narrow" w:hAnsi="Arial Narrow"/>
                <w:b/>
                <w:color w:val="FF0000"/>
                <w:sz w:val="14"/>
                <w:szCs w:val="14"/>
              </w:rPr>
              <w:t>Individuals</w:t>
            </w:r>
          </w:p>
        </w:tc>
        <w:tc>
          <w:tcPr>
            <w:tcW w:w="0" w:type="auto"/>
            <w:vMerge/>
            <w:tcBorders>
              <w:top w:val="single" w:sz="8" w:space="0" w:color="auto"/>
              <w:left w:val="single" w:sz="4" w:space="0" w:color="auto"/>
              <w:bottom w:val="single" w:sz="8" w:space="0" w:color="auto"/>
              <w:right w:val="single" w:sz="12" w:space="0" w:color="auto"/>
            </w:tcBorders>
            <w:vAlign w:val="center"/>
            <w:hideMark/>
          </w:tcPr>
          <w:p w14:paraId="63DB7079" w14:textId="77777777" w:rsidR="00607FB4" w:rsidRDefault="00607FB4">
            <w:pPr>
              <w:rPr>
                <w:rFonts w:ascii="Arial Narrow" w:hAnsi="Arial Narrow"/>
                <w:b/>
                <w:color w:val="FF0000"/>
                <w:sz w:val="15"/>
                <w:szCs w:val="15"/>
              </w:rPr>
            </w:pPr>
          </w:p>
        </w:tc>
        <w:tc>
          <w:tcPr>
            <w:tcW w:w="903" w:type="dxa"/>
            <w:tcBorders>
              <w:top w:val="single" w:sz="4" w:space="0" w:color="auto"/>
              <w:left w:val="single" w:sz="12" w:space="0" w:color="auto"/>
              <w:bottom w:val="single" w:sz="8" w:space="0" w:color="auto"/>
              <w:right w:val="single" w:sz="4" w:space="0" w:color="auto"/>
            </w:tcBorders>
            <w:shd w:val="clear" w:color="auto" w:fill="E7E6E6" w:themeFill="background2"/>
            <w:vAlign w:val="center"/>
            <w:hideMark/>
          </w:tcPr>
          <w:p w14:paraId="7476AC65"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Open International or ICB</w:t>
            </w:r>
          </w:p>
        </w:tc>
        <w:tc>
          <w:tcPr>
            <w:tcW w:w="669" w:type="dxa"/>
            <w:tcBorders>
              <w:top w:val="single" w:sz="4" w:space="0" w:color="auto"/>
              <w:left w:val="single" w:sz="4" w:space="0" w:color="auto"/>
              <w:bottom w:val="single" w:sz="8" w:space="0" w:color="auto"/>
              <w:right w:val="single" w:sz="4" w:space="0" w:color="auto"/>
            </w:tcBorders>
            <w:shd w:val="clear" w:color="auto" w:fill="E7E6E6" w:themeFill="background2"/>
            <w:vAlign w:val="center"/>
            <w:hideMark/>
          </w:tcPr>
          <w:p w14:paraId="07C098C1"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Open National or NCB</w:t>
            </w:r>
          </w:p>
        </w:tc>
        <w:tc>
          <w:tcPr>
            <w:tcW w:w="790" w:type="dxa"/>
            <w:tcBorders>
              <w:top w:val="single" w:sz="4" w:space="0" w:color="auto"/>
              <w:left w:val="single" w:sz="4" w:space="0" w:color="auto"/>
              <w:bottom w:val="single" w:sz="8" w:space="0" w:color="auto"/>
              <w:right w:val="single" w:sz="8" w:space="0" w:color="auto"/>
            </w:tcBorders>
            <w:shd w:val="clear" w:color="auto" w:fill="E7E6E6" w:themeFill="background2"/>
            <w:vAlign w:val="center"/>
            <w:hideMark/>
          </w:tcPr>
          <w:p w14:paraId="02B0D38C"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Request for Quotation/ National Shopping</w:t>
            </w:r>
          </w:p>
        </w:tc>
        <w:tc>
          <w:tcPr>
            <w:tcW w:w="903" w:type="dxa"/>
            <w:tcBorders>
              <w:top w:val="single" w:sz="4" w:space="0" w:color="auto"/>
              <w:left w:val="single" w:sz="8" w:space="0" w:color="auto"/>
              <w:bottom w:val="single" w:sz="8" w:space="0" w:color="auto"/>
              <w:right w:val="single" w:sz="4" w:space="0" w:color="auto"/>
            </w:tcBorders>
            <w:shd w:val="clear" w:color="auto" w:fill="E7E6E6" w:themeFill="background2"/>
            <w:vAlign w:val="center"/>
            <w:hideMark/>
          </w:tcPr>
          <w:p w14:paraId="54B05483"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Open International or ICB</w:t>
            </w:r>
          </w:p>
        </w:tc>
        <w:tc>
          <w:tcPr>
            <w:tcW w:w="669" w:type="dxa"/>
            <w:tcBorders>
              <w:top w:val="single" w:sz="4" w:space="0" w:color="auto"/>
              <w:left w:val="single" w:sz="4" w:space="0" w:color="auto"/>
              <w:bottom w:val="single" w:sz="8" w:space="0" w:color="auto"/>
              <w:right w:val="single" w:sz="4" w:space="0" w:color="auto"/>
            </w:tcBorders>
            <w:shd w:val="clear" w:color="auto" w:fill="E7E6E6" w:themeFill="background2"/>
            <w:vAlign w:val="center"/>
            <w:hideMark/>
          </w:tcPr>
          <w:p w14:paraId="0BA6F758"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Open National or NCB</w:t>
            </w:r>
          </w:p>
        </w:tc>
        <w:tc>
          <w:tcPr>
            <w:tcW w:w="790" w:type="dxa"/>
            <w:tcBorders>
              <w:top w:val="single" w:sz="4" w:space="0" w:color="auto"/>
              <w:left w:val="single" w:sz="4" w:space="0" w:color="auto"/>
              <w:bottom w:val="single" w:sz="8" w:space="0" w:color="auto"/>
              <w:right w:val="single" w:sz="8" w:space="0" w:color="auto"/>
            </w:tcBorders>
            <w:shd w:val="clear" w:color="auto" w:fill="E7E6E6" w:themeFill="background2"/>
            <w:vAlign w:val="center"/>
            <w:hideMark/>
          </w:tcPr>
          <w:p w14:paraId="1F6B959B"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Request for Quotation/ National Shopping</w:t>
            </w:r>
          </w:p>
        </w:tc>
        <w:tc>
          <w:tcPr>
            <w:tcW w:w="815" w:type="dxa"/>
            <w:tcBorders>
              <w:top w:val="single" w:sz="4" w:space="0" w:color="auto"/>
              <w:left w:val="single" w:sz="8" w:space="0" w:color="auto"/>
              <w:bottom w:val="single" w:sz="8" w:space="0" w:color="auto"/>
              <w:right w:val="single" w:sz="4" w:space="0" w:color="auto"/>
            </w:tcBorders>
            <w:shd w:val="clear" w:color="auto" w:fill="E7E6E6" w:themeFill="background2"/>
            <w:vAlign w:val="center"/>
            <w:hideMark/>
          </w:tcPr>
          <w:p w14:paraId="7D571C58"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Consulting services</w:t>
            </w:r>
          </w:p>
        </w:tc>
        <w:tc>
          <w:tcPr>
            <w:tcW w:w="910" w:type="dxa"/>
            <w:tcBorders>
              <w:top w:val="single" w:sz="4" w:space="0" w:color="auto"/>
              <w:left w:val="single" w:sz="4" w:space="0" w:color="auto"/>
              <w:bottom w:val="single" w:sz="8" w:space="0" w:color="auto"/>
              <w:right w:val="single" w:sz="8" w:space="0" w:color="auto"/>
            </w:tcBorders>
            <w:shd w:val="clear" w:color="auto" w:fill="E7E6E6" w:themeFill="background2"/>
            <w:vAlign w:val="center"/>
            <w:hideMark/>
          </w:tcPr>
          <w:p w14:paraId="11E74F49" w14:textId="77777777" w:rsidR="00607FB4" w:rsidRDefault="00607FB4">
            <w:pPr>
              <w:jc w:val="center"/>
              <w:rPr>
                <w:rFonts w:ascii="Arial Narrow" w:hAnsi="Arial Narrow"/>
                <w:b/>
                <w:color w:val="0000FF"/>
                <w:sz w:val="14"/>
                <w:szCs w:val="15"/>
              </w:rPr>
            </w:pPr>
            <w:r>
              <w:rPr>
                <w:rFonts w:ascii="Arial Narrow" w:hAnsi="Arial Narrow"/>
                <w:b/>
                <w:color w:val="0000FF"/>
                <w:sz w:val="14"/>
                <w:szCs w:val="15"/>
              </w:rPr>
              <w:t>Engineering &amp; construction supervision</w:t>
            </w:r>
          </w:p>
        </w:tc>
      </w:tr>
      <w:tr w:rsidR="00607FB4" w14:paraId="43BDDCB2" w14:textId="77777777" w:rsidTr="006C70A5">
        <w:trPr>
          <w:trHeight w:val="223"/>
        </w:trPr>
        <w:tc>
          <w:tcPr>
            <w:tcW w:w="718" w:type="dxa"/>
            <w:tcBorders>
              <w:top w:val="single" w:sz="8" w:space="0" w:color="auto"/>
              <w:left w:val="single" w:sz="8" w:space="0" w:color="auto"/>
              <w:bottom w:val="single" w:sz="8" w:space="0" w:color="auto"/>
              <w:right w:val="single" w:sz="8" w:space="0" w:color="auto"/>
            </w:tcBorders>
            <w:shd w:val="clear" w:color="auto" w:fill="FF99CC"/>
            <w:vAlign w:val="center"/>
            <w:hideMark/>
          </w:tcPr>
          <w:p w14:paraId="3D102219" w14:textId="77777777" w:rsidR="00607FB4" w:rsidRDefault="00607FB4">
            <w:pPr>
              <w:jc w:val="center"/>
              <w:rPr>
                <w:rFonts w:ascii="Arial Narrow" w:hAnsi="Arial Narrow"/>
                <w:b/>
                <w:color w:val="auto"/>
                <w:sz w:val="16"/>
                <w:szCs w:val="16"/>
              </w:rPr>
            </w:pPr>
            <w:r>
              <w:rPr>
                <w:rFonts w:ascii="Arial Narrow" w:hAnsi="Arial Narrow"/>
                <w:b/>
                <w:sz w:val="16"/>
                <w:szCs w:val="16"/>
              </w:rPr>
              <w:t>HIGH</w:t>
            </w:r>
          </w:p>
        </w:tc>
        <w:tc>
          <w:tcPr>
            <w:tcW w:w="706" w:type="dxa"/>
            <w:tcBorders>
              <w:top w:val="single" w:sz="8" w:space="0" w:color="auto"/>
              <w:left w:val="single" w:sz="8" w:space="0" w:color="auto"/>
              <w:bottom w:val="single" w:sz="8" w:space="0" w:color="auto"/>
              <w:right w:val="single" w:sz="4" w:space="0" w:color="auto"/>
            </w:tcBorders>
            <w:hideMark/>
          </w:tcPr>
          <w:p w14:paraId="2EF8EFA0" w14:textId="77777777" w:rsidR="00607FB4" w:rsidRDefault="00607FB4">
            <w:pPr>
              <w:jc w:val="center"/>
              <w:rPr>
                <w:rFonts w:ascii="Arial Narrow" w:hAnsi="Arial Narrow"/>
                <w:sz w:val="16"/>
                <w:szCs w:val="22"/>
              </w:rPr>
            </w:pPr>
            <w:r>
              <w:rPr>
                <w:rFonts w:ascii="Arial Narrow" w:hAnsi="Arial Narrow"/>
                <w:sz w:val="16"/>
              </w:rPr>
              <w:t>≥$5,000</w:t>
            </w:r>
          </w:p>
        </w:tc>
        <w:tc>
          <w:tcPr>
            <w:tcW w:w="756" w:type="dxa"/>
            <w:tcBorders>
              <w:top w:val="single" w:sz="8" w:space="0" w:color="auto"/>
              <w:left w:val="single" w:sz="4" w:space="0" w:color="auto"/>
              <w:bottom w:val="single" w:sz="8" w:space="0" w:color="auto"/>
              <w:right w:val="single" w:sz="4" w:space="0" w:color="auto"/>
            </w:tcBorders>
            <w:hideMark/>
          </w:tcPr>
          <w:p w14:paraId="1F0D9F19" w14:textId="77777777" w:rsidR="00607FB4" w:rsidRDefault="00607FB4">
            <w:pPr>
              <w:jc w:val="center"/>
              <w:rPr>
                <w:rFonts w:ascii="Arial Narrow" w:hAnsi="Arial Narrow"/>
                <w:sz w:val="16"/>
              </w:rPr>
            </w:pPr>
            <w:r>
              <w:rPr>
                <w:rFonts w:ascii="Arial Narrow" w:hAnsi="Arial Narrow"/>
                <w:sz w:val="16"/>
              </w:rPr>
              <w:t>≥$1,500</w:t>
            </w:r>
          </w:p>
        </w:tc>
        <w:tc>
          <w:tcPr>
            <w:tcW w:w="597" w:type="dxa"/>
            <w:tcBorders>
              <w:top w:val="single" w:sz="8" w:space="0" w:color="auto"/>
              <w:left w:val="single" w:sz="4" w:space="0" w:color="auto"/>
              <w:bottom w:val="single" w:sz="8" w:space="0" w:color="auto"/>
              <w:right w:val="single" w:sz="4" w:space="0" w:color="auto"/>
            </w:tcBorders>
            <w:hideMark/>
          </w:tcPr>
          <w:p w14:paraId="689D50FB" w14:textId="77777777" w:rsidR="00607FB4" w:rsidRDefault="00607FB4">
            <w:pPr>
              <w:jc w:val="center"/>
              <w:rPr>
                <w:rFonts w:ascii="Arial Narrow" w:hAnsi="Arial Narrow"/>
                <w:sz w:val="16"/>
              </w:rPr>
            </w:pPr>
            <w:r>
              <w:rPr>
                <w:rFonts w:ascii="Arial Narrow" w:hAnsi="Arial Narrow"/>
                <w:sz w:val="16"/>
              </w:rPr>
              <w:t>≥$500</w:t>
            </w:r>
          </w:p>
        </w:tc>
        <w:tc>
          <w:tcPr>
            <w:tcW w:w="815" w:type="dxa"/>
            <w:tcBorders>
              <w:top w:val="single" w:sz="8" w:space="0" w:color="auto"/>
              <w:left w:val="single" w:sz="4" w:space="0" w:color="auto"/>
              <w:bottom w:val="single" w:sz="8" w:space="0" w:color="auto"/>
              <w:right w:val="single" w:sz="4" w:space="0" w:color="auto"/>
            </w:tcBorders>
            <w:hideMark/>
          </w:tcPr>
          <w:p w14:paraId="76389149" w14:textId="77777777" w:rsidR="00607FB4" w:rsidRDefault="00607FB4">
            <w:pPr>
              <w:jc w:val="center"/>
              <w:rPr>
                <w:rFonts w:ascii="Arial Narrow" w:hAnsi="Arial Narrow"/>
                <w:sz w:val="16"/>
              </w:rPr>
            </w:pPr>
            <w:r>
              <w:rPr>
                <w:rFonts w:ascii="Arial Narrow" w:hAnsi="Arial Narrow"/>
                <w:sz w:val="16"/>
              </w:rPr>
              <w:t>≥$200</w:t>
            </w:r>
          </w:p>
        </w:tc>
        <w:tc>
          <w:tcPr>
            <w:tcW w:w="722" w:type="dxa"/>
            <w:tcBorders>
              <w:top w:val="single" w:sz="8" w:space="0" w:color="auto"/>
              <w:left w:val="single" w:sz="4" w:space="0" w:color="auto"/>
              <w:bottom w:val="single" w:sz="8" w:space="0" w:color="auto"/>
              <w:right w:val="single" w:sz="12" w:space="0" w:color="auto"/>
            </w:tcBorders>
            <w:hideMark/>
          </w:tcPr>
          <w:p w14:paraId="732A9122" w14:textId="77777777" w:rsidR="00607FB4" w:rsidRDefault="00607FB4">
            <w:pPr>
              <w:jc w:val="center"/>
              <w:rPr>
                <w:rFonts w:ascii="Arial Narrow" w:hAnsi="Arial Narrow"/>
                <w:sz w:val="16"/>
              </w:rPr>
            </w:pPr>
            <w:r>
              <w:rPr>
                <w:rFonts w:ascii="Arial Narrow" w:hAnsi="Arial Narrow"/>
                <w:sz w:val="16"/>
              </w:rPr>
              <w:t>≥$50</w:t>
            </w:r>
          </w:p>
        </w:tc>
        <w:tc>
          <w:tcPr>
            <w:tcW w:w="903" w:type="dxa"/>
            <w:tcBorders>
              <w:top w:val="single" w:sz="8" w:space="0" w:color="auto"/>
              <w:left w:val="single" w:sz="12" w:space="0" w:color="auto"/>
              <w:bottom w:val="single" w:sz="8" w:space="0" w:color="auto"/>
              <w:right w:val="single" w:sz="4" w:space="0" w:color="auto"/>
            </w:tcBorders>
            <w:hideMark/>
          </w:tcPr>
          <w:p w14:paraId="430EA9AE" w14:textId="77777777" w:rsidR="00607FB4" w:rsidRDefault="00607FB4">
            <w:pPr>
              <w:jc w:val="center"/>
              <w:rPr>
                <w:rFonts w:ascii="Arial Narrow" w:hAnsi="Arial Narrow"/>
                <w:sz w:val="16"/>
              </w:rPr>
            </w:pPr>
            <w:r>
              <w:rPr>
                <w:rFonts w:ascii="Arial Narrow" w:hAnsi="Arial Narrow"/>
                <w:sz w:val="16"/>
              </w:rPr>
              <w:t>≥15000</w:t>
            </w:r>
          </w:p>
        </w:tc>
        <w:tc>
          <w:tcPr>
            <w:tcW w:w="669" w:type="dxa"/>
            <w:tcBorders>
              <w:top w:val="single" w:sz="8" w:space="0" w:color="auto"/>
              <w:left w:val="single" w:sz="4" w:space="0" w:color="auto"/>
              <w:bottom w:val="single" w:sz="8" w:space="0" w:color="auto"/>
              <w:right w:val="single" w:sz="4" w:space="0" w:color="auto"/>
            </w:tcBorders>
            <w:hideMark/>
          </w:tcPr>
          <w:p w14:paraId="24905A72" w14:textId="77777777" w:rsidR="00607FB4" w:rsidRDefault="00607FB4">
            <w:pPr>
              <w:jc w:val="center"/>
              <w:rPr>
                <w:rFonts w:ascii="Arial Narrow" w:hAnsi="Arial Narrow"/>
                <w:sz w:val="16"/>
              </w:rPr>
            </w:pPr>
            <w:r>
              <w:rPr>
                <w:rFonts w:ascii="Arial Narrow" w:hAnsi="Arial Narrow"/>
                <w:sz w:val="16"/>
              </w:rPr>
              <w:t>≥15000</w:t>
            </w:r>
          </w:p>
        </w:tc>
        <w:tc>
          <w:tcPr>
            <w:tcW w:w="790" w:type="dxa"/>
            <w:tcBorders>
              <w:top w:val="single" w:sz="8" w:space="0" w:color="auto"/>
              <w:left w:val="single" w:sz="4" w:space="0" w:color="auto"/>
              <w:bottom w:val="single" w:sz="8" w:space="0" w:color="auto"/>
              <w:right w:val="single" w:sz="8" w:space="0" w:color="auto"/>
            </w:tcBorders>
            <w:hideMark/>
          </w:tcPr>
          <w:p w14:paraId="50EA7FE9" w14:textId="77777777" w:rsidR="00607FB4" w:rsidRDefault="00607FB4">
            <w:pPr>
              <w:jc w:val="center"/>
              <w:rPr>
                <w:rFonts w:ascii="Arial Narrow" w:hAnsi="Arial Narrow"/>
                <w:sz w:val="16"/>
              </w:rPr>
            </w:pPr>
            <w:r>
              <w:rPr>
                <w:rFonts w:ascii="Arial Narrow" w:hAnsi="Arial Narrow"/>
                <w:sz w:val="16"/>
              </w:rPr>
              <w:t>≥200</w:t>
            </w:r>
          </w:p>
        </w:tc>
        <w:tc>
          <w:tcPr>
            <w:tcW w:w="903" w:type="dxa"/>
            <w:tcBorders>
              <w:top w:val="single" w:sz="8" w:space="0" w:color="auto"/>
              <w:left w:val="single" w:sz="8" w:space="0" w:color="auto"/>
              <w:bottom w:val="single" w:sz="8" w:space="0" w:color="auto"/>
              <w:right w:val="single" w:sz="4" w:space="0" w:color="auto"/>
            </w:tcBorders>
            <w:hideMark/>
          </w:tcPr>
          <w:p w14:paraId="4F39E5D6" w14:textId="77777777" w:rsidR="00607FB4" w:rsidRDefault="00607FB4">
            <w:pPr>
              <w:jc w:val="center"/>
              <w:rPr>
                <w:rFonts w:ascii="Arial Narrow" w:hAnsi="Arial Narrow"/>
                <w:sz w:val="16"/>
              </w:rPr>
            </w:pPr>
            <w:r>
              <w:rPr>
                <w:rFonts w:ascii="Arial Narrow" w:hAnsi="Arial Narrow"/>
                <w:sz w:val="16"/>
              </w:rPr>
              <w:t>≥3000</w:t>
            </w:r>
          </w:p>
        </w:tc>
        <w:tc>
          <w:tcPr>
            <w:tcW w:w="669" w:type="dxa"/>
            <w:tcBorders>
              <w:top w:val="single" w:sz="8" w:space="0" w:color="auto"/>
              <w:left w:val="single" w:sz="4" w:space="0" w:color="auto"/>
              <w:bottom w:val="single" w:sz="8" w:space="0" w:color="auto"/>
              <w:right w:val="single" w:sz="4" w:space="0" w:color="auto"/>
            </w:tcBorders>
            <w:hideMark/>
          </w:tcPr>
          <w:p w14:paraId="7B331490" w14:textId="77777777" w:rsidR="00607FB4" w:rsidRDefault="00607FB4">
            <w:pPr>
              <w:jc w:val="center"/>
              <w:rPr>
                <w:rFonts w:ascii="Arial Narrow" w:hAnsi="Arial Narrow"/>
                <w:sz w:val="16"/>
              </w:rPr>
            </w:pPr>
            <w:r>
              <w:rPr>
                <w:rFonts w:ascii="Arial Narrow" w:hAnsi="Arial Narrow"/>
                <w:sz w:val="16"/>
              </w:rPr>
              <w:t>≥3000</w:t>
            </w:r>
          </w:p>
        </w:tc>
        <w:tc>
          <w:tcPr>
            <w:tcW w:w="790" w:type="dxa"/>
            <w:tcBorders>
              <w:top w:val="single" w:sz="8" w:space="0" w:color="auto"/>
              <w:left w:val="single" w:sz="4" w:space="0" w:color="auto"/>
              <w:bottom w:val="single" w:sz="8" w:space="0" w:color="auto"/>
              <w:right w:val="single" w:sz="8" w:space="0" w:color="auto"/>
            </w:tcBorders>
            <w:hideMark/>
          </w:tcPr>
          <w:p w14:paraId="71A8BFA3" w14:textId="77777777" w:rsidR="00607FB4" w:rsidRDefault="00607FB4">
            <w:pPr>
              <w:jc w:val="center"/>
              <w:rPr>
                <w:rFonts w:ascii="Arial Narrow" w:hAnsi="Arial Narrow"/>
                <w:sz w:val="16"/>
              </w:rPr>
            </w:pPr>
            <w:r>
              <w:rPr>
                <w:rFonts w:ascii="Arial Narrow" w:hAnsi="Arial Narrow"/>
                <w:sz w:val="16"/>
              </w:rPr>
              <w:t>≥100</w:t>
            </w:r>
          </w:p>
        </w:tc>
        <w:tc>
          <w:tcPr>
            <w:tcW w:w="815" w:type="dxa"/>
            <w:tcBorders>
              <w:top w:val="single" w:sz="8" w:space="0" w:color="auto"/>
              <w:left w:val="single" w:sz="8" w:space="0" w:color="auto"/>
              <w:bottom w:val="single" w:sz="8" w:space="0" w:color="auto"/>
              <w:right w:val="single" w:sz="4" w:space="0" w:color="auto"/>
            </w:tcBorders>
            <w:hideMark/>
          </w:tcPr>
          <w:p w14:paraId="71CCBCA2" w14:textId="77777777" w:rsidR="00607FB4" w:rsidRDefault="00607FB4">
            <w:pPr>
              <w:jc w:val="center"/>
              <w:rPr>
                <w:rFonts w:ascii="Arial Narrow" w:hAnsi="Arial Narrow"/>
                <w:sz w:val="16"/>
              </w:rPr>
            </w:pPr>
            <w:r>
              <w:rPr>
                <w:rFonts w:ascii="Arial Narrow" w:hAnsi="Arial Narrow"/>
                <w:sz w:val="16"/>
              </w:rPr>
              <w:t>≥300</w:t>
            </w:r>
          </w:p>
        </w:tc>
        <w:tc>
          <w:tcPr>
            <w:tcW w:w="910" w:type="dxa"/>
            <w:tcBorders>
              <w:top w:val="single" w:sz="8" w:space="0" w:color="auto"/>
              <w:left w:val="single" w:sz="4" w:space="0" w:color="auto"/>
              <w:bottom w:val="single" w:sz="8" w:space="0" w:color="auto"/>
              <w:right w:val="single" w:sz="8" w:space="0" w:color="auto"/>
            </w:tcBorders>
            <w:hideMark/>
          </w:tcPr>
          <w:p w14:paraId="566D8CC2" w14:textId="77777777" w:rsidR="00607FB4" w:rsidRDefault="00607FB4">
            <w:pPr>
              <w:jc w:val="center"/>
              <w:rPr>
                <w:rFonts w:ascii="Arial Narrow" w:hAnsi="Arial Narrow"/>
                <w:sz w:val="16"/>
              </w:rPr>
            </w:pPr>
            <w:r>
              <w:rPr>
                <w:rFonts w:ascii="Arial Narrow" w:hAnsi="Arial Narrow"/>
                <w:sz w:val="16"/>
              </w:rPr>
              <w:t>≥500</w:t>
            </w:r>
          </w:p>
        </w:tc>
      </w:tr>
    </w:tbl>
    <w:p w14:paraId="383B4919" w14:textId="21649935" w:rsidR="00EF520E" w:rsidRDefault="00EF520E" w:rsidP="00797B7A">
      <w:pPr>
        <w:widowControl/>
        <w:autoSpaceDE/>
        <w:autoSpaceDN/>
        <w:adjustRightInd/>
        <w:spacing w:after="240"/>
        <w:ind w:right="720"/>
        <w:jc w:val="center"/>
        <w:rPr>
          <w:rFonts w:ascii="Calibri" w:eastAsia="Calibri" w:hAnsi="Calibri" w:cs="Calibri"/>
          <w:color w:val="auto"/>
          <w:sz w:val="22"/>
          <w:szCs w:val="22"/>
        </w:rPr>
      </w:pPr>
    </w:p>
    <w:p w14:paraId="55702291" w14:textId="1C0827C6" w:rsidR="004A7FFB" w:rsidRPr="002E1A3F" w:rsidRDefault="00B00100" w:rsidP="004A7FFB">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color w:val="auto"/>
          <w:sz w:val="22"/>
          <w:szCs w:val="22"/>
        </w:rPr>
        <w:t>The applicable thresholds for Nigeria are shown below in Tables A2.</w:t>
      </w:r>
      <w:r>
        <w:rPr>
          <w:rFonts w:ascii="Calibri" w:eastAsia="Calibri" w:hAnsi="Calibri" w:cs="Calibri"/>
          <w:color w:val="auto"/>
          <w:sz w:val="22"/>
          <w:szCs w:val="22"/>
        </w:rPr>
        <w:t>6</w:t>
      </w:r>
      <w:r w:rsidR="00EA63F9">
        <w:rPr>
          <w:rFonts w:ascii="Calibri" w:eastAsia="Calibri" w:hAnsi="Calibri" w:cs="Calibri"/>
          <w:color w:val="auto"/>
          <w:sz w:val="22"/>
          <w:szCs w:val="22"/>
        </w:rPr>
        <w:t>b</w:t>
      </w:r>
      <w:r w:rsidRPr="002E1A3F">
        <w:rPr>
          <w:rFonts w:ascii="Calibri" w:eastAsia="Calibri" w:hAnsi="Calibri" w:cs="Calibri"/>
          <w:color w:val="auto"/>
          <w:sz w:val="22"/>
          <w:szCs w:val="22"/>
        </w:rPr>
        <w:t>.</w:t>
      </w:r>
    </w:p>
    <w:p w14:paraId="49EAF063" w14:textId="77777777" w:rsidR="00DC6459" w:rsidRPr="00DC6459" w:rsidRDefault="00B00100" w:rsidP="00DC6459">
      <w:pPr>
        <w:spacing w:after="120"/>
        <w:ind w:right="720"/>
        <w:jc w:val="center"/>
        <w:rPr>
          <w:rFonts w:ascii="Calibri" w:eastAsia="Calibri" w:hAnsi="Calibri" w:cs="Calibri"/>
          <w:b/>
          <w:i/>
          <w:sz w:val="22"/>
          <w:szCs w:val="22"/>
        </w:rPr>
      </w:pPr>
      <w:r w:rsidRPr="00DC6459">
        <w:rPr>
          <w:rFonts w:ascii="Calibri" w:eastAsia="Calibri" w:hAnsi="Calibri" w:cs="Calibri"/>
          <w:b/>
          <w:sz w:val="22"/>
          <w:szCs w:val="22"/>
        </w:rPr>
        <w:t>Table A2.</w:t>
      </w:r>
      <w:r w:rsidR="004A7FFB">
        <w:rPr>
          <w:rFonts w:ascii="Calibri" w:eastAsia="Calibri" w:hAnsi="Calibri" w:cs="Calibri"/>
          <w:b/>
          <w:sz w:val="22"/>
          <w:szCs w:val="22"/>
        </w:rPr>
        <w:t>6</w:t>
      </w:r>
      <w:r w:rsidR="00EA63F9">
        <w:rPr>
          <w:rFonts w:ascii="Calibri" w:eastAsia="Calibri" w:hAnsi="Calibri" w:cs="Calibri"/>
          <w:b/>
          <w:sz w:val="22"/>
          <w:szCs w:val="22"/>
        </w:rPr>
        <w:t>b</w:t>
      </w:r>
      <w:r w:rsidRPr="00DC6459">
        <w:rPr>
          <w:rFonts w:ascii="Calibri" w:eastAsia="Calibri" w:hAnsi="Calibri" w:cs="Calibri"/>
          <w:b/>
          <w:sz w:val="22"/>
          <w:szCs w:val="22"/>
        </w:rPr>
        <w:t xml:space="preserve">. </w:t>
      </w:r>
      <w:r w:rsidRPr="00DC6459">
        <w:rPr>
          <w:rFonts w:ascii="Calibri" w:eastAsia="Calibri" w:hAnsi="Calibri" w:cs="Calibri"/>
          <w:b/>
          <w:i/>
          <w:sz w:val="22"/>
          <w:szCs w:val="22"/>
        </w:rPr>
        <w:t xml:space="preserve">Applicable </w:t>
      </w:r>
      <w:r w:rsidR="00014B08">
        <w:rPr>
          <w:rFonts w:ascii="Calibri" w:eastAsia="Calibri" w:hAnsi="Calibri" w:cs="Calibri"/>
          <w:b/>
          <w:i/>
          <w:sz w:val="22"/>
          <w:szCs w:val="22"/>
        </w:rPr>
        <w:t>P</w:t>
      </w:r>
      <w:r w:rsidRPr="00DC6459">
        <w:rPr>
          <w:rFonts w:ascii="Calibri" w:eastAsia="Calibri" w:hAnsi="Calibri" w:cs="Calibri"/>
          <w:b/>
          <w:i/>
          <w:sz w:val="22"/>
          <w:szCs w:val="22"/>
        </w:rPr>
        <w:t xml:space="preserve">rocurement </w:t>
      </w:r>
      <w:r w:rsidR="00014B08">
        <w:rPr>
          <w:rFonts w:ascii="Calibri" w:eastAsia="Calibri" w:hAnsi="Calibri" w:cs="Calibri"/>
          <w:b/>
          <w:i/>
          <w:sz w:val="22"/>
          <w:szCs w:val="22"/>
        </w:rPr>
        <w:t>T</w:t>
      </w:r>
      <w:r w:rsidRPr="00DC6459">
        <w:rPr>
          <w:rFonts w:ascii="Calibri" w:eastAsia="Calibri" w:hAnsi="Calibri" w:cs="Calibri"/>
          <w:b/>
          <w:i/>
          <w:sz w:val="22"/>
          <w:szCs w:val="22"/>
        </w:rPr>
        <w:t>hresholds for Nigeria (to be used by the NUC)</w:t>
      </w:r>
    </w:p>
    <w:tbl>
      <w:tblPr>
        <w:tblW w:w="9323" w:type="dxa"/>
        <w:tblInd w:w="-10" w:type="dxa"/>
        <w:tblCellMar>
          <w:left w:w="0" w:type="dxa"/>
          <w:right w:w="0" w:type="dxa"/>
        </w:tblCellMar>
        <w:tblLook w:val="04A0" w:firstRow="1" w:lastRow="0" w:firstColumn="1" w:lastColumn="0" w:noHBand="0" w:noVBand="1"/>
      </w:tblPr>
      <w:tblGrid>
        <w:gridCol w:w="1039"/>
        <w:gridCol w:w="911"/>
        <w:gridCol w:w="1032"/>
        <w:gridCol w:w="853"/>
        <w:gridCol w:w="858"/>
        <w:gridCol w:w="1028"/>
        <w:gridCol w:w="844"/>
        <w:gridCol w:w="859"/>
        <w:gridCol w:w="876"/>
        <w:gridCol w:w="1023"/>
      </w:tblGrid>
      <w:tr w:rsidR="000C3959" w14:paraId="652A56FF" w14:textId="77777777" w:rsidTr="000C46A6">
        <w:trPr>
          <w:trHeight w:val="513"/>
        </w:trPr>
        <w:tc>
          <w:tcPr>
            <w:tcW w:w="1039" w:type="dxa"/>
            <w:tcBorders>
              <w:top w:val="single" w:sz="4"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hideMark/>
          </w:tcPr>
          <w:p w14:paraId="5514EC64"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Procurement Type</w:t>
            </w:r>
          </w:p>
        </w:tc>
        <w:tc>
          <w:tcPr>
            <w:tcW w:w="911" w:type="dxa"/>
            <w:tcBorders>
              <w:top w:val="single" w:sz="4" w:space="0" w:color="auto"/>
              <w:left w:val="nil"/>
              <w:bottom w:val="single" w:sz="8" w:space="0" w:color="auto"/>
              <w:right w:val="single" w:sz="8" w:space="0" w:color="auto"/>
            </w:tcBorders>
            <w:shd w:val="clear" w:color="auto" w:fill="C6E0B4"/>
            <w:tcMar>
              <w:top w:w="0" w:type="dxa"/>
              <w:left w:w="108" w:type="dxa"/>
              <w:bottom w:w="0" w:type="dxa"/>
              <w:right w:w="108" w:type="dxa"/>
            </w:tcMar>
            <w:hideMark/>
          </w:tcPr>
          <w:p w14:paraId="1EBD9DC9"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Substantial Risk ($'000)</w:t>
            </w:r>
          </w:p>
        </w:tc>
        <w:tc>
          <w:tcPr>
            <w:tcW w:w="2743" w:type="dxa"/>
            <w:gridSpan w:val="3"/>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6B5AD93F"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Works</w:t>
            </w:r>
          </w:p>
        </w:tc>
        <w:tc>
          <w:tcPr>
            <w:tcW w:w="2731" w:type="dxa"/>
            <w:gridSpan w:val="3"/>
            <w:tcBorders>
              <w:top w:val="single" w:sz="4"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174D2CB1"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Goods, IT &amp; Non-Consulting Services</w:t>
            </w:r>
          </w:p>
        </w:tc>
        <w:tc>
          <w:tcPr>
            <w:tcW w:w="1899" w:type="dxa"/>
            <w:gridSpan w:val="2"/>
            <w:tcBorders>
              <w:top w:val="single" w:sz="4" w:space="0" w:color="auto"/>
              <w:left w:val="nil"/>
              <w:bottom w:val="single" w:sz="8" w:space="0" w:color="auto"/>
              <w:right w:val="single" w:sz="8" w:space="0" w:color="000000"/>
            </w:tcBorders>
            <w:shd w:val="clear" w:color="auto" w:fill="FFF2CC"/>
            <w:tcMar>
              <w:top w:w="0" w:type="dxa"/>
              <w:left w:w="108" w:type="dxa"/>
              <w:bottom w:w="0" w:type="dxa"/>
              <w:right w:w="108" w:type="dxa"/>
            </w:tcMar>
            <w:hideMark/>
          </w:tcPr>
          <w:p w14:paraId="06B83DDF"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Shortlist of National Consultants</w:t>
            </w:r>
          </w:p>
        </w:tc>
      </w:tr>
      <w:tr w:rsidR="000C3959" w14:paraId="19FD2A33" w14:textId="77777777" w:rsidTr="000C46A6">
        <w:trPr>
          <w:trHeight w:val="860"/>
        </w:trPr>
        <w:tc>
          <w:tcPr>
            <w:tcW w:w="1039"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14:paraId="24585D50"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Works</w:t>
            </w:r>
          </w:p>
        </w:tc>
        <w:tc>
          <w:tcPr>
            <w:tcW w:w="911"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6D009662"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10,000 </w:t>
            </w:r>
          </w:p>
        </w:tc>
        <w:tc>
          <w:tcPr>
            <w:tcW w:w="1032"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A962304"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val="ru-RU" w:eastAsia="ja-JP"/>
              </w:rPr>
              <w:t>Open International</w:t>
            </w:r>
            <w:r w:rsidRPr="000C46A6">
              <w:rPr>
                <w:rFonts w:asciiTheme="minorHAnsi" w:eastAsia="MS PGothic" w:hAnsiTheme="minorHAnsi" w:cs="Calibri"/>
                <w:sz w:val="15"/>
                <w:szCs w:val="15"/>
                <w:lang w:eastAsia="ja-JP"/>
              </w:rPr>
              <w:t xml:space="preserve"> or ICB </w:t>
            </w:r>
            <w:r w:rsidRPr="000C46A6">
              <w:rPr>
                <w:rFonts w:asciiTheme="minorHAnsi" w:eastAsia="MS PGothic" w:hAnsiTheme="minorHAnsi" w:cs="Calibri"/>
                <w:sz w:val="15"/>
                <w:szCs w:val="15"/>
                <w:lang w:val="ru-RU" w:eastAsia="ja-JP"/>
              </w:rPr>
              <w:t> ($'000)</w:t>
            </w:r>
          </w:p>
        </w:tc>
        <w:tc>
          <w:tcPr>
            <w:tcW w:w="853"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CCA1C34"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Open National or NCB ($'000)</w:t>
            </w:r>
          </w:p>
        </w:tc>
        <w:tc>
          <w:tcPr>
            <w:tcW w:w="857"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0A8E93B"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Request for Quotation or National Shopping ($'000)</w:t>
            </w:r>
          </w:p>
        </w:tc>
        <w:tc>
          <w:tcPr>
            <w:tcW w:w="1028"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1B085D78"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val="ru-RU" w:eastAsia="ja-JP"/>
              </w:rPr>
              <w:t>Open international or ICB ($'000)</w:t>
            </w:r>
          </w:p>
        </w:tc>
        <w:tc>
          <w:tcPr>
            <w:tcW w:w="844"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AF680C3"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Open National or NCB ($'000)</w:t>
            </w:r>
          </w:p>
        </w:tc>
        <w:tc>
          <w:tcPr>
            <w:tcW w:w="858"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DB68D35"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Request for Quotation or National Shopping ($'000)</w:t>
            </w:r>
          </w:p>
        </w:tc>
        <w:tc>
          <w:tcPr>
            <w:tcW w:w="8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6F541852"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Consulting Services ($'000)</w:t>
            </w:r>
          </w:p>
        </w:tc>
        <w:tc>
          <w:tcPr>
            <w:tcW w:w="1023"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0835FB7A"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Engineering &amp; Construction Supervision ($'000)</w:t>
            </w:r>
          </w:p>
        </w:tc>
      </w:tr>
      <w:tr w:rsidR="000C3959" w14:paraId="621EB3AA" w14:textId="77777777" w:rsidTr="000C46A6">
        <w:trPr>
          <w:trHeight w:val="428"/>
        </w:trPr>
        <w:tc>
          <w:tcPr>
            <w:tcW w:w="1039"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14:paraId="2048A6D1"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Goods, IT &amp; Non-Consulting Services</w:t>
            </w:r>
          </w:p>
        </w:tc>
        <w:tc>
          <w:tcPr>
            <w:tcW w:w="911"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1E3473EC"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2,000 </w:t>
            </w:r>
          </w:p>
        </w:tc>
        <w:tc>
          <w:tcPr>
            <w:tcW w:w="1032"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D4FEFF6"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Cambria Math" w:eastAsia="MS PGothic" w:hAnsi="Cambria Math" w:cs="Cambria Math"/>
                <w:sz w:val="15"/>
                <w:szCs w:val="15"/>
                <w:lang w:eastAsia="ja-JP"/>
              </w:rPr>
              <w:t>≧</w:t>
            </w:r>
          </w:p>
        </w:tc>
        <w:tc>
          <w:tcPr>
            <w:tcW w:w="853"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5EB5984B"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&lt;</w:t>
            </w:r>
          </w:p>
        </w:tc>
        <w:tc>
          <w:tcPr>
            <w:tcW w:w="857"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77A04C9C"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Cambria Math" w:eastAsia="MS PGothic" w:hAnsi="Cambria Math" w:cs="Cambria Math"/>
                <w:sz w:val="15"/>
                <w:szCs w:val="15"/>
                <w:lang w:eastAsia="ja-JP"/>
              </w:rPr>
              <w:t>≦</w:t>
            </w:r>
          </w:p>
        </w:tc>
        <w:tc>
          <w:tcPr>
            <w:tcW w:w="1028"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BA7F4EE"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Cambria Math" w:eastAsia="MS PGothic" w:hAnsi="Cambria Math" w:cs="Cambria Math"/>
                <w:sz w:val="15"/>
                <w:szCs w:val="15"/>
                <w:lang w:eastAsia="ja-JP"/>
              </w:rPr>
              <w:t>≧</w:t>
            </w:r>
          </w:p>
        </w:tc>
        <w:tc>
          <w:tcPr>
            <w:tcW w:w="844"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556C3CD4"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&lt;</w:t>
            </w:r>
          </w:p>
        </w:tc>
        <w:tc>
          <w:tcPr>
            <w:tcW w:w="85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34668036"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Cambria Math" w:eastAsia="MS PGothic" w:hAnsi="Cambria Math" w:cs="Cambria Math"/>
                <w:sz w:val="15"/>
                <w:szCs w:val="15"/>
                <w:lang w:eastAsia="ja-JP"/>
              </w:rPr>
              <w:t>≦</w:t>
            </w:r>
          </w:p>
        </w:tc>
        <w:tc>
          <w:tcPr>
            <w:tcW w:w="876"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5B51605F"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&lt;</w:t>
            </w:r>
          </w:p>
        </w:tc>
        <w:tc>
          <w:tcPr>
            <w:tcW w:w="1023"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5BEB04A9"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Cambria Math" w:eastAsia="MS PGothic" w:hAnsi="Cambria Math" w:cs="Cambria Math"/>
                <w:sz w:val="15"/>
                <w:szCs w:val="15"/>
                <w:lang w:eastAsia="ja-JP"/>
              </w:rPr>
              <w:t>≦</w:t>
            </w:r>
          </w:p>
        </w:tc>
      </w:tr>
      <w:tr w:rsidR="000C3959" w14:paraId="608CD2EA" w14:textId="77777777" w:rsidTr="000C46A6">
        <w:trPr>
          <w:trHeight w:val="259"/>
        </w:trPr>
        <w:tc>
          <w:tcPr>
            <w:tcW w:w="1039" w:type="dxa"/>
            <w:tcBorders>
              <w:top w:val="nil"/>
              <w:left w:val="single" w:sz="8" w:space="0" w:color="auto"/>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4EDF6CA7"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Consultants (Firms)</w:t>
            </w:r>
          </w:p>
        </w:tc>
        <w:tc>
          <w:tcPr>
            <w:tcW w:w="911"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6C583215" w14:textId="77777777" w:rsidR="00DC6459" w:rsidRPr="000C46A6" w:rsidRDefault="00B00100" w:rsidP="007A6F32">
            <w:pPr>
              <w:jc w:val="right"/>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1,000 </w:t>
            </w:r>
          </w:p>
        </w:tc>
        <w:tc>
          <w:tcPr>
            <w:tcW w:w="1032"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0E8653A8"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20,000 </w:t>
            </w:r>
          </w:p>
        </w:tc>
        <w:tc>
          <w:tcPr>
            <w:tcW w:w="853"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5244099B"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20,000 </w:t>
            </w:r>
          </w:p>
        </w:tc>
        <w:tc>
          <w:tcPr>
            <w:tcW w:w="857"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17315448"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200 </w:t>
            </w:r>
          </w:p>
        </w:tc>
        <w:tc>
          <w:tcPr>
            <w:tcW w:w="1028"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5A7B00E2"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5,000 </w:t>
            </w:r>
          </w:p>
        </w:tc>
        <w:tc>
          <w:tcPr>
            <w:tcW w:w="844"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3BDDB6D1"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5,000 </w:t>
            </w:r>
          </w:p>
        </w:tc>
        <w:tc>
          <w:tcPr>
            <w:tcW w:w="858"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43BB4C2A"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100 </w:t>
            </w:r>
          </w:p>
        </w:tc>
        <w:tc>
          <w:tcPr>
            <w:tcW w:w="876"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0365B1BE"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300 </w:t>
            </w:r>
          </w:p>
        </w:tc>
        <w:tc>
          <w:tcPr>
            <w:tcW w:w="1023" w:type="dxa"/>
            <w:vMerge w:val="restart"/>
            <w:tcBorders>
              <w:top w:val="nil"/>
              <w:left w:val="nil"/>
              <w:bottom w:val="single" w:sz="8" w:space="0" w:color="000000"/>
              <w:right w:val="single" w:sz="8" w:space="0" w:color="auto"/>
            </w:tcBorders>
            <w:shd w:val="clear" w:color="auto" w:fill="FFF2CC"/>
            <w:noWrap/>
            <w:tcMar>
              <w:top w:w="0" w:type="dxa"/>
              <w:left w:w="108" w:type="dxa"/>
              <w:bottom w:w="0" w:type="dxa"/>
              <w:right w:w="108" w:type="dxa"/>
            </w:tcMar>
            <w:vAlign w:val="center"/>
            <w:hideMark/>
          </w:tcPr>
          <w:p w14:paraId="6F606843"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500 </w:t>
            </w:r>
          </w:p>
        </w:tc>
      </w:tr>
      <w:tr w:rsidR="000C3959" w14:paraId="3E8B47A3" w14:textId="77777777" w:rsidTr="000C46A6">
        <w:trPr>
          <w:trHeight w:val="273"/>
        </w:trPr>
        <w:tc>
          <w:tcPr>
            <w:tcW w:w="1039" w:type="dxa"/>
            <w:tcBorders>
              <w:top w:val="nil"/>
              <w:left w:val="single" w:sz="8" w:space="0" w:color="auto"/>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15844F86" w14:textId="77777777" w:rsidR="00DC6459" w:rsidRPr="000C46A6" w:rsidRDefault="00B00100" w:rsidP="007A6F32">
            <w:pPr>
              <w:jc w:val="center"/>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Individual Consultants</w:t>
            </w:r>
          </w:p>
        </w:tc>
        <w:tc>
          <w:tcPr>
            <w:tcW w:w="911" w:type="dxa"/>
            <w:tcBorders>
              <w:top w:val="nil"/>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0FEB8C78" w14:textId="77777777" w:rsidR="00DC6459" w:rsidRPr="000C46A6" w:rsidRDefault="00B00100" w:rsidP="007A6F32">
            <w:pPr>
              <w:jc w:val="right"/>
              <w:rPr>
                <w:rFonts w:asciiTheme="minorHAnsi" w:eastAsia="MS PGothic" w:hAnsiTheme="minorHAnsi" w:cs="Calibri"/>
                <w:sz w:val="15"/>
                <w:szCs w:val="15"/>
                <w:lang w:eastAsia="ja-JP"/>
              </w:rPr>
            </w:pPr>
            <w:r w:rsidRPr="000C46A6">
              <w:rPr>
                <w:rFonts w:asciiTheme="minorHAnsi" w:eastAsia="MS PGothic" w:hAnsiTheme="minorHAnsi" w:cs="Calibri"/>
                <w:sz w:val="15"/>
                <w:szCs w:val="15"/>
                <w:lang w:eastAsia="ja-JP"/>
              </w:rPr>
              <w:t xml:space="preserve">           300 </w:t>
            </w:r>
          </w:p>
        </w:tc>
        <w:tc>
          <w:tcPr>
            <w:tcW w:w="1032" w:type="dxa"/>
            <w:vMerge/>
            <w:tcBorders>
              <w:top w:val="nil"/>
              <w:left w:val="nil"/>
              <w:bottom w:val="single" w:sz="8" w:space="0" w:color="000000"/>
              <w:right w:val="single" w:sz="8" w:space="0" w:color="auto"/>
            </w:tcBorders>
            <w:vAlign w:val="center"/>
            <w:hideMark/>
          </w:tcPr>
          <w:p w14:paraId="5A788154" w14:textId="77777777" w:rsidR="00DC6459" w:rsidRPr="000C46A6" w:rsidRDefault="00DC6459" w:rsidP="007A6F32">
            <w:pPr>
              <w:rPr>
                <w:rFonts w:ascii="Arial Narrow" w:eastAsia="MS PGothic" w:hAnsi="Arial Narrow" w:cs="Calibri"/>
                <w:sz w:val="15"/>
                <w:szCs w:val="15"/>
                <w:lang w:eastAsia="ja-JP"/>
              </w:rPr>
            </w:pPr>
          </w:p>
        </w:tc>
        <w:tc>
          <w:tcPr>
            <w:tcW w:w="853" w:type="dxa"/>
            <w:vMerge/>
            <w:tcBorders>
              <w:top w:val="nil"/>
              <w:left w:val="nil"/>
              <w:bottom w:val="single" w:sz="8" w:space="0" w:color="000000"/>
              <w:right w:val="single" w:sz="8" w:space="0" w:color="auto"/>
            </w:tcBorders>
            <w:vAlign w:val="center"/>
            <w:hideMark/>
          </w:tcPr>
          <w:p w14:paraId="5C065406" w14:textId="77777777" w:rsidR="00DC6459" w:rsidRPr="000C46A6" w:rsidRDefault="00DC6459" w:rsidP="007A6F32">
            <w:pPr>
              <w:rPr>
                <w:rFonts w:ascii="Arial Narrow" w:eastAsia="MS PGothic" w:hAnsi="Arial Narrow" w:cs="Calibri"/>
                <w:sz w:val="15"/>
                <w:szCs w:val="15"/>
                <w:lang w:eastAsia="ja-JP"/>
              </w:rPr>
            </w:pPr>
          </w:p>
        </w:tc>
        <w:tc>
          <w:tcPr>
            <w:tcW w:w="857" w:type="dxa"/>
            <w:vMerge/>
            <w:tcBorders>
              <w:top w:val="nil"/>
              <w:left w:val="nil"/>
              <w:bottom w:val="single" w:sz="8" w:space="0" w:color="000000"/>
              <w:right w:val="single" w:sz="8" w:space="0" w:color="auto"/>
            </w:tcBorders>
            <w:vAlign w:val="center"/>
            <w:hideMark/>
          </w:tcPr>
          <w:p w14:paraId="79D24238" w14:textId="77777777" w:rsidR="00DC6459" w:rsidRPr="000C46A6" w:rsidRDefault="00DC6459" w:rsidP="007A6F32">
            <w:pPr>
              <w:rPr>
                <w:rFonts w:ascii="Arial Narrow" w:eastAsia="MS PGothic" w:hAnsi="Arial Narrow" w:cs="Calibri"/>
                <w:sz w:val="15"/>
                <w:szCs w:val="15"/>
                <w:lang w:eastAsia="ja-JP"/>
              </w:rPr>
            </w:pPr>
          </w:p>
        </w:tc>
        <w:tc>
          <w:tcPr>
            <w:tcW w:w="1028" w:type="dxa"/>
            <w:vMerge/>
            <w:tcBorders>
              <w:top w:val="nil"/>
              <w:left w:val="nil"/>
              <w:bottom w:val="single" w:sz="8" w:space="0" w:color="000000"/>
              <w:right w:val="single" w:sz="8" w:space="0" w:color="auto"/>
            </w:tcBorders>
            <w:vAlign w:val="center"/>
            <w:hideMark/>
          </w:tcPr>
          <w:p w14:paraId="12434898" w14:textId="77777777" w:rsidR="00DC6459" w:rsidRPr="000C46A6" w:rsidRDefault="00DC6459" w:rsidP="007A6F32">
            <w:pPr>
              <w:rPr>
                <w:rFonts w:ascii="Arial Narrow" w:eastAsia="MS PGothic" w:hAnsi="Arial Narrow" w:cs="Calibri"/>
                <w:sz w:val="15"/>
                <w:szCs w:val="15"/>
                <w:lang w:eastAsia="ja-JP"/>
              </w:rPr>
            </w:pPr>
          </w:p>
        </w:tc>
        <w:tc>
          <w:tcPr>
            <w:tcW w:w="844" w:type="dxa"/>
            <w:vMerge/>
            <w:tcBorders>
              <w:top w:val="nil"/>
              <w:left w:val="nil"/>
              <w:bottom w:val="single" w:sz="8" w:space="0" w:color="000000"/>
              <w:right w:val="single" w:sz="8" w:space="0" w:color="auto"/>
            </w:tcBorders>
            <w:vAlign w:val="center"/>
            <w:hideMark/>
          </w:tcPr>
          <w:p w14:paraId="3A44B893" w14:textId="77777777" w:rsidR="00DC6459" w:rsidRPr="000C46A6" w:rsidRDefault="00DC6459" w:rsidP="007A6F32">
            <w:pPr>
              <w:rPr>
                <w:rFonts w:ascii="Arial Narrow" w:eastAsia="MS PGothic" w:hAnsi="Arial Narrow" w:cs="Calibri"/>
                <w:sz w:val="15"/>
                <w:szCs w:val="15"/>
                <w:lang w:eastAsia="ja-JP"/>
              </w:rPr>
            </w:pPr>
          </w:p>
        </w:tc>
        <w:tc>
          <w:tcPr>
            <w:tcW w:w="858" w:type="dxa"/>
            <w:vMerge/>
            <w:tcBorders>
              <w:top w:val="nil"/>
              <w:left w:val="nil"/>
              <w:bottom w:val="single" w:sz="8" w:space="0" w:color="000000"/>
              <w:right w:val="single" w:sz="8" w:space="0" w:color="auto"/>
            </w:tcBorders>
            <w:vAlign w:val="center"/>
            <w:hideMark/>
          </w:tcPr>
          <w:p w14:paraId="7969B292" w14:textId="77777777" w:rsidR="00DC6459" w:rsidRPr="000C46A6" w:rsidRDefault="00DC6459" w:rsidP="007A6F32">
            <w:pPr>
              <w:rPr>
                <w:rFonts w:ascii="Arial Narrow" w:eastAsia="MS PGothic" w:hAnsi="Arial Narrow" w:cs="Calibri"/>
                <w:sz w:val="15"/>
                <w:szCs w:val="15"/>
                <w:lang w:eastAsia="ja-JP"/>
              </w:rPr>
            </w:pPr>
          </w:p>
        </w:tc>
        <w:tc>
          <w:tcPr>
            <w:tcW w:w="876" w:type="dxa"/>
            <w:vMerge/>
            <w:tcBorders>
              <w:top w:val="nil"/>
              <w:left w:val="nil"/>
              <w:bottom w:val="single" w:sz="8" w:space="0" w:color="000000"/>
              <w:right w:val="single" w:sz="8" w:space="0" w:color="auto"/>
            </w:tcBorders>
            <w:vAlign w:val="center"/>
            <w:hideMark/>
          </w:tcPr>
          <w:p w14:paraId="66F47CB4" w14:textId="77777777" w:rsidR="00DC6459" w:rsidRPr="000C46A6" w:rsidRDefault="00DC6459" w:rsidP="007A6F32">
            <w:pPr>
              <w:rPr>
                <w:rFonts w:ascii="Arial Narrow" w:eastAsia="MS PGothic" w:hAnsi="Arial Narrow" w:cs="Calibri"/>
                <w:sz w:val="15"/>
                <w:szCs w:val="15"/>
                <w:lang w:eastAsia="ja-JP"/>
              </w:rPr>
            </w:pPr>
          </w:p>
        </w:tc>
        <w:tc>
          <w:tcPr>
            <w:tcW w:w="1023" w:type="dxa"/>
            <w:vMerge/>
            <w:tcBorders>
              <w:top w:val="nil"/>
              <w:left w:val="nil"/>
              <w:bottom w:val="single" w:sz="8" w:space="0" w:color="000000"/>
              <w:right w:val="single" w:sz="8" w:space="0" w:color="auto"/>
            </w:tcBorders>
            <w:vAlign w:val="center"/>
            <w:hideMark/>
          </w:tcPr>
          <w:p w14:paraId="4C60F45C" w14:textId="77777777" w:rsidR="00DC6459" w:rsidRPr="000C46A6" w:rsidRDefault="00DC6459" w:rsidP="007A6F32">
            <w:pPr>
              <w:rPr>
                <w:rFonts w:ascii="Arial Narrow" w:eastAsia="MS PGothic" w:hAnsi="Arial Narrow" w:cs="Calibri"/>
                <w:sz w:val="15"/>
                <w:szCs w:val="15"/>
                <w:lang w:eastAsia="ja-JP"/>
              </w:rPr>
            </w:pPr>
          </w:p>
        </w:tc>
      </w:tr>
    </w:tbl>
    <w:p w14:paraId="0048065F" w14:textId="77777777" w:rsidR="00FF0668" w:rsidRPr="00DC6459" w:rsidRDefault="00FF0668" w:rsidP="00DC6459">
      <w:pPr>
        <w:spacing w:after="120"/>
        <w:ind w:right="720"/>
        <w:jc w:val="center"/>
        <w:rPr>
          <w:rFonts w:ascii="Calibri" w:eastAsia="Calibri" w:hAnsi="Calibri" w:cs="Calibri"/>
          <w:b/>
          <w:i/>
          <w:sz w:val="22"/>
          <w:szCs w:val="22"/>
        </w:rPr>
      </w:pPr>
    </w:p>
    <w:p w14:paraId="662908EE" w14:textId="77777777" w:rsidR="00DC6459" w:rsidRPr="002E1A3F" w:rsidRDefault="00B00100" w:rsidP="009D0F8E">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b/>
          <w:color w:val="auto"/>
          <w:sz w:val="22"/>
          <w:szCs w:val="22"/>
        </w:rPr>
        <w:t>Frequency of Procurement Supervision</w:t>
      </w:r>
      <w:r w:rsidRPr="002E1A3F">
        <w:rPr>
          <w:rFonts w:ascii="Calibri" w:eastAsia="Calibri" w:hAnsi="Calibri" w:cs="Calibri"/>
          <w:color w:val="auto"/>
          <w:sz w:val="22"/>
          <w:szCs w:val="22"/>
        </w:rPr>
        <w:t xml:space="preserve">: In addition to the prior review supervision which will be carried out by the World Bank per each country’s World Bank Procurement Specialist, semi-annual </w:t>
      </w:r>
      <w:r w:rsidRPr="002E1A3F">
        <w:rPr>
          <w:rFonts w:ascii="Calibri" w:eastAsia="Calibri" w:hAnsi="Calibri" w:cs="Calibri"/>
          <w:color w:val="auto"/>
          <w:sz w:val="22"/>
          <w:szCs w:val="22"/>
        </w:rPr>
        <w:lastRenderedPageBreak/>
        <w:t>supervision missions are recommended.  Annual World Bank Procurement Post Review will be conducted in the respective countries by the World Bank</w:t>
      </w:r>
      <w:r w:rsidR="00FA3436">
        <w:rPr>
          <w:rFonts w:ascii="Calibri" w:eastAsia="Calibri" w:hAnsi="Calibri" w:cs="Calibri"/>
          <w:color w:val="auto"/>
          <w:sz w:val="22"/>
          <w:szCs w:val="22"/>
        </w:rPr>
        <w:t>’</w:t>
      </w:r>
      <w:r w:rsidRPr="002E1A3F">
        <w:rPr>
          <w:rFonts w:ascii="Calibri" w:eastAsia="Calibri" w:hAnsi="Calibri" w:cs="Calibri"/>
          <w:color w:val="auto"/>
          <w:sz w:val="22"/>
          <w:szCs w:val="22"/>
        </w:rPr>
        <w:t>s Procurement Specialists.  The sample size will be based on the procurement risk rating for the Implementing agencies in each country.  The prior review procurements will be reviewed and cleared in STEP by the respective World Bank Procurement Specialists for the Implementing Agencies residing in the respect countries.  The AAU Procurement Consultant will support, advise and supervise the ACE Centers.</w:t>
      </w:r>
    </w:p>
    <w:p w14:paraId="4F4888EC" w14:textId="77777777" w:rsidR="00DC6459" w:rsidRPr="002E1A3F" w:rsidRDefault="00B00100" w:rsidP="004E2E0D">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b/>
          <w:color w:val="auto"/>
          <w:sz w:val="22"/>
          <w:szCs w:val="22"/>
        </w:rPr>
        <w:t xml:space="preserve">Summary of the regional Project Procurement Strategy for Development (PPSD) </w:t>
      </w:r>
      <w:r w:rsidR="003D468F">
        <w:rPr>
          <w:rFonts w:ascii="Calibri" w:eastAsia="Calibri" w:hAnsi="Calibri" w:cs="Calibri"/>
          <w:b/>
          <w:color w:val="auto"/>
          <w:sz w:val="22"/>
          <w:szCs w:val="22"/>
        </w:rPr>
        <w:t xml:space="preserve"> </w:t>
      </w:r>
      <w:r w:rsidRPr="002E1A3F">
        <w:rPr>
          <w:rFonts w:ascii="Calibri" w:eastAsia="Calibri" w:hAnsi="Calibri" w:cs="Calibri"/>
          <w:b/>
          <w:color w:val="auto"/>
          <w:sz w:val="22"/>
          <w:szCs w:val="22"/>
        </w:rPr>
        <w:t>cover</w:t>
      </w:r>
      <w:r w:rsidR="0009452A">
        <w:rPr>
          <w:rFonts w:ascii="Calibri" w:eastAsia="Calibri" w:hAnsi="Calibri" w:cs="Calibri"/>
          <w:b/>
          <w:color w:val="auto"/>
          <w:sz w:val="22"/>
          <w:szCs w:val="22"/>
        </w:rPr>
        <w:t>s</w:t>
      </w:r>
      <w:r w:rsidRPr="002E1A3F">
        <w:rPr>
          <w:rFonts w:ascii="Calibri" w:eastAsia="Calibri" w:hAnsi="Calibri" w:cs="Calibri"/>
          <w:b/>
          <w:color w:val="auto"/>
          <w:sz w:val="22"/>
          <w:szCs w:val="22"/>
        </w:rPr>
        <w:t xml:space="preserve"> the activities under Component 3 of both </w:t>
      </w:r>
      <w:r>
        <w:rPr>
          <w:rFonts w:ascii="Calibri" w:eastAsia="Calibri" w:hAnsi="Calibri" w:cs="Calibri"/>
          <w:b/>
          <w:color w:val="auto"/>
          <w:sz w:val="22"/>
          <w:szCs w:val="22"/>
        </w:rPr>
        <w:t xml:space="preserve">the </w:t>
      </w:r>
      <w:r w:rsidRPr="002E1A3F">
        <w:rPr>
          <w:rFonts w:ascii="Calibri" w:eastAsia="Calibri" w:hAnsi="Calibri" w:cs="Calibri"/>
          <w:b/>
          <w:color w:val="auto"/>
          <w:sz w:val="22"/>
          <w:szCs w:val="22"/>
        </w:rPr>
        <w:t>First and Second ACE Impact projects.</w:t>
      </w:r>
      <w:r w:rsidRPr="002E1A3F">
        <w:rPr>
          <w:rFonts w:ascii="Calibri" w:eastAsia="Calibri" w:hAnsi="Calibri" w:cs="Calibri"/>
          <w:color w:val="auto"/>
          <w:sz w:val="22"/>
          <w:szCs w:val="22"/>
        </w:rPr>
        <w:t xml:space="preserve"> The countries’ context in terms of bureaucracy, economic condition, currency stability, financial constraints, technology, and inadequate national market for high value and complex procurements, identified minor safeguards issues, coupled with the countries’ economic, procurement, and safeguards policies will impact the approach and response to the market and the execution of contracts.  </w:t>
      </w:r>
      <w:r w:rsidRPr="00C67FB1">
        <w:rPr>
          <w:rFonts w:ascii="Calibri" w:eastAsia="Calibri" w:hAnsi="Calibri" w:cs="Calibri"/>
          <w:color w:val="auto"/>
          <w:sz w:val="22"/>
          <w:szCs w:val="22"/>
        </w:rPr>
        <w:t>The capacities</w:t>
      </w:r>
      <w:r w:rsidRPr="002E1A3F">
        <w:rPr>
          <w:rFonts w:ascii="Calibri" w:eastAsia="Calibri" w:hAnsi="Calibri" w:cs="Calibri"/>
          <w:color w:val="auto"/>
          <w:sz w:val="22"/>
          <w:szCs w:val="22"/>
        </w:rPr>
        <w:t xml:space="preserve"> of the </w:t>
      </w:r>
      <w:r w:rsidRPr="00C67FB1">
        <w:rPr>
          <w:rFonts w:ascii="Calibri" w:eastAsia="Calibri" w:hAnsi="Calibri" w:cs="Calibri"/>
          <w:color w:val="auto"/>
          <w:sz w:val="22"/>
          <w:szCs w:val="22"/>
        </w:rPr>
        <w:t xml:space="preserve">AAU, </w:t>
      </w:r>
      <w:r w:rsidRPr="002E1A3F">
        <w:rPr>
          <w:rFonts w:ascii="Calibri" w:eastAsia="Calibri" w:hAnsi="Calibri" w:cs="Calibri"/>
          <w:color w:val="auto"/>
          <w:sz w:val="22"/>
          <w:szCs w:val="22"/>
        </w:rPr>
        <w:t>NUC</w:t>
      </w:r>
      <w:r>
        <w:rPr>
          <w:rFonts w:ascii="Calibri" w:eastAsia="Calibri" w:hAnsi="Calibri" w:cs="Calibri"/>
          <w:color w:val="auto"/>
          <w:sz w:val="22"/>
          <w:szCs w:val="22"/>
        </w:rPr>
        <w:t xml:space="preserve">, and the PCU-Gambia </w:t>
      </w:r>
      <w:r w:rsidRPr="002E1A3F">
        <w:rPr>
          <w:rFonts w:ascii="Calibri" w:eastAsia="Calibri" w:hAnsi="Calibri" w:cs="Calibri"/>
          <w:color w:val="auto"/>
          <w:sz w:val="22"/>
          <w:szCs w:val="22"/>
        </w:rPr>
        <w:t xml:space="preserve">and identified procurement risks will impact the procurement implementation.  Thus, timely and adequate execution of the mitigation </w:t>
      </w:r>
      <w:r w:rsidR="00827B9E">
        <w:rPr>
          <w:rFonts w:ascii="Calibri" w:eastAsia="Calibri" w:hAnsi="Calibri" w:cs="Calibri"/>
          <w:color w:val="auto"/>
          <w:sz w:val="22"/>
          <w:szCs w:val="22"/>
        </w:rPr>
        <w:t xml:space="preserve">measures </w:t>
      </w:r>
      <w:r w:rsidRPr="002E1A3F">
        <w:rPr>
          <w:rFonts w:ascii="Calibri" w:eastAsia="Calibri" w:hAnsi="Calibri" w:cs="Calibri"/>
          <w:color w:val="auto"/>
          <w:sz w:val="22"/>
          <w:szCs w:val="22"/>
        </w:rPr>
        <w:t>will help improve procurement implementation under the project. The studies and analysis show that there are opportunities for both national and international firms under the project in each of the countries.</w:t>
      </w:r>
    </w:p>
    <w:p w14:paraId="2CB9B4A1" w14:textId="77777777" w:rsidR="00DC6459" w:rsidRPr="00DC6459" w:rsidRDefault="00B00100" w:rsidP="008E2709">
      <w:pPr>
        <w:widowControl/>
        <w:numPr>
          <w:ilvl w:val="0"/>
          <w:numId w:val="30"/>
        </w:numPr>
        <w:autoSpaceDE/>
        <w:autoSpaceDN/>
        <w:adjustRightInd/>
        <w:spacing w:after="240"/>
        <w:ind w:left="0" w:right="720" w:firstLine="0"/>
        <w:jc w:val="both"/>
        <w:rPr>
          <w:rFonts w:ascii="Calibri" w:eastAsia="Calibri" w:hAnsi="Calibri" w:cs="Calibri"/>
          <w:color w:val="auto"/>
          <w:sz w:val="22"/>
          <w:szCs w:val="22"/>
        </w:rPr>
      </w:pPr>
      <w:r w:rsidRPr="002E1A3F">
        <w:rPr>
          <w:rFonts w:ascii="Calibri" w:eastAsia="Calibri" w:hAnsi="Calibri" w:cs="Calibri"/>
          <w:b/>
          <w:color w:val="auto"/>
          <w:sz w:val="22"/>
          <w:szCs w:val="22"/>
        </w:rPr>
        <w:t xml:space="preserve">Procurement will be carried out in accordance with: (i) the World Bank PR for IPF </w:t>
      </w:r>
      <w:r w:rsidR="002C321F">
        <w:rPr>
          <w:rFonts w:ascii="Calibri" w:eastAsia="Calibri" w:hAnsi="Calibri" w:cs="Calibri"/>
          <w:b/>
          <w:color w:val="auto"/>
          <w:sz w:val="22"/>
          <w:szCs w:val="22"/>
        </w:rPr>
        <w:t>Recipient</w:t>
      </w:r>
      <w:r w:rsidRPr="002E1A3F">
        <w:rPr>
          <w:rFonts w:ascii="Calibri" w:eastAsia="Calibri" w:hAnsi="Calibri" w:cs="Calibri"/>
          <w:b/>
          <w:color w:val="auto"/>
          <w:sz w:val="22"/>
          <w:szCs w:val="22"/>
        </w:rPr>
        <w:t xml:space="preserve">s Procurement dated July 2016, revised in November 2017 and August 2018; (ii) the ‘Guidelines on Preventing and Combating Fraud and Corruption in Projects financed by IBRD Loans and IDA Credits and Grants’, dated October 15, 2006, revised in January 2011 and July 2016; and (iii) the provisions stipulated in the </w:t>
      </w:r>
      <w:r w:rsidR="0039200E">
        <w:rPr>
          <w:rFonts w:ascii="Calibri" w:eastAsia="Calibri" w:hAnsi="Calibri" w:cs="Calibri"/>
          <w:b/>
          <w:color w:val="auto"/>
          <w:sz w:val="22"/>
          <w:szCs w:val="22"/>
        </w:rPr>
        <w:t>financing agreements</w:t>
      </w:r>
      <w:r w:rsidRPr="002E1A3F">
        <w:rPr>
          <w:rFonts w:ascii="Calibri" w:eastAsia="Calibri" w:hAnsi="Calibri" w:cs="Calibri"/>
          <w:b/>
          <w:color w:val="auto"/>
          <w:sz w:val="22"/>
          <w:szCs w:val="22"/>
        </w:rPr>
        <w:t>.</w:t>
      </w:r>
      <w:r w:rsidRPr="002E1A3F">
        <w:rPr>
          <w:rFonts w:ascii="Calibri" w:eastAsia="Calibri" w:hAnsi="Calibri" w:cs="Calibri"/>
          <w:color w:val="auto"/>
          <w:sz w:val="22"/>
          <w:szCs w:val="22"/>
        </w:rPr>
        <w:t xml:space="preserve">  Any </w:t>
      </w:r>
      <w:r w:rsidR="00827B9E">
        <w:rPr>
          <w:rFonts w:ascii="Calibri" w:eastAsia="Calibri" w:hAnsi="Calibri" w:cs="Calibri"/>
          <w:color w:val="auto"/>
          <w:sz w:val="22"/>
          <w:szCs w:val="22"/>
        </w:rPr>
        <w:t>w</w:t>
      </w:r>
      <w:r w:rsidRPr="002E1A3F">
        <w:rPr>
          <w:rFonts w:ascii="Calibri" w:eastAsia="Calibri" w:hAnsi="Calibri" w:cs="Calibri"/>
          <w:color w:val="auto"/>
          <w:sz w:val="22"/>
          <w:szCs w:val="22"/>
        </w:rPr>
        <w:t xml:space="preserve">orks bidding documents will be based on the Standard Procurement Document, recently enhanced to reflect positions on the Environment, Social Health and Safety.  The STEP will be the platform for preparing, submitting, reviewing and clearing procurement plans and prior review procurement activities.  The POM will elaborate on the procurement procedures, Standard Procurement Documents (SPDs) and model contracts associated with the market approaches and selection methods, for various procurement categories.  The summary of procurement activities under Component 3 are as </w:t>
      </w:r>
      <w:r w:rsidRPr="00DC6459">
        <w:rPr>
          <w:rFonts w:ascii="Calibri" w:eastAsia="Calibri" w:hAnsi="Calibri" w:cs="Calibri"/>
          <w:color w:val="auto"/>
          <w:sz w:val="22"/>
          <w:szCs w:val="22"/>
        </w:rPr>
        <w:t>shown below in Table A2.</w:t>
      </w:r>
      <w:r w:rsidR="002B60A4">
        <w:rPr>
          <w:rFonts w:ascii="Calibri" w:eastAsia="Calibri" w:hAnsi="Calibri" w:cs="Calibri"/>
          <w:color w:val="auto"/>
          <w:sz w:val="22"/>
          <w:szCs w:val="22"/>
        </w:rPr>
        <w:t>7</w:t>
      </w:r>
      <w:r w:rsidRPr="00DC6459">
        <w:rPr>
          <w:rFonts w:ascii="Calibri" w:eastAsia="Calibri" w:hAnsi="Calibri" w:cs="Calibri"/>
          <w:color w:val="auto"/>
          <w:sz w:val="22"/>
          <w:szCs w:val="22"/>
        </w:rPr>
        <w:t>. The details of the procurement plans are in STEP.</w:t>
      </w:r>
    </w:p>
    <w:p w14:paraId="6B5357BB" w14:textId="77777777" w:rsidR="00DC6459" w:rsidRDefault="00B00100" w:rsidP="00FC1A97">
      <w:pPr>
        <w:keepNext/>
        <w:keepLines/>
        <w:spacing w:after="120"/>
        <w:ind w:right="810"/>
        <w:jc w:val="center"/>
        <w:rPr>
          <w:rFonts w:ascii="Calibri" w:eastAsia="Calibri" w:hAnsi="Calibri" w:cs="Calibri"/>
          <w:b/>
          <w:i/>
          <w:sz w:val="20"/>
          <w:szCs w:val="20"/>
        </w:rPr>
      </w:pPr>
      <w:r w:rsidRPr="00DC6459">
        <w:rPr>
          <w:rFonts w:ascii="Calibri" w:eastAsia="Calibri" w:hAnsi="Calibri" w:cs="Calibri"/>
          <w:b/>
          <w:sz w:val="20"/>
          <w:szCs w:val="20"/>
        </w:rPr>
        <w:t>Table A2.</w:t>
      </w:r>
      <w:r w:rsidR="0092041B">
        <w:rPr>
          <w:rFonts w:ascii="Calibri" w:eastAsia="Calibri" w:hAnsi="Calibri" w:cs="Calibri"/>
          <w:b/>
          <w:sz w:val="20"/>
          <w:szCs w:val="20"/>
        </w:rPr>
        <w:t>7</w:t>
      </w:r>
      <w:r w:rsidRPr="00DC6459">
        <w:rPr>
          <w:rFonts w:ascii="Calibri" w:eastAsia="Calibri" w:hAnsi="Calibri" w:cs="Calibri"/>
          <w:b/>
          <w:sz w:val="20"/>
          <w:szCs w:val="20"/>
        </w:rPr>
        <w:t xml:space="preserve">. </w:t>
      </w:r>
      <w:r w:rsidRPr="00DC6459">
        <w:rPr>
          <w:rFonts w:ascii="Calibri" w:eastAsia="Calibri" w:hAnsi="Calibri" w:cs="Calibri"/>
          <w:b/>
          <w:i/>
          <w:sz w:val="20"/>
          <w:szCs w:val="20"/>
        </w:rPr>
        <w:t xml:space="preserve">Summary of Procurement Activities under Component 3 </w:t>
      </w:r>
    </w:p>
    <w:tbl>
      <w:tblPr>
        <w:tblStyle w:val="TableGrid"/>
        <w:tblW w:w="9000" w:type="dxa"/>
        <w:tblInd w:w="-5" w:type="dxa"/>
        <w:tblLayout w:type="fixed"/>
        <w:tblLook w:val="04A0" w:firstRow="1" w:lastRow="0" w:firstColumn="1" w:lastColumn="0" w:noHBand="0" w:noVBand="1"/>
      </w:tblPr>
      <w:tblGrid>
        <w:gridCol w:w="3600"/>
        <w:gridCol w:w="990"/>
        <w:gridCol w:w="1080"/>
        <w:gridCol w:w="1350"/>
        <w:gridCol w:w="1080"/>
        <w:gridCol w:w="900"/>
      </w:tblGrid>
      <w:tr w:rsidR="000C3959" w14:paraId="49ECC23F" w14:textId="77777777" w:rsidTr="006C70A5">
        <w:trPr>
          <w:trHeight w:val="599"/>
        </w:trPr>
        <w:tc>
          <w:tcPr>
            <w:tcW w:w="3600" w:type="dxa"/>
            <w:shd w:val="clear" w:color="auto" w:fill="EDEDED"/>
          </w:tcPr>
          <w:p w14:paraId="77599991" w14:textId="77777777" w:rsidR="005055F6" w:rsidRPr="00D90A28" w:rsidRDefault="00B00100" w:rsidP="003247A0">
            <w:pPr>
              <w:jc w:val="both"/>
              <w:rPr>
                <w:rFonts w:asciiTheme="minorHAnsi" w:hAnsiTheme="minorHAnsi" w:cstheme="minorHAnsi"/>
                <w:b/>
                <w:sz w:val="18"/>
                <w:szCs w:val="18"/>
                <w:lang w:val="en-GB" w:eastAsia="en-GB"/>
              </w:rPr>
            </w:pPr>
            <w:r w:rsidRPr="00D90A28">
              <w:rPr>
                <w:rFonts w:asciiTheme="minorHAnsi" w:hAnsiTheme="minorHAnsi" w:cstheme="minorHAnsi"/>
                <w:b/>
                <w:sz w:val="18"/>
                <w:szCs w:val="18"/>
                <w:lang w:val="en-GB" w:eastAsia="en-GB"/>
              </w:rPr>
              <w:t>Contract Title, Description and Category</w:t>
            </w:r>
          </w:p>
        </w:tc>
        <w:tc>
          <w:tcPr>
            <w:tcW w:w="990" w:type="dxa"/>
            <w:shd w:val="clear" w:color="auto" w:fill="EDEDED"/>
          </w:tcPr>
          <w:p w14:paraId="43653A99" w14:textId="77777777" w:rsidR="005055F6" w:rsidRPr="00D90A28" w:rsidRDefault="00B00100" w:rsidP="003247A0">
            <w:pPr>
              <w:jc w:val="both"/>
              <w:rPr>
                <w:rFonts w:asciiTheme="minorHAnsi" w:hAnsiTheme="minorHAnsi" w:cstheme="minorHAnsi"/>
                <w:b/>
                <w:sz w:val="18"/>
                <w:szCs w:val="18"/>
                <w:lang w:val="en-GB" w:eastAsia="en-GB"/>
              </w:rPr>
            </w:pPr>
            <w:r w:rsidRPr="00D90A28">
              <w:rPr>
                <w:rFonts w:asciiTheme="minorHAnsi" w:hAnsiTheme="minorHAnsi" w:cstheme="minorHAnsi"/>
                <w:b/>
                <w:sz w:val="18"/>
                <w:szCs w:val="18"/>
                <w:lang w:val="en-GB" w:eastAsia="en-GB"/>
              </w:rPr>
              <w:t xml:space="preserve">Estimated amount (US$) </w:t>
            </w:r>
          </w:p>
        </w:tc>
        <w:tc>
          <w:tcPr>
            <w:tcW w:w="1080" w:type="dxa"/>
            <w:shd w:val="clear" w:color="auto" w:fill="EDEDED"/>
          </w:tcPr>
          <w:p w14:paraId="1D85E137" w14:textId="77777777" w:rsidR="005055F6" w:rsidRPr="00D90A28" w:rsidRDefault="00B00100" w:rsidP="00FC1A97">
            <w:pPr>
              <w:jc w:val="both"/>
              <w:rPr>
                <w:rFonts w:asciiTheme="minorHAnsi" w:hAnsiTheme="minorHAnsi" w:cstheme="minorHAnsi"/>
                <w:b/>
                <w:sz w:val="18"/>
                <w:szCs w:val="18"/>
                <w:lang w:val="en-GB" w:eastAsia="en-GB"/>
              </w:rPr>
            </w:pPr>
            <w:r>
              <w:rPr>
                <w:rFonts w:asciiTheme="minorHAnsi" w:hAnsiTheme="minorHAnsi" w:cstheme="minorHAnsi"/>
                <w:b/>
                <w:sz w:val="18"/>
                <w:szCs w:val="18"/>
                <w:lang w:val="en-GB" w:eastAsia="en-GB"/>
              </w:rPr>
              <w:t xml:space="preserve">World </w:t>
            </w:r>
            <w:r w:rsidR="00FB4CA6" w:rsidRPr="00D90A28">
              <w:rPr>
                <w:rFonts w:asciiTheme="minorHAnsi" w:hAnsiTheme="minorHAnsi" w:cstheme="minorHAnsi"/>
                <w:b/>
                <w:sz w:val="18"/>
                <w:szCs w:val="18"/>
                <w:lang w:val="en-GB" w:eastAsia="en-GB"/>
              </w:rPr>
              <w:t>Bank oversight</w:t>
            </w:r>
          </w:p>
        </w:tc>
        <w:tc>
          <w:tcPr>
            <w:tcW w:w="1350" w:type="dxa"/>
            <w:shd w:val="clear" w:color="auto" w:fill="EDEDED"/>
          </w:tcPr>
          <w:p w14:paraId="341DC875" w14:textId="77777777" w:rsidR="005055F6" w:rsidRPr="00D90A28" w:rsidRDefault="00B00100" w:rsidP="003247A0">
            <w:pPr>
              <w:jc w:val="both"/>
              <w:rPr>
                <w:rFonts w:asciiTheme="minorHAnsi" w:hAnsiTheme="minorHAnsi" w:cstheme="minorHAnsi"/>
                <w:b/>
                <w:sz w:val="18"/>
                <w:szCs w:val="18"/>
                <w:lang w:val="en-GB" w:eastAsia="en-GB"/>
              </w:rPr>
            </w:pPr>
            <w:r w:rsidRPr="00D90A28">
              <w:rPr>
                <w:rFonts w:asciiTheme="minorHAnsi" w:hAnsiTheme="minorHAnsi" w:cstheme="minorHAnsi"/>
                <w:b/>
                <w:sz w:val="18"/>
                <w:szCs w:val="18"/>
                <w:lang w:val="en-GB" w:eastAsia="en-GB"/>
              </w:rPr>
              <w:t>Procurement Approach / Competition</w:t>
            </w:r>
          </w:p>
        </w:tc>
        <w:tc>
          <w:tcPr>
            <w:tcW w:w="1080" w:type="dxa"/>
            <w:shd w:val="clear" w:color="auto" w:fill="EDEDED"/>
          </w:tcPr>
          <w:p w14:paraId="75A0034C" w14:textId="77777777" w:rsidR="005055F6" w:rsidRPr="00D90A28" w:rsidRDefault="00B00100" w:rsidP="003247A0">
            <w:pPr>
              <w:jc w:val="both"/>
              <w:rPr>
                <w:rFonts w:asciiTheme="minorHAnsi" w:hAnsiTheme="minorHAnsi" w:cstheme="minorHAnsi"/>
                <w:b/>
                <w:sz w:val="18"/>
                <w:szCs w:val="18"/>
                <w:lang w:val="en-GB" w:eastAsia="en-GB"/>
              </w:rPr>
            </w:pPr>
            <w:r w:rsidRPr="00D90A28">
              <w:rPr>
                <w:rFonts w:asciiTheme="minorHAnsi" w:hAnsiTheme="minorHAnsi" w:cstheme="minorHAnsi"/>
                <w:b/>
                <w:sz w:val="18"/>
                <w:szCs w:val="18"/>
                <w:lang w:val="en-GB" w:eastAsia="en-GB"/>
              </w:rPr>
              <w:t>Selection</w:t>
            </w:r>
          </w:p>
        </w:tc>
        <w:tc>
          <w:tcPr>
            <w:tcW w:w="900" w:type="dxa"/>
            <w:shd w:val="clear" w:color="auto" w:fill="EDEDED"/>
          </w:tcPr>
          <w:p w14:paraId="16AB6FCD" w14:textId="77777777" w:rsidR="005055F6" w:rsidRPr="00D90A28" w:rsidRDefault="00B00100" w:rsidP="003C7D1F">
            <w:pPr>
              <w:jc w:val="both"/>
              <w:rPr>
                <w:rFonts w:asciiTheme="minorHAnsi" w:hAnsiTheme="minorHAnsi" w:cstheme="minorHAnsi"/>
                <w:b/>
                <w:sz w:val="18"/>
                <w:szCs w:val="18"/>
                <w:lang w:val="en-GB" w:eastAsia="en-GB"/>
              </w:rPr>
            </w:pPr>
            <w:r w:rsidRPr="00D90A28">
              <w:rPr>
                <w:rFonts w:asciiTheme="minorHAnsi" w:hAnsiTheme="minorHAnsi" w:cstheme="minorHAnsi"/>
                <w:b/>
                <w:sz w:val="18"/>
                <w:szCs w:val="18"/>
                <w:lang w:val="en-GB" w:eastAsia="en-GB"/>
              </w:rPr>
              <w:t>Evaluation</w:t>
            </w:r>
          </w:p>
        </w:tc>
      </w:tr>
      <w:tr w:rsidR="000C3959" w14:paraId="090B3623" w14:textId="77777777" w:rsidTr="006C70A5">
        <w:trPr>
          <w:trHeight w:val="1313"/>
        </w:trPr>
        <w:tc>
          <w:tcPr>
            <w:tcW w:w="3600" w:type="dxa"/>
          </w:tcPr>
          <w:p w14:paraId="1AE4BC43" w14:textId="77777777" w:rsidR="005055F6" w:rsidRPr="00D90A28" w:rsidRDefault="00B0010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 xml:space="preserve">Recruitment of Project Implementation unit staff, </w:t>
            </w:r>
            <w:r w:rsidRPr="00D90A28">
              <w:rPr>
                <w:rFonts w:asciiTheme="minorHAnsi" w:hAnsiTheme="minorHAnsi" w:cstheme="minorHAnsi"/>
                <w:sz w:val="18"/>
                <w:szCs w:val="18"/>
                <w:lang w:eastAsia="en-GB"/>
              </w:rPr>
              <w:t xml:space="preserve">Individual long-term consultants/staff for fiduciary and safeguard oversight and support. (Project Coordinator, Communication Officer, M&amp;E Specialist, Procurement Officer, Accountant, Internal Auditor, Administrative Assistants) </w:t>
            </w:r>
          </w:p>
        </w:tc>
        <w:tc>
          <w:tcPr>
            <w:tcW w:w="990" w:type="dxa"/>
          </w:tcPr>
          <w:p w14:paraId="541713DB" w14:textId="77777777" w:rsidR="005055F6" w:rsidRPr="00D90A28" w:rsidRDefault="00B00100" w:rsidP="00F463C2">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3,000,000</w:t>
            </w:r>
          </w:p>
        </w:tc>
        <w:tc>
          <w:tcPr>
            <w:tcW w:w="1080" w:type="dxa"/>
          </w:tcPr>
          <w:p w14:paraId="14619745"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Post/Prior Review</w:t>
            </w:r>
          </w:p>
        </w:tc>
        <w:tc>
          <w:tcPr>
            <w:tcW w:w="1350" w:type="dxa"/>
          </w:tcPr>
          <w:p w14:paraId="7EF4FC51"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Open/Limited   &amp; National/ International</w:t>
            </w:r>
          </w:p>
        </w:tc>
        <w:tc>
          <w:tcPr>
            <w:tcW w:w="1080" w:type="dxa"/>
          </w:tcPr>
          <w:p w14:paraId="1780AFDB"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CQS/ QCBS</w:t>
            </w:r>
          </w:p>
          <w:p w14:paraId="3EE724EC"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R</w:t>
            </w:r>
            <w:r w:rsidR="00423ED0">
              <w:rPr>
                <w:rFonts w:asciiTheme="minorHAnsi" w:hAnsiTheme="minorHAnsi" w:cstheme="minorHAnsi"/>
                <w:sz w:val="18"/>
                <w:szCs w:val="18"/>
                <w:lang w:val="en-GB" w:eastAsia="en-GB"/>
              </w:rPr>
              <w:t>f</w:t>
            </w:r>
            <w:r w:rsidRPr="00D90A28">
              <w:rPr>
                <w:rFonts w:asciiTheme="minorHAnsi" w:hAnsiTheme="minorHAnsi" w:cstheme="minorHAnsi"/>
                <w:sz w:val="18"/>
                <w:szCs w:val="18"/>
                <w:lang w:val="en-GB" w:eastAsia="en-GB"/>
              </w:rPr>
              <w:t>P</w:t>
            </w:r>
          </w:p>
        </w:tc>
        <w:tc>
          <w:tcPr>
            <w:tcW w:w="900" w:type="dxa"/>
          </w:tcPr>
          <w:p w14:paraId="44804CB3" w14:textId="77777777" w:rsidR="005055F6" w:rsidRPr="00D90A28" w:rsidRDefault="00B00100" w:rsidP="003C7D1F">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 xml:space="preserve">Most Advantageous Proposal (MAP) –rated criteria </w:t>
            </w:r>
          </w:p>
        </w:tc>
      </w:tr>
      <w:tr w:rsidR="000C3959" w14:paraId="430ACAD7" w14:textId="77777777" w:rsidTr="006C70A5">
        <w:trPr>
          <w:trHeight w:val="518"/>
        </w:trPr>
        <w:tc>
          <w:tcPr>
            <w:tcW w:w="3600" w:type="dxa"/>
          </w:tcPr>
          <w:p w14:paraId="0E289EA8" w14:textId="77777777" w:rsidR="005055F6" w:rsidRPr="00D90A28" w:rsidRDefault="00B0010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Procurement of consultants (Procurement Auditor, External Auditor, Agriculture related expert, Health-related Expert, STEM related expert, M</w:t>
            </w:r>
            <w:r>
              <w:rPr>
                <w:rFonts w:asciiTheme="minorHAnsi" w:hAnsiTheme="minorHAnsi" w:cstheme="minorHAnsi"/>
                <w:sz w:val="18"/>
                <w:szCs w:val="18"/>
                <w:lang w:val="en-GB" w:eastAsia="en-GB"/>
              </w:rPr>
              <w:t>&amp;E Digital</w:t>
            </w:r>
            <w:r w:rsidRPr="00D90A28">
              <w:rPr>
                <w:rFonts w:asciiTheme="minorHAnsi" w:hAnsiTheme="minorHAnsi" w:cstheme="minorHAnsi"/>
                <w:sz w:val="18"/>
                <w:szCs w:val="18"/>
                <w:lang w:val="en-GB" w:eastAsia="en-GB"/>
              </w:rPr>
              <w:t xml:space="preserve"> Platform, Graduate Tracer Studies etc) </w:t>
            </w:r>
          </w:p>
        </w:tc>
        <w:tc>
          <w:tcPr>
            <w:tcW w:w="990" w:type="dxa"/>
          </w:tcPr>
          <w:p w14:paraId="475B4083" w14:textId="77777777" w:rsidR="005055F6" w:rsidRPr="00D90A28" w:rsidRDefault="00B00100" w:rsidP="00F463C2">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2,500,000</w:t>
            </w:r>
          </w:p>
        </w:tc>
        <w:tc>
          <w:tcPr>
            <w:tcW w:w="1080" w:type="dxa"/>
          </w:tcPr>
          <w:p w14:paraId="12C6C53F"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Prior Review</w:t>
            </w:r>
          </w:p>
        </w:tc>
        <w:tc>
          <w:tcPr>
            <w:tcW w:w="1350" w:type="dxa"/>
          </w:tcPr>
          <w:p w14:paraId="6E89CBB0"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Open International</w:t>
            </w:r>
          </w:p>
        </w:tc>
        <w:tc>
          <w:tcPr>
            <w:tcW w:w="1080" w:type="dxa"/>
          </w:tcPr>
          <w:p w14:paraId="37581BEB"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QCBS - R</w:t>
            </w:r>
            <w:r w:rsidR="00423ED0">
              <w:rPr>
                <w:rFonts w:asciiTheme="minorHAnsi" w:hAnsiTheme="minorHAnsi" w:cstheme="minorHAnsi"/>
                <w:sz w:val="18"/>
                <w:szCs w:val="18"/>
                <w:lang w:val="en-GB" w:eastAsia="en-GB"/>
              </w:rPr>
              <w:t>f</w:t>
            </w:r>
            <w:r w:rsidRPr="00D90A28">
              <w:rPr>
                <w:rFonts w:asciiTheme="minorHAnsi" w:hAnsiTheme="minorHAnsi" w:cstheme="minorHAnsi"/>
                <w:sz w:val="18"/>
                <w:szCs w:val="18"/>
                <w:lang w:val="en-GB" w:eastAsia="en-GB"/>
              </w:rPr>
              <w:t>P</w:t>
            </w:r>
          </w:p>
        </w:tc>
        <w:tc>
          <w:tcPr>
            <w:tcW w:w="900" w:type="dxa"/>
          </w:tcPr>
          <w:p w14:paraId="4A33DF50"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MAP –rated criteria</w:t>
            </w:r>
          </w:p>
        </w:tc>
      </w:tr>
      <w:tr w:rsidR="000C3959" w14:paraId="27D64AE8" w14:textId="77777777" w:rsidTr="006C70A5">
        <w:trPr>
          <w:trHeight w:val="634"/>
        </w:trPr>
        <w:tc>
          <w:tcPr>
            <w:tcW w:w="3600" w:type="dxa"/>
          </w:tcPr>
          <w:p w14:paraId="10147E96" w14:textId="77777777" w:rsidR="005055F6" w:rsidRPr="00D90A28" w:rsidRDefault="00B0010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lastRenderedPageBreak/>
              <w:t>Goods – mostly office equipment, office consumables, furniture, fuelling etc.</w:t>
            </w:r>
          </w:p>
        </w:tc>
        <w:tc>
          <w:tcPr>
            <w:tcW w:w="990" w:type="dxa"/>
          </w:tcPr>
          <w:p w14:paraId="7D490A38" w14:textId="77777777" w:rsidR="005055F6" w:rsidRPr="00D90A28" w:rsidRDefault="00B00100" w:rsidP="00F463C2">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650,000</w:t>
            </w:r>
          </w:p>
        </w:tc>
        <w:tc>
          <w:tcPr>
            <w:tcW w:w="1080" w:type="dxa"/>
          </w:tcPr>
          <w:p w14:paraId="7619FC5A"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Post</w:t>
            </w:r>
          </w:p>
        </w:tc>
        <w:tc>
          <w:tcPr>
            <w:tcW w:w="1350" w:type="dxa"/>
          </w:tcPr>
          <w:p w14:paraId="5DF30C31"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National</w:t>
            </w:r>
          </w:p>
        </w:tc>
        <w:tc>
          <w:tcPr>
            <w:tcW w:w="1080" w:type="dxa"/>
          </w:tcPr>
          <w:p w14:paraId="5027AB9C"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R</w:t>
            </w:r>
            <w:r w:rsidR="00423ED0">
              <w:rPr>
                <w:rFonts w:asciiTheme="minorHAnsi" w:hAnsiTheme="minorHAnsi" w:cstheme="minorHAnsi"/>
                <w:sz w:val="18"/>
                <w:szCs w:val="18"/>
                <w:lang w:val="en-GB" w:eastAsia="en-GB"/>
              </w:rPr>
              <w:t>f</w:t>
            </w:r>
            <w:r w:rsidRPr="00D90A28">
              <w:rPr>
                <w:rFonts w:asciiTheme="minorHAnsi" w:hAnsiTheme="minorHAnsi" w:cstheme="minorHAnsi"/>
                <w:sz w:val="18"/>
                <w:szCs w:val="18"/>
                <w:lang w:val="en-GB" w:eastAsia="en-GB"/>
              </w:rPr>
              <w:t>Q</w:t>
            </w:r>
          </w:p>
        </w:tc>
        <w:tc>
          <w:tcPr>
            <w:tcW w:w="900" w:type="dxa"/>
          </w:tcPr>
          <w:p w14:paraId="1CEF6A86"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Most Advantageous Bids (MAB)</w:t>
            </w:r>
          </w:p>
        </w:tc>
      </w:tr>
      <w:tr w:rsidR="000C3959" w14:paraId="2A035BEC" w14:textId="77777777" w:rsidTr="006C70A5">
        <w:trPr>
          <w:trHeight w:val="415"/>
        </w:trPr>
        <w:tc>
          <w:tcPr>
            <w:tcW w:w="3600" w:type="dxa"/>
            <w:tcBorders>
              <w:bottom w:val="single" w:sz="4" w:space="0" w:color="auto"/>
            </w:tcBorders>
          </w:tcPr>
          <w:p w14:paraId="630470E8" w14:textId="77777777" w:rsidR="005055F6" w:rsidRPr="00D90A28" w:rsidRDefault="00B0010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Accounting Software and relevant IT Software relevant for the project.</w:t>
            </w:r>
          </w:p>
        </w:tc>
        <w:tc>
          <w:tcPr>
            <w:tcW w:w="990" w:type="dxa"/>
            <w:tcBorders>
              <w:bottom w:val="single" w:sz="4" w:space="0" w:color="auto"/>
            </w:tcBorders>
          </w:tcPr>
          <w:p w14:paraId="3C6C7130" w14:textId="77777777" w:rsidR="005055F6" w:rsidRPr="00D90A28" w:rsidRDefault="00B00100" w:rsidP="00F463C2">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50,000</w:t>
            </w:r>
          </w:p>
        </w:tc>
        <w:tc>
          <w:tcPr>
            <w:tcW w:w="1080" w:type="dxa"/>
            <w:tcBorders>
              <w:bottom w:val="single" w:sz="4" w:space="0" w:color="auto"/>
            </w:tcBorders>
          </w:tcPr>
          <w:p w14:paraId="273F1069"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 xml:space="preserve">Post </w:t>
            </w:r>
          </w:p>
        </w:tc>
        <w:tc>
          <w:tcPr>
            <w:tcW w:w="1350" w:type="dxa"/>
            <w:tcBorders>
              <w:bottom w:val="single" w:sz="4" w:space="0" w:color="auto"/>
            </w:tcBorders>
          </w:tcPr>
          <w:p w14:paraId="39655B0B" w14:textId="77777777" w:rsidR="005055F6" w:rsidRPr="00D90A28" w:rsidRDefault="00B00100" w:rsidP="00FC1A97">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 xml:space="preserve">National </w:t>
            </w:r>
          </w:p>
        </w:tc>
        <w:tc>
          <w:tcPr>
            <w:tcW w:w="1080" w:type="dxa"/>
            <w:tcBorders>
              <w:bottom w:val="single" w:sz="4" w:space="0" w:color="auto"/>
            </w:tcBorders>
          </w:tcPr>
          <w:p w14:paraId="0062991B"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R</w:t>
            </w:r>
            <w:r w:rsidR="00423ED0">
              <w:rPr>
                <w:rFonts w:asciiTheme="minorHAnsi" w:hAnsiTheme="minorHAnsi" w:cstheme="minorHAnsi"/>
                <w:sz w:val="18"/>
                <w:szCs w:val="18"/>
                <w:lang w:val="en-GB" w:eastAsia="en-GB"/>
              </w:rPr>
              <w:t>f</w:t>
            </w:r>
            <w:r w:rsidRPr="00D90A28">
              <w:rPr>
                <w:rFonts w:asciiTheme="minorHAnsi" w:hAnsiTheme="minorHAnsi" w:cstheme="minorHAnsi"/>
                <w:sz w:val="18"/>
                <w:szCs w:val="18"/>
                <w:lang w:val="en-GB" w:eastAsia="en-GB"/>
              </w:rPr>
              <w:t>Q</w:t>
            </w:r>
          </w:p>
        </w:tc>
        <w:tc>
          <w:tcPr>
            <w:tcW w:w="900" w:type="dxa"/>
            <w:tcBorders>
              <w:bottom w:val="single" w:sz="4" w:space="0" w:color="auto"/>
            </w:tcBorders>
          </w:tcPr>
          <w:p w14:paraId="619847B2" w14:textId="77777777" w:rsidR="005055F6" w:rsidRPr="00D90A28" w:rsidRDefault="00B00100" w:rsidP="003247A0">
            <w:pPr>
              <w:rPr>
                <w:rFonts w:asciiTheme="minorHAnsi" w:hAnsiTheme="minorHAnsi" w:cstheme="minorHAnsi"/>
                <w:sz w:val="18"/>
                <w:szCs w:val="18"/>
                <w:lang w:val="en-GB" w:eastAsia="en-GB"/>
              </w:rPr>
            </w:pPr>
            <w:r w:rsidRPr="00D90A28">
              <w:rPr>
                <w:rFonts w:asciiTheme="minorHAnsi" w:hAnsiTheme="minorHAnsi" w:cstheme="minorHAnsi"/>
                <w:sz w:val="18"/>
                <w:szCs w:val="18"/>
                <w:lang w:val="en-GB" w:eastAsia="en-GB"/>
              </w:rPr>
              <w:t>MAB</w:t>
            </w:r>
          </w:p>
        </w:tc>
      </w:tr>
      <w:tr w:rsidR="000C3959" w14:paraId="7C3E2E21" w14:textId="77777777" w:rsidTr="006C70A5">
        <w:trPr>
          <w:trHeight w:val="467"/>
        </w:trPr>
        <w:tc>
          <w:tcPr>
            <w:tcW w:w="9000" w:type="dxa"/>
            <w:gridSpan w:val="6"/>
            <w:tcBorders>
              <w:left w:val="nil"/>
              <w:bottom w:val="nil"/>
              <w:right w:val="nil"/>
            </w:tcBorders>
          </w:tcPr>
          <w:p w14:paraId="5DEA2FF2" w14:textId="77777777" w:rsidR="00F467E2" w:rsidRPr="000C46A6" w:rsidRDefault="00B00100">
            <w:pPr>
              <w:rPr>
                <w:rFonts w:asciiTheme="minorHAnsi" w:hAnsiTheme="minorHAnsi" w:cstheme="minorHAnsi"/>
                <w:sz w:val="18"/>
                <w:szCs w:val="18"/>
                <w:lang w:eastAsia="en-GB"/>
              </w:rPr>
            </w:pPr>
            <w:r w:rsidRPr="000C46A6">
              <w:rPr>
                <w:rFonts w:asciiTheme="minorHAnsi" w:hAnsiTheme="minorHAnsi" w:cstheme="minorHAnsi"/>
                <w:sz w:val="18"/>
                <w:szCs w:val="18"/>
                <w:lang w:eastAsia="en-GB"/>
              </w:rPr>
              <w:t>Note: QCBS-R</w:t>
            </w:r>
            <w:r w:rsidR="00423ED0">
              <w:rPr>
                <w:rFonts w:asciiTheme="minorHAnsi" w:hAnsiTheme="minorHAnsi" w:cstheme="minorHAnsi"/>
                <w:sz w:val="18"/>
                <w:szCs w:val="18"/>
                <w:lang w:eastAsia="en-GB"/>
              </w:rPr>
              <w:t>f</w:t>
            </w:r>
            <w:r w:rsidRPr="000C46A6">
              <w:rPr>
                <w:rFonts w:asciiTheme="minorHAnsi" w:hAnsiTheme="minorHAnsi" w:cstheme="minorHAnsi"/>
                <w:sz w:val="18"/>
                <w:szCs w:val="18"/>
                <w:lang w:eastAsia="en-GB"/>
              </w:rPr>
              <w:t>P: Quality Cost Based Selection with Request for Proposals; ICS: Individual Consultants Selection; R</w:t>
            </w:r>
            <w:r w:rsidR="00423ED0">
              <w:rPr>
                <w:rFonts w:asciiTheme="minorHAnsi" w:hAnsiTheme="minorHAnsi" w:cstheme="minorHAnsi"/>
                <w:sz w:val="18"/>
                <w:szCs w:val="18"/>
                <w:lang w:eastAsia="en-GB"/>
              </w:rPr>
              <w:t>f</w:t>
            </w:r>
            <w:r w:rsidRPr="000C46A6">
              <w:rPr>
                <w:rFonts w:asciiTheme="minorHAnsi" w:hAnsiTheme="minorHAnsi" w:cstheme="minorHAnsi"/>
                <w:sz w:val="18"/>
                <w:szCs w:val="18"/>
                <w:lang w:eastAsia="en-GB"/>
              </w:rPr>
              <w:t>Q: Request for Quotation; MAB: Most Advantageous Bid; MAP: Most Advantageous Proposal</w:t>
            </w:r>
          </w:p>
        </w:tc>
      </w:tr>
    </w:tbl>
    <w:p w14:paraId="787C924F" w14:textId="77777777" w:rsidR="002E1A3F" w:rsidRPr="002E1A3F" w:rsidRDefault="002E1A3F">
      <w:pPr>
        <w:ind w:left="360"/>
        <w:contextualSpacing/>
        <w:rPr>
          <w:rFonts w:eastAsia="Times New Roman"/>
        </w:rPr>
        <w:sectPr w:rsidR="002E1A3F" w:rsidRPr="002E1A3F" w:rsidSect="006C70A5">
          <w:pgSz w:w="12240" w:h="15840"/>
          <w:pgMar w:top="1440" w:right="720" w:bottom="1440" w:left="1800" w:header="720" w:footer="720" w:gutter="0"/>
          <w:cols w:space="720"/>
          <w:docGrid w:linePitch="360"/>
        </w:sectPr>
      </w:pPr>
    </w:p>
    <w:tbl>
      <w:tblPr>
        <w:tblW w:w="14025" w:type="dxa"/>
        <w:tblInd w:w="-882" w:type="dxa"/>
        <w:shd w:val="clear" w:color="auto" w:fill="F2F7FC"/>
        <w:tblLayout w:type="fixed"/>
        <w:tblLook w:val="04A0" w:firstRow="1" w:lastRow="0" w:firstColumn="1" w:lastColumn="0" w:noHBand="0" w:noVBand="1"/>
      </w:tblPr>
      <w:tblGrid>
        <w:gridCol w:w="14025"/>
      </w:tblGrid>
      <w:tr w:rsidR="000C3959" w14:paraId="2BA39B1D" w14:textId="77777777" w:rsidTr="009277AD">
        <w:trPr>
          <w:trHeight w:val="579"/>
        </w:trPr>
        <w:tc>
          <w:tcPr>
            <w:tcW w:w="14025" w:type="dxa"/>
            <w:shd w:val="clear" w:color="auto" w:fill="F2F7FC"/>
            <w:vAlign w:val="center"/>
          </w:tcPr>
          <w:p w14:paraId="5E05D74F" w14:textId="77777777" w:rsidR="002E1A3F" w:rsidRDefault="00B00100"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426" w:name="_Toc256000156"/>
            <w:bookmarkStart w:id="427" w:name="_Toc256000127"/>
            <w:bookmarkStart w:id="428" w:name="_Toc256000097"/>
            <w:bookmarkStart w:id="429" w:name="_Toc256000065"/>
            <w:bookmarkStart w:id="430" w:name="_Toc256000034"/>
            <w:bookmarkStart w:id="431" w:name="_Toc8301941"/>
            <w:bookmarkStart w:id="432" w:name="_Toc14789363"/>
            <w:bookmarkStart w:id="433" w:name="_Toc22655930"/>
            <w:bookmarkStart w:id="434" w:name="_Toc23779856"/>
            <w:bookmarkStart w:id="435" w:name="_Toc23866072"/>
            <w:bookmarkStart w:id="436" w:name="_Toc23930683"/>
            <w:r w:rsidRPr="002E1A3F">
              <w:rPr>
                <w:rFonts w:ascii="Calibri" w:eastAsia="Times New Roman" w:hAnsi="Calibri" w:cs="Times New Roman"/>
                <w:b/>
                <w:iCs/>
                <w:color w:val="auto"/>
                <w:sz w:val="22"/>
                <w:szCs w:val="22"/>
              </w:rPr>
              <w:lastRenderedPageBreak/>
              <w:t>ANNEX 3: Disbursement-Linked Indicators</w:t>
            </w:r>
            <w:bookmarkEnd w:id="426"/>
            <w:bookmarkEnd w:id="427"/>
            <w:bookmarkEnd w:id="428"/>
            <w:bookmarkEnd w:id="429"/>
            <w:bookmarkEnd w:id="430"/>
            <w:bookmarkEnd w:id="431"/>
            <w:bookmarkEnd w:id="432"/>
            <w:bookmarkEnd w:id="433"/>
            <w:bookmarkEnd w:id="434"/>
            <w:bookmarkEnd w:id="435"/>
            <w:bookmarkEnd w:id="436"/>
          </w:p>
          <w:p w14:paraId="2121E038" w14:textId="77777777" w:rsidR="000A12E3" w:rsidRPr="002E1A3F" w:rsidRDefault="000A12E3"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p>
        </w:tc>
      </w:tr>
    </w:tbl>
    <w:p w14:paraId="3E82680D" w14:textId="77777777" w:rsidR="002E1A3F" w:rsidRPr="002E1A3F" w:rsidRDefault="00B00100" w:rsidP="00256EEA">
      <w:pPr>
        <w:widowControl/>
        <w:numPr>
          <w:ilvl w:val="0"/>
          <w:numId w:val="31"/>
        </w:numPr>
        <w:autoSpaceDE/>
        <w:autoSpaceDN/>
        <w:adjustRightInd/>
        <w:spacing w:after="160" w:line="259" w:lineRule="auto"/>
        <w:contextualSpacing/>
        <w:rPr>
          <w:rFonts w:ascii="Calibri" w:eastAsia="Times New Roman" w:hAnsi="Calibri" w:cs="Calibri"/>
          <w:b/>
          <w:sz w:val="22"/>
          <w:szCs w:val="22"/>
        </w:rPr>
      </w:pPr>
      <w:r w:rsidRPr="002E1A3F">
        <w:rPr>
          <w:rFonts w:ascii="Calibri" w:eastAsia="Times New Roman" w:hAnsi="Calibri" w:cs="Calibri"/>
          <w:b/>
          <w:sz w:val="22"/>
          <w:szCs w:val="22"/>
        </w:rPr>
        <w:t xml:space="preserve">Matrix Comparing DLIs for ACE I, ACE II and </w:t>
      </w:r>
      <w:r w:rsidR="00077059">
        <w:rPr>
          <w:rFonts w:ascii="Calibri" w:eastAsia="Times New Roman" w:hAnsi="Calibri" w:cs="Calibri"/>
          <w:b/>
          <w:sz w:val="22"/>
          <w:szCs w:val="22"/>
        </w:rPr>
        <w:t>First/Second</w:t>
      </w:r>
      <w:r w:rsidR="00D323B4">
        <w:rPr>
          <w:rFonts w:ascii="Calibri" w:eastAsia="Times New Roman" w:hAnsi="Calibri" w:cs="Calibri"/>
          <w:b/>
          <w:sz w:val="22"/>
          <w:szCs w:val="22"/>
        </w:rPr>
        <w:t xml:space="preserve"> </w:t>
      </w:r>
      <w:r w:rsidRPr="002E1A3F">
        <w:rPr>
          <w:rFonts w:ascii="Calibri" w:eastAsia="Times New Roman" w:hAnsi="Calibri" w:cs="Calibri"/>
          <w:b/>
          <w:sz w:val="22"/>
          <w:szCs w:val="22"/>
        </w:rPr>
        <w:t xml:space="preserve">ACE Impact </w:t>
      </w:r>
    </w:p>
    <w:p w14:paraId="2BDE7D43" w14:textId="77777777" w:rsidR="002E1A3F" w:rsidRPr="002E1A3F" w:rsidRDefault="002E1A3F" w:rsidP="002E1A3F">
      <w:pPr>
        <w:widowControl/>
        <w:autoSpaceDE/>
        <w:autoSpaceDN/>
        <w:adjustRightInd/>
        <w:ind w:left="720"/>
        <w:contextualSpacing/>
        <w:rPr>
          <w:rFonts w:ascii="Calibri" w:eastAsia="Times New Roman" w:hAnsi="Calibri" w:cs="Calibri"/>
          <w:b/>
          <w:sz w:val="22"/>
          <w:szCs w:val="22"/>
        </w:rPr>
      </w:pPr>
    </w:p>
    <w:tbl>
      <w:tblPr>
        <w:tblW w:w="129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320"/>
        <w:gridCol w:w="2610"/>
        <w:gridCol w:w="5110"/>
      </w:tblGrid>
      <w:tr w:rsidR="000C3959" w14:paraId="0529F66B" w14:textId="77777777" w:rsidTr="009F4A64">
        <w:trPr>
          <w:trHeight w:val="167"/>
        </w:trPr>
        <w:tc>
          <w:tcPr>
            <w:tcW w:w="2900" w:type="dxa"/>
            <w:shd w:val="clear" w:color="auto" w:fill="auto"/>
          </w:tcPr>
          <w:p w14:paraId="11783235" w14:textId="77777777" w:rsidR="002E1A3F" w:rsidRPr="002E1A3F" w:rsidRDefault="00B00100" w:rsidP="002E1A3F">
            <w:pPr>
              <w:widowControl/>
              <w:autoSpaceDE/>
              <w:autoSpaceDN/>
              <w:adjustRightInd/>
              <w:spacing w:after="120"/>
              <w:jc w:val="center"/>
              <w:rPr>
                <w:rFonts w:ascii="Calibri" w:eastAsia="Calibri" w:hAnsi="Calibri" w:cs="Times New Roman"/>
                <w:b/>
                <w:color w:val="auto"/>
                <w:sz w:val="22"/>
                <w:szCs w:val="22"/>
              </w:rPr>
            </w:pPr>
            <w:r w:rsidRPr="002E1A3F">
              <w:rPr>
                <w:rFonts w:ascii="Calibri" w:eastAsia="Calibri" w:hAnsi="Calibri" w:cs="Times New Roman"/>
                <w:b/>
                <w:color w:val="auto"/>
                <w:sz w:val="22"/>
                <w:szCs w:val="22"/>
              </w:rPr>
              <w:t>DLIs</w:t>
            </w:r>
          </w:p>
        </w:tc>
        <w:tc>
          <w:tcPr>
            <w:tcW w:w="2320" w:type="dxa"/>
            <w:shd w:val="clear" w:color="auto" w:fill="auto"/>
          </w:tcPr>
          <w:p w14:paraId="4B2ADDF1" w14:textId="77777777" w:rsidR="002E1A3F" w:rsidRPr="002E1A3F" w:rsidRDefault="00B00100" w:rsidP="002E1A3F">
            <w:pPr>
              <w:widowControl/>
              <w:autoSpaceDE/>
              <w:autoSpaceDN/>
              <w:adjustRightInd/>
              <w:spacing w:after="120"/>
              <w:jc w:val="center"/>
              <w:rPr>
                <w:rFonts w:ascii="Calibri" w:eastAsia="Calibri" w:hAnsi="Calibri" w:cs="Times New Roman"/>
                <w:b/>
                <w:color w:val="auto"/>
                <w:sz w:val="22"/>
                <w:szCs w:val="22"/>
              </w:rPr>
            </w:pPr>
            <w:r w:rsidRPr="002E1A3F">
              <w:rPr>
                <w:rFonts w:ascii="Calibri" w:eastAsia="Calibri" w:hAnsi="Calibri" w:cs="Times New Roman"/>
                <w:b/>
                <w:color w:val="auto"/>
                <w:sz w:val="22"/>
                <w:szCs w:val="22"/>
              </w:rPr>
              <w:t>ACE I</w:t>
            </w:r>
          </w:p>
        </w:tc>
        <w:tc>
          <w:tcPr>
            <w:tcW w:w="2610" w:type="dxa"/>
            <w:shd w:val="clear" w:color="auto" w:fill="auto"/>
          </w:tcPr>
          <w:p w14:paraId="4691335A" w14:textId="77777777" w:rsidR="002E1A3F" w:rsidRPr="002E1A3F" w:rsidRDefault="00B00100" w:rsidP="002E1A3F">
            <w:pPr>
              <w:widowControl/>
              <w:autoSpaceDE/>
              <w:autoSpaceDN/>
              <w:adjustRightInd/>
              <w:spacing w:after="120"/>
              <w:jc w:val="center"/>
              <w:rPr>
                <w:rFonts w:ascii="Calibri" w:eastAsia="Calibri" w:hAnsi="Calibri" w:cs="Times New Roman"/>
                <w:b/>
                <w:color w:val="auto"/>
                <w:sz w:val="22"/>
                <w:szCs w:val="22"/>
              </w:rPr>
            </w:pPr>
            <w:r w:rsidRPr="002E1A3F">
              <w:rPr>
                <w:rFonts w:ascii="Calibri" w:eastAsia="Calibri" w:hAnsi="Calibri" w:cs="Times New Roman"/>
                <w:b/>
                <w:color w:val="auto"/>
                <w:sz w:val="22"/>
                <w:szCs w:val="22"/>
              </w:rPr>
              <w:t>ACE II</w:t>
            </w:r>
          </w:p>
        </w:tc>
        <w:tc>
          <w:tcPr>
            <w:tcW w:w="5110" w:type="dxa"/>
            <w:shd w:val="clear" w:color="auto" w:fill="auto"/>
          </w:tcPr>
          <w:p w14:paraId="4B6BE481" w14:textId="77777777" w:rsidR="002E1A3F" w:rsidRPr="002E1A3F" w:rsidRDefault="00B00100" w:rsidP="002E1A3F">
            <w:pPr>
              <w:widowControl/>
              <w:autoSpaceDE/>
              <w:autoSpaceDN/>
              <w:adjustRightInd/>
              <w:spacing w:after="120"/>
              <w:jc w:val="center"/>
              <w:rPr>
                <w:rFonts w:ascii="Calibri" w:eastAsia="Calibri" w:hAnsi="Calibri" w:cs="Times New Roman"/>
                <w:b/>
                <w:color w:val="auto"/>
                <w:sz w:val="22"/>
                <w:szCs w:val="22"/>
              </w:rPr>
            </w:pPr>
            <w:r>
              <w:rPr>
                <w:rFonts w:ascii="Calibri" w:eastAsia="Calibri" w:hAnsi="Calibri" w:cs="Times New Roman"/>
                <w:b/>
                <w:color w:val="auto"/>
                <w:sz w:val="22"/>
                <w:szCs w:val="22"/>
              </w:rPr>
              <w:t xml:space="preserve">First &amp; Second </w:t>
            </w:r>
            <w:r w:rsidR="00960F3E" w:rsidRPr="002E1A3F">
              <w:rPr>
                <w:rFonts w:ascii="Calibri" w:eastAsia="Calibri" w:hAnsi="Calibri" w:cs="Times New Roman"/>
                <w:b/>
                <w:color w:val="auto"/>
                <w:sz w:val="22"/>
                <w:szCs w:val="22"/>
              </w:rPr>
              <w:t>ACE Impact</w:t>
            </w:r>
          </w:p>
        </w:tc>
      </w:tr>
      <w:tr w:rsidR="000C3959" w14:paraId="063EE717" w14:textId="77777777" w:rsidTr="009F4A64">
        <w:trPr>
          <w:trHeight w:val="2411"/>
        </w:trPr>
        <w:tc>
          <w:tcPr>
            <w:tcW w:w="2900" w:type="dxa"/>
          </w:tcPr>
          <w:p w14:paraId="35DF1A46" w14:textId="77777777" w:rsidR="002E1A3F" w:rsidRPr="002E1A3F" w:rsidRDefault="00B00100" w:rsidP="00256EEA">
            <w:pPr>
              <w:widowControl/>
              <w:numPr>
                <w:ilvl w:val="0"/>
                <w:numId w:val="20"/>
              </w:numPr>
              <w:tabs>
                <w:tab w:val="left" w:pos="2868"/>
              </w:tabs>
              <w:autoSpaceDE/>
              <w:autoSpaceDN/>
              <w:adjustRightInd/>
              <w:rPr>
                <w:rFonts w:ascii="Calibri" w:eastAsia="Times New Roman" w:hAnsi="Calibri" w:cs="Calibri"/>
                <w:b/>
                <w:color w:val="auto"/>
                <w:sz w:val="20"/>
                <w:szCs w:val="20"/>
              </w:rPr>
            </w:pPr>
            <w:r w:rsidRPr="002E1A3F">
              <w:rPr>
                <w:rFonts w:ascii="Calibri" w:eastAsia="Times New Roman" w:hAnsi="Calibri" w:cs="Calibri"/>
                <w:b/>
                <w:color w:val="auto"/>
                <w:sz w:val="20"/>
                <w:szCs w:val="20"/>
              </w:rPr>
              <w:t>Institutional readiness results</w:t>
            </w:r>
          </w:p>
        </w:tc>
        <w:tc>
          <w:tcPr>
            <w:tcW w:w="2320" w:type="dxa"/>
          </w:tcPr>
          <w:p w14:paraId="4AFFBA2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Completion of effectiveness condition in each legal agreement</w:t>
            </w:r>
          </w:p>
          <w:p w14:paraId="4F9487DD"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PSC members endorse resolution for regional specialization</w:t>
            </w:r>
          </w:p>
        </w:tc>
        <w:tc>
          <w:tcPr>
            <w:tcW w:w="2610" w:type="dxa"/>
          </w:tcPr>
          <w:p w14:paraId="102CF724"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Completion of effectiveness condition in each legal agreement</w:t>
            </w:r>
          </w:p>
          <w:p w14:paraId="2811C8FE"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Development of implementation plan</w:t>
            </w:r>
          </w:p>
          <w:p w14:paraId="4D58727E" w14:textId="77777777" w:rsidR="002E1A3F" w:rsidRPr="002E1A3F" w:rsidRDefault="002E1A3F" w:rsidP="002E1A3F">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552D2AC8" w14:textId="77777777" w:rsidR="002E1A3F" w:rsidRPr="002E1A3F" w:rsidRDefault="00B00100" w:rsidP="002E1A3F">
            <w:pPr>
              <w:rPr>
                <w:rFonts w:ascii="Calibri" w:eastAsia="Times New Roman" w:hAnsi="Calibri" w:cs="Calibri"/>
                <w:sz w:val="20"/>
                <w:szCs w:val="20"/>
                <w:lang w:eastAsia="fr-FR"/>
              </w:rPr>
            </w:pPr>
            <w:r w:rsidRPr="002E1A3F">
              <w:rPr>
                <w:rFonts w:ascii="Calibri" w:eastAsia="Times New Roman" w:hAnsi="Calibri" w:cs="Calibri"/>
                <w:b/>
                <w:sz w:val="20"/>
                <w:szCs w:val="20"/>
                <w:lang w:eastAsia="fr-FR"/>
              </w:rPr>
              <w:t>Basic readiness</w:t>
            </w:r>
            <w:r w:rsidRPr="002E1A3F">
              <w:rPr>
                <w:rFonts w:ascii="Calibri" w:eastAsia="Times New Roman" w:hAnsi="Calibri" w:cs="Calibri"/>
                <w:sz w:val="20"/>
                <w:szCs w:val="20"/>
                <w:lang w:eastAsia="fr-FR"/>
              </w:rPr>
              <w:t xml:space="preserve">: </w:t>
            </w:r>
          </w:p>
          <w:p w14:paraId="40CF20C9"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The FA is effective</w:t>
            </w:r>
            <w:r w:rsidR="005B370F">
              <w:rPr>
                <w:rFonts w:ascii="Calibri" w:eastAsia="Times New Roman" w:hAnsi="Calibri" w:cs="Calibri"/>
                <w:sz w:val="20"/>
                <w:szCs w:val="20"/>
                <w:lang w:eastAsia="fr-FR"/>
              </w:rPr>
              <w:t>.</w:t>
            </w:r>
            <w:r w:rsidRPr="002E1A3F">
              <w:rPr>
                <w:rFonts w:ascii="Calibri" w:eastAsia="Times New Roman" w:hAnsi="Calibri" w:cs="Calibri"/>
                <w:sz w:val="20"/>
                <w:szCs w:val="20"/>
                <w:lang w:eastAsia="fr-FR"/>
              </w:rPr>
              <w:t xml:space="preserve"> </w:t>
            </w:r>
          </w:p>
          <w:p w14:paraId="65298899"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 xml:space="preserve">The RFU has approved of the ACE Impact Center’s Project Implementation Plan and the Procurement and Financial Management Manuals. </w:t>
            </w:r>
          </w:p>
          <w:p w14:paraId="056A3DA9"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 xml:space="preserve">Official designation of the core team members (ACE Impact Center leader, Deputy ACE Impact Center leader, FM responsible, procurement responsible, M&amp;E responsible and sectoral liaison). </w:t>
            </w:r>
          </w:p>
          <w:p w14:paraId="57CC3B55"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The ACE Impact Center has designated a non-staff student representative to the RFU</w:t>
            </w:r>
            <w:r w:rsidR="000C3721">
              <w:rPr>
                <w:rFonts w:ascii="Calibri" w:eastAsia="Times New Roman" w:hAnsi="Calibri" w:cs="Calibri"/>
                <w:sz w:val="20"/>
                <w:szCs w:val="20"/>
                <w:lang w:eastAsia="fr-FR"/>
              </w:rPr>
              <w:t>.</w:t>
            </w:r>
          </w:p>
          <w:p w14:paraId="510D1BE5" w14:textId="77777777" w:rsidR="002E1A3F" w:rsidRPr="002E1A3F" w:rsidRDefault="00B00100" w:rsidP="002E1A3F">
            <w:pPr>
              <w:ind w:left="-44"/>
              <w:rPr>
                <w:rFonts w:ascii="Calibri" w:eastAsia="Times New Roman" w:hAnsi="Calibri" w:cs="Calibri"/>
                <w:sz w:val="20"/>
                <w:szCs w:val="20"/>
                <w:lang w:eastAsia="fr-FR"/>
              </w:rPr>
            </w:pPr>
            <w:r w:rsidRPr="002E1A3F">
              <w:rPr>
                <w:rFonts w:ascii="Calibri" w:eastAsia="Times New Roman" w:hAnsi="Calibri" w:cs="Calibri"/>
                <w:b/>
                <w:sz w:val="20"/>
                <w:szCs w:val="20"/>
                <w:lang w:eastAsia="fr-FR"/>
              </w:rPr>
              <w:t>Full readiness</w:t>
            </w:r>
            <w:r w:rsidRPr="002E1A3F">
              <w:rPr>
                <w:rFonts w:ascii="Calibri" w:eastAsia="Times New Roman" w:hAnsi="Calibri" w:cs="Calibri"/>
                <w:sz w:val="20"/>
                <w:szCs w:val="20"/>
                <w:lang w:eastAsia="fr-FR"/>
              </w:rPr>
              <w:t xml:space="preserve">: </w:t>
            </w:r>
          </w:p>
          <w:p w14:paraId="7EF40F3B"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Project Management certification for at least one leading team member</w:t>
            </w:r>
            <w:r w:rsidR="000C3721">
              <w:rPr>
                <w:rFonts w:ascii="Calibri" w:eastAsia="Times New Roman" w:hAnsi="Calibri" w:cs="Calibri"/>
                <w:sz w:val="20"/>
                <w:szCs w:val="20"/>
                <w:lang w:eastAsia="fr-FR"/>
              </w:rPr>
              <w:t>.</w:t>
            </w:r>
            <w:r w:rsidRPr="002E1A3F">
              <w:rPr>
                <w:rFonts w:ascii="Calibri" w:eastAsia="Times New Roman" w:hAnsi="Calibri" w:cs="Calibri"/>
                <w:sz w:val="20"/>
                <w:szCs w:val="20"/>
                <w:lang w:eastAsia="fr-FR"/>
              </w:rPr>
              <w:t xml:space="preserve"> </w:t>
            </w:r>
          </w:p>
          <w:p w14:paraId="73F951FA"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sidRPr="002E1A3F">
              <w:rPr>
                <w:rFonts w:ascii="Calibri" w:eastAsia="Times New Roman" w:hAnsi="Calibri" w:cs="Calibri"/>
                <w:sz w:val="20"/>
                <w:szCs w:val="20"/>
                <w:lang w:eastAsia="fr-FR"/>
              </w:rPr>
              <w:t>Functional center website; Student handbook on the website with policies for sexual harassment and scholarships</w:t>
            </w:r>
            <w:r w:rsidR="000C3721">
              <w:rPr>
                <w:rFonts w:ascii="Calibri" w:eastAsia="Times New Roman" w:hAnsi="Calibri" w:cs="Calibri"/>
                <w:sz w:val="20"/>
                <w:szCs w:val="20"/>
                <w:lang w:eastAsia="fr-FR"/>
              </w:rPr>
              <w:t>.</w:t>
            </w:r>
            <w:r w:rsidRPr="002E1A3F">
              <w:rPr>
                <w:rFonts w:ascii="Calibri" w:eastAsia="Times New Roman" w:hAnsi="Calibri" w:cs="Calibri"/>
                <w:sz w:val="20"/>
                <w:szCs w:val="20"/>
                <w:lang w:eastAsia="fr-FR"/>
              </w:rPr>
              <w:t xml:space="preserve"> </w:t>
            </w:r>
          </w:p>
          <w:p w14:paraId="3ECAD44A" w14:textId="77777777" w:rsidR="002E1A3F" w:rsidRPr="002E1A3F" w:rsidRDefault="00B00100" w:rsidP="00256EEA">
            <w:pPr>
              <w:widowControl/>
              <w:numPr>
                <w:ilvl w:val="0"/>
                <w:numId w:val="48"/>
              </w:numPr>
              <w:autoSpaceDE/>
              <w:autoSpaceDN/>
              <w:adjustRightInd/>
              <w:ind w:left="316"/>
              <w:contextualSpacing/>
              <w:rPr>
                <w:rFonts w:ascii="Calibri" w:eastAsia="Times New Roman" w:hAnsi="Calibri" w:cs="Calibri"/>
                <w:sz w:val="20"/>
                <w:szCs w:val="20"/>
                <w:lang w:eastAsia="fr-FR"/>
              </w:rPr>
            </w:pPr>
            <w:r>
              <w:rPr>
                <w:rFonts w:ascii="Calibri" w:eastAsia="Times New Roman" w:hAnsi="Calibri" w:cs="Calibri"/>
                <w:sz w:val="20"/>
                <w:szCs w:val="20"/>
                <w:lang w:eastAsia="fr-FR"/>
              </w:rPr>
              <w:t>SAB</w:t>
            </w:r>
            <w:r w:rsidR="00FB4CA6" w:rsidRPr="002E1A3F">
              <w:rPr>
                <w:rFonts w:ascii="Calibri" w:eastAsia="Times New Roman" w:hAnsi="Calibri" w:cs="Calibri"/>
                <w:sz w:val="20"/>
                <w:szCs w:val="20"/>
                <w:lang w:eastAsia="fr-FR"/>
              </w:rPr>
              <w:t xml:space="preserve"> constituted and its endorsement of the Project Implementation Plan</w:t>
            </w:r>
            <w:r w:rsidR="000C3721">
              <w:rPr>
                <w:rFonts w:ascii="Calibri" w:eastAsia="Times New Roman" w:hAnsi="Calibri" w:cs="Calibri"/>
                <w:sz w:val="20"/>
                <w:szCs w:val="20"/>
                <w:lang w:eastAsia="fr-FR"/>
              </w:rPr>
              <w:t>.</w:t>
            </w:r>
            <w:r w:rsidR="00FB4CA6" w:rsidRPr="002E1A3F">
              <w:rPr>
                <w:rFonts w:ascii="Calibri" w:eastAsia="Times New Roman" w:hAnsi="Calibri" w:cs="Calibri"/>
                <w:sz w:val="20"/>
                <w:szCs w:val="20"/>
                <w:lang w:eastAsia="fr-FR"/>
              </w:rPr>
              <w:t xml:space="preserve">  </w:t>
            </w:r>
          </w:p>
        </w:tc>
      </w:tr>
      <w:tr w:rsidR="000C3959" w14:paraId="3766CF4E" w14:textId="77777777" w:rsidTr="000C46A6">
        <w:trPr>
          <w:trHeight w:val="620"/>
        </w:trPr>
        <w:tc>
          <w:tcPr>
            <w:tcW w:w="2900" w:type="dxa"/>
          </w:tcPr>
          <w:p w14:paraId="3634066B" w14:textId="77777777" w:rsidR="002E1A3F" w:rsidRPr="002E1A3F" w:rsidRDefault="00B00100" w:rsidP="00256EEA">
            <w:pPr>
              <w:widowControl/>
              <w:numPr>
                <w:ilvl w:val="0"/>
                <w:numId w:val="20"/>
              </w:numPr>
              <w:tabs>
                <w:tab w:val="left" w:pos="2868"/>
              </w:tabs>
              <w:autoSpaceDE/>
              <w:autoSpaceDN/>
              <w:adjustRightInd/>
              <w:rPr>
                <w:rFonts w:ascii="Calibri" w:eastAsia="Times New Roman" w:hAnsi="Calibri" w:cs="Calibri"/>
                <w:b/>
                <w:color w:val="auto"/>
                <w:sz w:val="20"/>
                <w:szCs w:val="20"/>
              </w:rPr>
            </w:pPr>
            <w:r w:rsidRPr="002E1A3F">
              <w:rPr>
                <w:rFonts w:ascii="Calibri" w:eastAsia="Times New Roman" w:hAnsi="Calibri" w:cs="Calibri"/>
                <w:b/>
                <w:color w:val="auto"/>
                <w:sz w:val="20"/>
                <w:szCs w:val="20"/>
              </w:rPr>
              <w:t xml:space="preserve">Development Impact of ACE Center </w:t>
            </w:r>
          </w:p>
        </w:tc>
        <w:tc>
          <w:tcPr>
            <w:tcW w:w="2320" w:type="dxa"/>
          </w:tcPr>
          <w:p w14:paraId="04E6FF08" w14:textId="77777777" w:rsidR="002E1A3F" w:rsidRPr="002E1A3F" w:rsidRDefault="00B00100" w:rsidP="002E1A3F">
            <w:pPr>
              <w:widowControl/>
              <w:autoSpaceDE/>
              <w:autoSpaceDN/>
              <w:adjustRightInd/>
              <w:rPr>
                <w:rFonts w:ascii="Calibri" w:eastAsia="Calibri" w:hAnsi="Calibri" w:cs="Calibri"/>
                <w:color w:val="auto"/>
                <w:sz w:val="20"/>
                <w:szCs w:val="20"/>
              </w:rPr>
            </w:pPr>
            <w:r w:rsidRPr="002E1A3F">
              <w:rPr>
                <w:rFonts w:ascii="Calibri" w:eastAsia="Calibri" w:hAnsi="Calibri" w:cs="Calibri"/>
                <w:color w:val="auto"/>
                <w:sz w:val="20"/>
                <w:szCs w:val="20"/>
              </w:rPr>
              <w:t>NA</w:t>
            </w:r>
          </w:p>
        </w:tc>
        <w:tc>
          <w:tcPr>
            <w:tcW w:w="2610" w:type="dxa"/>
          </w:tcPr>
          <w:p w14:paraId="2CD28650" w14:textId="77777777" w:rsidR="002E1A3F" w:rsidRPr="002E1A3F" w:rsidRDefault="00B00100" w:rsidP="002E1A3F">
            <w:pPr>
              <w:widowControl/>
              <w:autoSpaceDE/>
              <w:autoSpaceDN/>
              <w:adjustRightInd/>
              <w:rPr>
                <w:rFonts w:ascii="Calibri" w:eastAsia="Calibri" w:hAnsi="Calibri" w:cs="Calibri"/>
                <w:color w:val="auto"/>
                <w:sz w:val="20"/>
                <w:szCs w:val="20"/>
              </w:rPr>
            </w:pPr>
            <w:r w:rsidRPr="002E1A3F">
              <w:rPr>
                <w:rFonts w:ascii="Calibri" w:eastAsia="Calibri" w:hAnsi="Calibri" w:cs="Calibri"/>
                <w:color w:val="auto"/>
                <w:sz w:val="20"/>
                <w:szCs w:val="20"/>
              </w:rPr>
              <w:t>NA</w:t>
            </w:r>
          </w:p>
        </w:tc>
        <w:tc>
          <w:tcPr>
            <w:tcW w:w="5110" w:type="dxa"/>
          </w:tcPr>
          <w:p w14:paraId="23776B94"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sz w:val="20"/>
                <w:szCs w:val="20"/>
                <w:lang w:eastAsia="fr-FR"/>
              </w:rPr>
              <w:t>Independent, external evaluation of the development impact of the ACE Impact Center.</w:t>
            </w:r>
          </w:p>
        </w:tc>
      </w:tr>
      <w:tr w:rsidR="000C3959" w14:paraId="07C9C5F7" w14:textId="77777777" w:rsidTr="009F4A64">
        <w:trPr>
          <w:trHeight w:val="1349"/>
        </w:trPr>
        <w:tc>
          <w:tcPr>
            <w:tcW w:w="2900" w:type="dxa"/>
          </w:tcPr>
          <w:p w14:paraId="7E2BA233" w14:textId="77777777" w:rsidR="002E1A3F" w:rsidRPr="002E1A3F" w:rsidRDefault="00B00100" w:rsidP="00256EEA">
            <w:pPr>
              <w:widowControl/>
              <w:numPr>
                <w:ilvl w:val="0"/>
                <w:numId w:val="20"/>
              </w:numPr>
              <w:tabs>
                <w:tab w:val="left" w:pos="2868"/>
              </w:tabs>
              <w:autoSpaceDE/>
              <w:autoSpaceDN/>
              <w:adjustRightInd/>
              <w:rPr>
                <w:rFonts w:ascii="Calibri" w:eastAsia="Times New Roman" w:hAnsi="Calibri" w:cs="Calibri"/>
                <w:b/>
                <w:color w:val="auto"/>
                <w:sz w:val="20"/>
                <w:szCs w:val="20"/>
              </w:rPr>
            </w:pPr>
            <w:r w:rsidRPr="002E1A3F">
              <w:rPr>
                <w:rFonts w:ascii="Calibri" w:eastAsia="Times New Roman" w:hAnsi="Calibri" w:cs="Calibri"/>
                <w:b/>
                <w:color w:val="auto"/>
                <w:sz w:val="20"/>
                <w:szCs w:val="20"/>
              </w:rPr>
              <w:t>Quantity of students with focus on gender and regionalization</w:t>
            </w:r>
          </w:p>
        </w:tc>
        <w:tc>
          <w:tcPr>
            <w:tcW w:w="2320" w:type="dxa"/>
          </w:tcPr>
          <w:p w14:paraId="6AFA6793"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Number of PhD, master’s and short-term students enrolled</w:t>
            </w:r>
          </w:p>
          <w:p w14:paraId="236465B8" w14:textId="77777777" w:rsidR="002E1A3F" w:rsidRPr="002E1A3F" w:rsidRDefault="002E1A3F" w:rsidP="002E1A3F">
            <w:pPr>
              <w:widowControl/>
              <w:tabs>
                <w:tab w:val="left" w:pos="2868"/>
              </w:tabs>
              <w:autoSpaceDE/>
              <w:autoSpaceDN/>
              <w:adjustRightInd/>
              <w:ind w:left="187"/>
              <w:rPr>
                <w:rFonts w:ascii="Calibri" w:eastAsia="Calibri" w:hAnsi="Calibri" w:cs="Calibri"/>
                <w:color w:val="auto"/>
                <w:sz w:val="20"/>
                <w:szCs w:val="20"/>
              </w:rPr>
            </w:pPr>
          </w:p>
        </w:tc>
        <w:tc>
          <w:tcPr>
            <w:tcW w:w="2610" w:type="dxa"/>
          </w:tcPr>
          <w:p w14:paraId="5D9F0C4C"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Number of PhD, master’s and short-term students enrolled</w:t>
            </w:r>
          </w:p>
          <w:p w14:paraId="39A7B240" w14:textId="77777777" w:rsidR="002E1A3F" w:rsidRPr="002E1A3F" w:rsidRDefault="002E1A3F" w:rsidP="002E1A3F">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716E17A4"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Times New Roman" w:hAnsi="Calibri" w:cs="Calibri"/>
                <w:color w:val="auto"/>
                <w:sz w:val="20"/>
                <w:szCs w:val="20"/>
              </w:rPr>
            </w:pPr>
            <w:r w:rsidRPr="002E1A3F">
              <w:rPr>
                <w:rFonts w:ascii="Calibri" w:eastAsia="Calibri" w:hAnsi="Calibri" w:cs="Calibri"/>
                <w:color w:val="auto"/>
                <w:sz w:val="20"/>
                <w:szCs w:val="20"/>
              </w:rPr>
              <w:t>Number of new PhD, master’s and short-term students enrolled</w:t>
            </w:r>
            <w:r w:rsidR="000C3721">
              <w:rPr>
                <w:rFonts w:ascii="Calibri" w:eastAsia="Calibri" w:hAnsi="Calibri" w:cs="Calibri"/>
                <w:color w:val="auto"/>
                <w:sz w:val="20"/>
                <w:szCs w:val="20"/>
              </w:rPr>
              <w:t>.</w:t>
            </w:r>
          </w:p>
          <w:p w14:paraId="278DD8FA"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Times New Roman" w:hAnsi="Calibri" w:cs="Calibri"/>
                <w:color w:val="auto"/>
                <w:sz w:val="20"/>
                <w:szCs w:val="20"/>
              </w:rPr>
            </w:pPr>
            <w:r w:rsidRPr="002E1A3F">
              <w:rPr>
                <w:rFonts w:ascii="Calibri" w:eastAsia="Calibri" w:hAnsi="Calibri" w:cs="Calibri"/>
                <w:color w:val="auto"/>
                <w:sz w:val="20"/>
                <w:szCs w:val="20"/>
              </w:rPr>
              <w:t>Number of new undergraduate students enrolled (particularly for the Emerging centers and colleges of engineering)</w:t>
            </w:r>
            <w:r w:rsidR="000C3721">
              <w:rPr>
                <w:rFonts w:ascii="Calibri" w:eastAsia="Calibri" w:hAnsi="Calibri" w:cs="Calibri"/>
                <w:color w:val="auto"/>
                <w:sz w:val="20"/>
                <w:szCs w:val="20"/>
              </w:rPr>
              <w:t>.</w:t>
            </w:r>
          </w:p>
        </w:tc>
      </w:tr>
      <w:tr w:rsidR="000C3959" w14:paraId="31B5151F" w14:textId="77777777" w:rsidTr="009F4A64">
        <w:trPr>
          <w:trHeight w:val="141"/>
        </w:trPr>
        <w:tc>
          <w:tcPr>
            <w:tcW w:w="2900" w:type="dxa"/>
          </w:tcPr>
          <w:p w14:paraId="62BC51B8" w14:textId="77777777" w:rsidR="002E1A3F" w:rsidRPr="002E1A3F" w:rsidRDefault="00B00100" w:rsidP="00256EEA">
            <w:pPr>
              <w:widowControl/>
              <w:numPr>
                <w:ilvl w:val="0"/>
                <w:numId w:val="20"/>
              </w:numPr>
              <w:tabs>
                <w:tab w:val="left" w:pos="2868"/>
              </w:tabs>
              <w:autoSpaceDE/>
              <w:autoSpaceDN/>
              <w:adjustRightInd/>
              <w:rPr>
                <w:rFonts w:ascii="Calibri" w:eastAsia="Times New Roman" w:hAnsi="Calibri" w:cs="Calibri"/>
                <w:b/>
                <w:color w:val="auto"/>
                <w:sz w:val="20"/>
                <w:szCs w:val="20"/>
              </w:rPr>
            </w:pPr>
            <w:r w:rsidRPr="002E1A3F">
              <w:rPr>
                <w:rFonts w:ascii="Calibri" w:eastAsia="Times New Roman" w:hAnsi="Calibri" w:cs="Calibri"/>
                <w:b/>
                <w:color w:val="auto"/>
                <w:sz w:val="20"/>
                <w:szCs w:val="20"/>
              </w:rPr>
              <w:lastRenderedPageBreak/>
              <w:t>Quality of Education and research through</w:t>
            </w:r>
            <w:r w:rsidRPr="002E1A3F">
              <w:rPr>
                <w:rFonts w:ascii="Calibri" w:eastAsia="Times New Roman" w:hAnsi="Calibri" w:cs="Calibri"/>
                <w:b/>
                <w:color w:val="auto"/>
                <w:sz w:val="20"/>
                <w:szCs w:val="20"/>
              </w:rPr>
              <w:br/>
              <w:t>international accreditation, research publications and improved teaching and research infrastructure</w:t>
            </w:r>
          </w:p>
          <w:p w14:paraId="6D97FA80" w14:textId="77777777" w:rsidR="002E1A3F" w:rsidRPr="002E1A3F" w:rsidRDefault="002E1A3F" w:rsidP="002E1A3F">
            <w:pPr>
              <w:widowControl/>
              <w:tabs>
                <w:tab w:val="left" w:pos="2868"/>
              </w:tabs>
              <w:autoSpaceDE/>
              <w:autoSpaceDN/>
              <w:adjustRightInd/>
              <w:rPr>
                <w:rFonts w:ascii="Calibri" w:eastAsia="Times New Roman" w:hAnsi="Calibri" w:cs="Calibri"/>
                <w:b/>
                <w:color w:val="auto"/>
                <w:sz w:val="20"/>
                <w:szCs w:val="20"/>
              </w:rPr>
            </w:pPr>
          </w:p>
        </w:tc>
        <w:tc>
          <w:tcPr>
            <w:tcW w:w="2320" w:type="dxa"/>
          </w:tcPr>
          <w:p w14:paraId="7A71E799"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Times New Roman"/>
                <w:color w:val="auto"/>
                <w:sz w:val="20"/>
                <w:szCs w:val="20"/>
              </w:rPr>
            </w:pPr>
            <w:r w:rsidRPr="002E1A3F">
              <w:rPr>
                <w:rFonts w:ascii="Calibri" w:eastAsia="Calibri" w:hAnsi="Calibri" w:cs="Times New Roman"/>
                <w:color w:val="auto"/>
                <w:sz w:val="20"/>
                <w:szCs w:val="20"/>
              </w:rPr>
              <w:t>Accreditation (international, regional, national) of education programs; gap assessment, self-evaluation</w:t>
            </w:r>
          </w:p>
          <w:p w14:paraId="7ECED66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 xml:space="preserve">ACE related research publications in </w:t>
            </w:r>
            <w:r w:rsidRPr="002E1A3F">
              <w:rPr>
                <w:rFonts w:ascii="Calibri" w:eastAsia="Times New Roman" w:hAnsi="Calibri" w:cs="Calibri"/>
                <w:color w:val="auto"/>
                <w:sz w:val="20"/>
                <w:szCs w:val="20"/>
              </w:rPr>
              <w:t>internationally recognized peer reviewed journals</w:t>
            </w:r>
          </w:p>
          <w:p w14:paraId="60036CE7"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Meeting milestones for civil works and major equipment purchase</w:t>
            </w:r>
          </w:p>
        </w:tc>
        <w:tc>
          <w:tcPr>
            <w:tcW w:w="2610" w:type="dxa"/>
          </w:tcPr>
          <w:p w14:paraId="7E75CB2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Times New Roman"/>
                <w:color w:val="auto"/>
                <w:sz w:val="20"/>
                <w:szCs w:val="20"/>
              </w:rPr>
            </w:pPr>
            <w:r w:rsidRPr="002E1A3F">
              <w:rPr>
                <w:rFonts w:ascii="Calibri" w:eastAsia="Calibri" w:hAnsi="Calibri" w:cs="Times New Roman"/>
                <w:color w:val="auto"/>
                <w:sz w:val="20"/>
                <w:szCs w:val="20"/>
              </w:rPr>
              <w:t>Accreditation (international, regional, national) of education programs; self-evaluation</w:t>
            </w:r>
          </w:p>
          <w:p w14:paraId="07FEC2CD"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 xml:space="preserve">ACE related research publications in </w:t>
            </w:r>
            <w:r w:rsidRPr="002E1A3F">
              <w:rPr>
                <w:rFonts w:ascii="Calibri" w:eastAsia="Times New Roman" w:hAnsi="Calibri" w:cs="Calibri"/>
                <w:color w:val="auto"/>
                <w:sz w:val="20"/>
                <w:szCs w:val="20"/>
              </w:rPr>
              <w:t>internationally recognized peer reviewed journals</w:t>
            </w:r>
          </w:p>
          <w:p w14:paraId="5383F83B" w14:textId="77777777" w:rsidR="002E1A3F" w:rsidRPr="002E1A3F" w:rsidRDefault="002E1A3F" w:rsidP="002E1A3F">
            <w:pPr>
              <w:widowControl/>
              <w:tabs>
                <w:tab w:val="left" w:pos="2868"/>
              </w:tabs>
              <w:autoSpaceDE/>
              <w:autoSpaceDN/>
              <w:adjustRightInd/>
              <w:ind w:left="187"/>
              <w:rPr>
                <w:rFonts w:ascii="Calibri" w:eastAsia="Calibri" w:hAnsi="Calibri" w:cs="Calibri"/>
                <w:color w:val="auto"/>
                <w:sz w:val="20"/>
                <w:szCs w:val="20"/>
              </w:rPr>
            </w:pPr>
          </w:p>
        </w:tc>
        <w:tc>
          <w:tcPr>
            <w:tcW w:w="5110" w:type="dxa"/>
          </w:tcPr>
          <w:p w14:paraId="08D6CD66"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Times New Roman"/>
                <w:color w:val="auto"/>
                <w:sz w:val="20"/>
                <w:szCs w:val="20"/>
              </w:rPr>
            </w:pPr>
            <w:r w:rsidRPr="002E1A3F">
              <w:rPr>
                <w:rFonts w:ascii="Calibri" w:eastAsia="Calibri" w:hAnsi="Calibri" w:cs="Times New Roman"/>
                <w:color w:val="auto"/>
                <w:sz w:val="20"/>
                <w:szCs w:val="20"/>
              </w:rPr>
              <w:t>Accreditation (international, regional, national) of education programs; gap assessment, self-evaluation</w:t>
            </w:r>
            <w:r w:rsidR="000C3721">
              <w:rPr>
                <w:rFonts w:ascii="Calibri" w:eastAsia="Calibri" w:hAnsi="Calibri" w:cs="Times New Roman"/>
                <w:color w:val="auto"/>
                <w:sz w:val="20"/>
                <w:szCs w:val="20"/>
              </w:rPr>
              <w:t>.</w:t>
            </w:r>
          </w:p>
          <w:p w14:paraId="33926CFD"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 xml:space="preserve">ACE relevant research publications in </w:t>
            </w:r>
            <w:r w:rsidRPr="002E1A3F">
              <w:rPr>
                <w:rFonts w:ascii="Calibri" w:eastAsia="Times New Roman" w:hAnsi="Calibri" w:cs="Calibri"/>
                <w:color w:val="auto"/>
                <w:sz w:val="20"/>
                <w:szCs w:val="20"/>
              </w:rPr>
              <w:t>internationally recognized peer reviewed journals</w:t>
            </w:r>
            <w:r w:rsidR="000C3721">
              <w:rPr>
                <w:rFonts w:ascii="Calibri" w:eastAsia="Times New Roman" w:hAnsi="Calibri" w:cs="Calibri"/>
                <w:color w:val="auto"/>
                <w:sz w:val="20"/>
                <w:szCs w:val="20"/>
              </w:rPr>
              <w:t>.</w:t>
            </w:r>
          </w:p>
          <w:p w14:paraId="136C02D3"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Completion of milestones for improved learning and research infrastructure specified in the approved Project Implementation Plan of each ACE Impact Center</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tc>
      </w:tr>
      <w:tr w:rsidR="000C3959" w14:paraId="4512501C" w14:textId="77777777" w:rsidTr="009F4A64">
        <w:trPr>
          <w:trHeight w:val="141"/>
        </w:trPr>
        <w:tc>
          <w:tcPr>
            <w:tcW w:w="2900" w:type="dxa"/>
          </w:tcPr>
          <w:p w14:paraId="0AF81025" w14:textId="77777777" w:rsidR="002E1A3F" w:rsidRPr="002E1A3F" w:rsidRDefault="00B00100" w:rsidP="00256EEA">
            <w:pPr>
              <w:widowControl/>
              <w:numPr>
                <w:ilvl w:val="0"/>
                <w:numId w:val="20"/>
              </w:numPr>
              <w:autoSpaceDE/>
              <w:autoSpaceDN/>
              <w:adjustRightInd/>
              <w:ind w:right="360"/>
              <w:rPr>
                <w:rFonts w:ascii="Calibri" w:eastAsia="Times New Roman" w:hAnsi="Calibri" w:cs="Calibri"/>
                <w:b/>
                <w:color w:val="auto"/>
                <w:sz w:val="20"/>
                <w:szCs w:val="20"/>
              </w:rPr>
            </w:pPr>
            <w:r w:rsidRPr="002E1A3F">
              <w:rPr>
                <w:rFonts w:ascii="Calibri" w:eastAsia="Times New Roman" w:hAnsi="Calibri" w:cs="Calibri"/>
                <w:b/>
                <w:color w:val="auto"/>
                <w:sz w:val="20"/>
                <w:szCs w:val="20"/>
              </w:rPr>
              <w:t>Relevance of Education and Research through externally generated revenue, internships, and entrepreneurship</w:t>
            </w:r>
          </w:p>
        </w:tc>
        <w:tc>
          <w:tcPr>
            <w:tcW w:w="2320" w:type="dxa"/>
          </w:tcPr>
          <w:p w14:paraId="699012A9"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Externally generated revenue</w:t>
            </w:r>
          </w:p>
          <w:p w14:paraId="5728D893"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Number of outreach periods, at least 1-month (internships) for faculty, master’s and PhD students</w:t>
            </w:r>
          </w:p>
        </w:tc>
        <w:tc>
          <w:tcPr>
            <w:tcW w:w="2610" w:type="dxa"/>
          </w:tcPr>
          <w:p w14:paraId="550970EB"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Externally generated revenue</w:t>
            </w:r>
          </w:p>
          <w:p w14:paraId="663DC854"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Number of faculty and PhD exchanges for at least 2 weeks to other institutions or host faculty and PhD students from other institutions</w:t>
            </w:r>
          </w:p>
          <w:p w14:paraId="6B3B1A00"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 xml:space="preserve">Number of partnerships for collaboration in applied research and training </w:t>
            </w:r>
          </w:p>
        </w:tc>
        <w:tc>
          <w:tcPr>
            <w:tcW w:w="5110" w:type="dxa"/>
          </w:tcPr>
          <w:p w14:paraId="556169E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Externally generated revenue</w:t>
            </w:r>
            <w:r w:rsidR="000C3721">
              <w:rPr>
                <w:rFonts w:ascii="Calibri" w:eastAsia="Calibri" w:hAnsi="Calibri" w:cs="Calibri"/>
                <w:color w:val="auto"/>
                <w:sz w:val="20"/>
                <w:szCs w:val="20"/>
              </w:rPr>
              <w:t>.</w:t>
            </w:r>
          </w:p>
          <w:p w14:paraId="1527F4EC"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Number of students and faculty with at least 1-month period internships in relevant industry/ institutions</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38EBB1D7"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Meeting the milestone for developing entrepreneurship, innovation, start-up companies, and commercialization support programs</w:t>
            </w:r>
            <w:r w:rsidR="000C3721">
              <w:rPr>
                <w:rFonts w:ascii="Calibri" w:eastAsia="Times New Roman" w:hAnsi="Calibri" w:cs="Calibri"/>
                <w:color w:val="auto"/>
                <w:sz w:val="20"/>
                <w:szCs w:val="20"/>
              </w:rPr>
              <w:t>.</w:t>
            </w:r>
          </w:p>
        </w:tc>
      </w:tr>
      <w:tr w:rsidR="000C3959" w14:paraId="056ABE0F" w14:textId="77777777" w:rsidTr="009F4A64">
        <w:trPr>
          <w:trHeight w:val="141"/>
        </w:trPr>
        <w:tc>
          <w:tcPr>
            <w:tcW w:w="2900" w:type="dxa"/>
          </w:tcPr>
          <w:p w14:paraId="6A981531" w14:textId="77777777" w:rsidR="002E1A3F" w:rsidRPr="002E1A3F" w:rsidRDefault="00B00100" w:rsidP="00256EEA">
            <w:pPr>
              <w:widowControl/>
              <w:numPr>
                <w:ilvl w:val="0"/>
                <w:numId w:val="20"/>
              </w:numPr>
              <w:tabs>
                <w:tab w:val="left" w:pos="2868"/>
              </w:tabs>
              <w:autoSpaceDE/>
              <w:autoSpaceDN/>
              <w:adjustRightInd/>
              <w:rPr>
                <w:rFonts w:ascii="Calibri" w:eastAsia="Times New Roman" w:hAnsi="Calibri" w:cs="Calibri"/>
                <w:b/>
                <w:color w:val="auto"/>
                <w:sz w:val="20"/>
                <w:szCs w:val="20"/>
              </w:rPr>
            </w:pPr>
            <w:r w:rsidRPr="002E1A3F">
              <w:rPr>
                <w:rFonts w:ascii="Calibri" w:eastAsia="Times New Roman" w:hAnsi="Calibri" w:cs="Calibri"/>
                <w:b/>
                <w:color w:val="auto"/>
                <w:sz w:val="20"/>
                <w:szCs w:val="20"/>
              </w:rPr>
              <w:t xml:space="preserve">Timeliness and quality of fiduciary </w:t>
            </w:r>
            <w:r w:rsidR="000C3721">
              <w:rPr>
                <w:rFonts w:ascii="Calibri" w:eastAsia="Times New Roman" w:hAnsi="Calibri" w:cs="Calibri"/>
                <w:b/>
                <w:color w:val="auto"/>
                <w:sz w:val="20"/>
                <w:szCs w:val="20"/>
              </w:rPr>
              <w:t>management</w:t>
            </w:r>
          </w:p>
        </w:tc>
        <w:tc>
          <w:tcPr>
            <w:tcW w:w="2320" w:type="dxa"/>
          </w:tcPr>
          <w:p w14:paraId="6771DC87"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Timely withdrawal application for the period</w:t>
            </w:r>
          </w:p>
          <w:p w14:paraId="16261E2F"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Functioning audit committee</w:t>
            </w:r>
          </w:p>
          <w:p w14:paraId="4F609D35"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Functioning internal audit unit</w:t>
            </w:r>
          </w:p>
          <w:p w14:paraId="487BD391"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Web Transparency on FM</w:t>
            </w:r>
          </w:p>
          <w:p w14:paraId="51704F4C"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lastRenderedPageBreak/>
              <w:t xml:space="preserve">Timely procurement audit </w:t>
            </w:r>
          </w:p>
          <w:p w14:paraId="5C9EE67B"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Timely and satisfactory procurement progress</w:t>
            </w:r>
          </w:p>
        </w:tc>
        <w:tc>
          <w:tcPr>
            <w:tcW w:w="2610" w:type="dxa"/>
          </w:tcPr>
          <w:p w14:paraId="56FCEEA6"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lastRenderedPageBreak/>
              <w:t>Timely withdrawal application for the period</w:t>
            </w:r>
          </w:p>
          <w:p w14:paraId="405C3AB5"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 xml:space="preserve">Functioning audit committee </w:t>
            </w:r>
          </w:p>
          <w:p w14:paraId="2D451AE1"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Functioning internal audit unit</w:t>
            </w:r>
          </w:p>
          <w:p w14:paraId="4F24FD8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Web Transparency on FM</w:t>
            </w:r>
          </w:p>
          <w:p w14:paraId="591E40E9"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 xml:space="preserve">Timely procurement audit </w:t>
            </w:r>
          </w:p>
          <w:p w14:paraId="78AD1EEE"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lastRenderedPageBreak/>
              <w:t>Timely and satisfactory procurement progress</w:t>
            </w:r>
          </w:p>
        </w:tc>
        <w:tc>
          <w:tcPr>
            <w:tcW w:w="5110" w:type="dxa"/>
          </w:tcPr>
          <w:p w14:paraId="24888D12"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lastRenderedPageBreak/>
              <w:t>Timely fiduciary reporting</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2598A1B7" w14:textId="77777777" w:rsidR="002E1A3F" w:rsidRPr="002E1A3F" w:rsidRDefault="00B00100" w:rsidP="00256EEA">
            <w:pPr>
              <w:widowControl/>
              <w:numPr>
                <w:ilvl w:val="1"/>
                <w:numId w:val="21"/>
              </w:numPr>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Functional institutional oversight of fiduciary management. Functioning internal audit unit and functioning audit committee (under the university’s council)</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6B80A978" w14:textId="77777777" w:rsidR="002E1A3F" w:rsidRPr="002E1A3F" w:rsidRDefault="00B00100" w:rsidP="00256EEA">
            <w:pPr>
              <w:widowControl/>
              <w:numPr>
                <w:ilvl w:val="1"/>
                <w:numId w:val="21"/>
              </w:numPr>
              <w:tabs>
                <w:tab w:val="left" w:pos="2868"/>
              </w:tabs>
              <w:autoSpaceDE/>
              <w:autoSpaceDN/>
              <w:adjustRightInd/>
              <w:spacing w:after="100"/>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 xml:space="preserve">Transparency of ACE expenses, notably the approved budget, annual work plan, IFRs with an annex on detailed expenditures, project financial and procurement audit </w:t>
            </w:r>
            <w:r w:rsidRPr="002E1A3F">
              <w:rPr>
                <w:rFonts w:ascii="Calibri" w:eastAsia="Calibri" w:hAnsi="Calibri" w:cs="Calibri"/>
                <w:color w:val="auto"/>
                <w:sz w:val="20"/>
                <w:szCs w:val="20"/>
              </w:rPr>
              <w:lastRenderedPageBreak/>
              <w:t xml:space="preserve">reports are visibly accessible on the ACE Impact Center’s websites.  </w:t>
            </w:r>
          </w:p>
          <w:p w14:paraId="41F23F14" w14:textId="77777777" w:rsidR="002E1A3F" w:rsidRPr="002E1A3F" w:rsidRDefault="00B00100" w:rsidP="00256EEA">
            <w:pPr>
              <w:widowControl/>
              <w:numPr>
                <w:ilvl w:val="1"/>
                <w:numId w:val="21"/>
              </w:numPr>
              <w:tabs>
                <w:tab w:val="left" w:pos="2868"/>
              </w:tabs>
              <w:autoSpaceDE/>
              <w:autoSpaceDN/>
              <w:adjustRightInd/>
              <w:spacing w:after="100"/>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Quality of Procurement planning. Share of the originally approved procurement plan that was executed.</w:t>
            </w:r>
          </w:p>
        </w:tc>
      </w:tr>
      <w:tr w:rsidR="000C3959" w14:paraId="6CC1CD0D" w14:textId="77777777" w:rsidTr="009F4A64">
        <w:trPr>
          <w:trHeight w:val="1151"/>
        </w:trPr>
        <w:tc>
          <w:tcPr>
            <w:tcW w:w="2900" w:type="dxa"/>
          </w:tcPr>
          <w:p w14:paraId="6B09E61E" w14:textId="77777777" w:rsidR="002E1A3F" w:rsidRPr="002E1A3F" w:rsidRDefault="00B00100" w:rsidP="00256EEA">
            <w:pPr>
              <w:widowControl/>
              <w:numPr>
                <w:ilvl w:val="0"/>
                <w:numId w:val="20"/>
              </w:numPr>
              <w:autoSpaceDE/>
              <w:autoSpaceDN/>
              <w:adjustRightInd/>
              <w:rPr>
                <w:rFonts w:ascii="Calibri" w:eastAsia="Calibri" w:hAnsi="Calibri" w:cs="Calibri"/>
                <w:color w:val="auto"/>
                <w:sz w:val="20"/>
                <w:szCs w:val="20"/>
              </w:rPr>
            </w:pPr>
            <w:r w:rsidRPr="002E1A3F">
              <w:rPr>
                <w:rFonts w:ascii="Calibri" w:eastAsia="Times New Roman" w:hAnsi="Calibri" w:cs="Times New Roman"/>
                <w:b/>
                <w:color w:val="auto"/>
                <w:sz w:val="20"/>
                <w:szCs w:val="20"/>
              </w:rPr>
              <w:lastRenderedPageBreak/>
              <w:t xml:space="preserve">Institutional Impact </w:t>
            </w:r>
            <w:r w:rsidRPr="002E1A3F">
              <w:rPr>
                <w:rFonts w:ascii="Calibri" w:eastAsia="Times New Roman" w:hAnsi="Calibri" w:cs="Times New Roman"/>
                <w:color w:val="auto"/>
                <w:sz w:val="20"/>
                <w:szCs w:val="20"/>
              </w:rPr>
              <w:t>(to be accomplished by ACE host institution)</w:t>
            </w:r>
          </w:p>
        </w:tc>
        <w:tc>
          <w:tcPr>
            <w:tcW w:w="2320" w:type="dxa"/>
          </w:tcPr>
          <w:p w14:paraId="75CDEE3A" w14:textId="77777777" w:rsidR="002E1A3F" w:rsidRPr="002E1A3F" w:rsidRDefault="00B00100" w:rsidP="002E1A3F">
            <w:pPr>
              <w:widowControl/>
              <w:autoSpaceDE/>
              <w:autoSpaceDN/>
              <w:adjustRightInd/>
              <w:rPr>
                <w:rFonts w:ascii="Calibri" w:eastAsia="Calibri" w:hAnsi="Calibri" w:cs="Calibri"/>
                <w:color w:val="auto"/>
                <w:sz w:val="20"/>
                <w:szCs w:val="20"/>
              </w:rPr>
            </w:pPr>
            <w:r w:rsidRPr="002E1A3F">
              <w:rPr>
                <w:rFonts w:ascii="Calibri" w:eastAsia="Calibri" w:hAnsi="Calibri" w:cs="Calibri"/>
                <w:color w:val="auto"/>
                <w:sz w:val="20"/>
                <w:szCs w:val="20"/>
              </w:rPr>
              <w:t>NA</w:t>
            </w:r>
          </w:p>
        </w:tc>
        <w:tc>
          <w:tcPr>
            <w:tcW w:w="2610" w:type="dxa"/>
          </w:tcPr>
          <w:p w14:paraId="78392579"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Times New Roman" w:hAnsi="Calibri" w:cs="Calibri"/>
                <w:color w:val="auto"/>
                <w:sz w:val="20"/>
                <w:szCs w:val="20"/>
              </w:rPr>
              <w:t>Benchmarking initiative participation</w:t>
            </w:r>
          </w:p>
        </w:tc>
        <w:tc>
          <w:tcPr>
            <w:tcW w:w="5110" w:type="dxa"/>
          </w:tcPr>
          <w:p w14:paraId="435F7D48"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University- wide regional strategy</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41560368"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Open, merit-based competitive selection of the head of the university and/or the department heads related to the ACE</w:t>
            </w:r>
            <w:r w:rsidR="000C3721">
              <w:rPr>
                <w:rFonts w:ascii="Calibri" w:eastAsia="Calibri" w:hAnsi="Calibri" w:cs="Calibri"/>
                <w:color w:val="auto"/>
                <w:sz w:val="20"/>
                <w:szCs w:val="20"/>
              </w:rPr>
              <w:t>.</w:t>
            </w:r>
          </w:p>
          <w:p w14:paraId="1BCD74DD"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Institution wide international accreditation, gap assessments and self-evaluations</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34091216" w14:textId="77777777" w:rsidR="002E1A3F"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PASET Regional Benchmarking participation</w:t>
            </w:r>
            <w:r w:rsidR="000C3721">
              <w:rPr>
                <w:rFonts w:ascii="Calibri" w:eastAsia="Calibri" w:hAnsi="Calibri" w:cs="Calibri"/>
                <w:color w:val="auto"/>
                <w:sz w:val="20"/>
                <w:szCs w:val="20"/>
              </w:rPr>
              <w:t>.</w:t>
            </w:r>
            <w:r w:rsidRPr="002E1A3F">
              <w:rPr>
                <w:rFonts w:ascii="Calibri" w:eastAsia="Calibri" w:hAnsi="Calibri" w:cs="Calibri"/>
                <w:color w:val="auto"/>
                <w:sz w:val="20"/>
                <w:szCs w:val="20"/>
              </w:rPr>
              <w:t xml:space="preserve"> </w:t>
            </w:r>
          </w:p>
          <w:p w14:paraId="5B079AA0" w14:textId="77777777" w:rsid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sidRPr="002E1A3F">
              <w:rPr>
                <w:rFonts w:ascii="Calibri" w:eastAsia="Calibri" w:hAnsi="Calibri" w:cs="Calibri"/>
                <w:color w:val="auto"/>
                <w:sz w:val="20"/>
                <w:szCs w:val="20"/>
              </w:rPr>
              <w:t>Meeting milestones for promoting institutional impact</w:t>
            </w:r>
          </w:p>
          <w:p w14:paraId="4DC3D4A6" w14:textId="77777777" w:rsidR="00B244D8" w:rsidRPr="002E1A3F" w:rsidRDefault="00B00100" w:rsidP="00256EEA">
            <w:pPr>
              <w:widowControl/>
              <w:numPr>
                <w:ilvl w:val="1"/>
                <w:numId w:val="21"/>
              </w:numPr>
              <w:tabs>
                <w:tab w:val="left" w:pos="2868"/>
              </w:tabs>
              <w:autoSpaceDE/>
              <w:autoSpaceDN/>
              <w:adjustRightInd/>
              <w:ind w:left="187" w:hanging="270"/>
              <w:rPr>
                <w:rFonts w:ascii="Calibri" w:eastAsia="Calibri" w:hAnsi="Calibri" w:cs="Calibri"/>
                <w:color w:val="auto"/>
                <w:sz w:val="20"/>
                <w:szCs w:val="20"/>
              </w:rPr>
            </w:pPr>
            <w:r>
              <w:rPr>
                <w:rFonts w:ascii="Calibri" w:eastAsia="Calibri" w:hAnsi="Calibri" w:cs="Calibri"/>
                <w:color w:val="auto"/>
                <w:sz w:val="20"/>
                <w:szCs w:val="20"/>
              </w:rPr>
              <w:t xml:space="preserve">Enhanced participation in the </w:t>
            </w:r>
            <w:r w:rsidR="00E854BC">
              <w:rPr>
                <w:rFonts w:ascii="Calibri" w:eastAsia="Calibri" w:hAnsi="Calibri" w:cs="Calibri"/>
                <w:color w:val="auto"/>
                <w:sz w:val="20"/>
                <w:szCs w:val="20"/>
              </w:rPr>
              <w:t>NREN</w:t>
            </w:r>
            <w:r w:rsidR="000C3721">
              <w:rPr>
                <w:rFonts w:ascii="Calibri" w:eastAsia="Calibri" w:hAnsi="Calibri" w:cs="Calibri"/>
                <w:color w:val="auto"/>
                <w:sz w:val="20"/>
                <w:szCs w:val="20"/>
              </w:rPr>
              <w:t>.</w:t>
            </w:r>
          </w:p>
        </w:tc>
      </w:tr>
    </w:tbl>
    <w:p w14:paraId="61E46960" w14:textId="77777777" w:rsidR="002E1A3F" w:rsidRPr="002E1A3F" w:rsidRDefault="002E1A3F" w:rsidP="002E1A3F">
      <w:pPr>
        <w:tabs>
          <w:tab w:val="left" w:pos="2868"/>
        </w:tabs>
        <w:rPr>
          <w:rFonts w:eastAsia="Times New Roman"/>
        </w:rPr>
        <w:sectPr w:rsidR="002E1A3F" w:rsidRPr="002E1A3F" w:rsidSect="0037713F">
          <w:pgSz w:w="15840" w:h="12240" w:orient="landscape"/>
          <w:pgMar w:top="1080" w:right="1440" w:bottom="1440" w:left="1440" w:header="720" w:footer="720" w:gutter="0"/>
          <w:cols w:space="720"/>
          <w:docGrid w:linePitch="360"/>
        </w:sectPr>
      </w:pPr>
    </w:p>
    <w:tbl>
      <w:tblPr>
        <w:tblW w:w="9633" w:type="dxa"/>
        <w:tblInd w:w="-810" w:type="dxa"/>
        <w:shd w:val="clear" w:color="auto" w:fill="F2F7FC"/>
        <w:tblLayout w:type="fixed"/>
        <w:tblLook w:val="04A0" w:firstRow="1" w:lastRow="0" w:firstColumn="1" w:lastColumn="0" w:noHBand="0" w:noVBand="1"/>
      </w:tblPr>
      <w:tblGrid>
        <w:gridCol w:w="9633"/>
      </w:tblGrid>
      <w:tr w:rsidR="000C3959" w14:paraId="5757128B" w14:textId="77777777" w:rsidTr="009277AD">
        <w:trPr>
          <w:trHeight w:val="432"/>
        </w:trPr>
        <w:tc>
          <w:tcPr>
            <w:tcW w:w="9633" w:type="dxa"/>
            <w:shd w:val="clear" w:color="auto" w:fill="F2F7FC"/>
            <w:vAlign w:val="center"/>
          </w:tcPr>
          <w:p w14:paraId="12AB793F" w14:textId="77777777" w:rsidR="002E1A3F" w:rsidRPr="002E1A3F" w:rsidRDefault="00B00100"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437" w:name="_Toc256000158"/>
            <w:bookmarkStart w:id="438" w:name="_Toc256000129"/>
            <w:bookmarkStart w:id="439" w:name="_Toc256000099"/>
            <w:bookmarkStart w:id="440" w:name="_Toc256000067"/>
            <w:bookmarkStart w:id="441" w:name="_Toc256000036"/>
            <w:bookmarkStart w:id="442" w:name="_Toc8301942"/>
            <w:bookmarkStart w:id="443" w:name="_Toc14789364"/>
            <w:bookmarkStart w:id="444" w:name="_Toc22655931"/>
            <w:bookmarkStart w:id="445" w:name="_Toc23779857"/>
            <w:bookmarkStart w:id="446" w:name="_Toc23866073"/>
            <w:bookmarkStart w:id="447" w:name="_Toc23930684"/>
            <w:r w:rsidRPr="002E1A3F">
              <w:rPr>
                <w:rFonts w:ascii="Calibri" w:eastAsia="Times New Roman" w:hAnsi="Calibri" w:cs="Times New Roman"/>
                <w:b/>
                <w:iCs/>
                <w:color w:val="auto"/>
                <w:sz w:val="22"/>
                <w:szCs w:val="22"/>
              </w:rPr>
              <w:lastRenderedPageBreak/>
              <w:t>ANNEX 4: Strategy and Approach for Implementation Support</w:t>
            </w:r>
            <w:bookmarkEnd w:id="437"/>
            <w:bookmarkEnd w:id="438"/>
            <w:bookmarkEnd w:id="439"/>
            <w:bookmarkEnd w:id="440"/>
            <w:bookmarkEnd w:id="441"/>
            <w:bookmarkEnd w:id="442"/>
            <w:bookmarkEnd w:id="443"/>
            <w:bookmarkEnd w:id="444"/>
            <w:bookmarkEnd w:id="445"/>
            <w:bookmarkEnd w:id="446"/>
            <w:bookmarkEnd w:id="447"/>
          </w:p>
        </w:tc>
      </w:tr>
    </w:tbl>
    <w:p w14:paraId="426F423A" w14:textId="77777777" w:rsidR="002E1A3F" w:rsidRPr="002E1A3F" w:rsidRDefault="002E1A3F" w:rsidP="008E2709">
      <w:pPr>
        <w:widowControl/>
        <w:autoSpaceDE/>
        <w:autoSpaceDN/>
        <w:adjustRightInd/>
        <w:spacing w:after="120"/>
        <w:ind w:left="990"/>
        <w:contextualSpacing/>
        <w:jc w:val="both"/>
        <w:rPr>
          <w:rFonts w:ascii="Calibri" w:eastAsia="Times New Roman" w:hAnsi="Calibri" w:cs="Calibri"/>
          <w:b/>
          <w:color w:val="0070C0"/>
          <w:sz w:val="22"/>
          <w:szCs w:val="22"/>
        </w:rPr>
      </w:pPr>
    </w:p>
    <w:p w14:paraId="414C7BD8" w14:textId="77777777" w:rsidR="002E1A3F" w:rsidRPr="002E1A3F" w:rsidRDefault="00B00100" w:rsidP="008E2709">
      <w:pPr>
        <w:widowControl/>
        <w:numPr>
          <w:ilvl w:val="2"/>
          <w:numId w:val="27"/>
        </w:numPr>
        <w:autoSpaceDE/>
        <w:autoSpaceDN/>
        <w:adjustRightInd/>
        <w:spacing w:after="120"/>
        <w:ind w:left="0" w:firstLine="0"/>
        <w:contextualSpacing/>
        <w:jc w:val="both"/>
        <w:rPr>
          <w:rFonts w:ascii="Calibri" w:eastAsia="Calibri" w:hAnsi="Calibri" w:cs="Times New Roman"/>
          <w:b/>
          <w:color w:val="0070C0"/>
          <w:sz w:val="22"/>
          <w:szCs w:val="22"/>
        </w:rPr>
      </w:pPr>
      <w:r w:rsidRPr="002E1A3F">
        <w:rPr>
          <w:rFonts w:ascii="Calibri" w:eastAsia="Calibri" w:hAnsi="Calibri" w:cs="Times New Roman"/>
          <w:b/>
          <w:color w:val="0070C0"/>
          <w:sz w:val="22"/>
          <w:szCs w:val="22"/>
        </w:rPr>
        <w:t>Implementation Support Plan</w:t>
      </w:r>
    </w:p>
    <w:p w14:paraId="2E37DFF7" w14:textId="77777777" w:rsidR="002E1A3F" w:rsidRPr="002E1A3F" w:rsidRDefault="002E1A3F" w:rsidP="008E2709">
      <w:pPr>
        <w:widowControl/>
        <w:autoSpaceDE/>
        <w:autoSpaceDN/>
        <w:adjustRightInd/>
        <w:spacing w:after="120"/>
        <w:ind w:left="90"/>
        <w:contextualSpacing/>
        <w:jc w:val="both"/>
        <w:rPr>
          <w:rFonts w:ascii="Calibri" w:eastAsia="Calibri" w:hAnsi="Calibri" w:cs="Times New Roman"/>
          <w:b/>
          <w:color w:val="0070C0"/>
          <w:sz w:val="22"/>
          <w:szCs w:val="22"/>
        </w:rPr>
      </w:pPr>
    </w:p>
    <w:p w14:paraId="3097E00C" w14:textId="77777777" w:rsidR="002E1A3F" w:rsidRPr="002E1A3F" w:rsidRDefault="00B00100" w:rsidP="008E2709">
      <w:pPr>
        <w:widowControl/>
        <w:numPr>
          <w:ilvl w:val="0"/>
          <w:numId w:val="19"/>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The strategy for implementation support has been developed based on the nature of the project and its risk profile.</w:t>
      </w:r>
      <w:r w:rsidRPr="002E1A3F">
        <w:rPr>
          <w:rFonts w:ascii="Calibri" w:eastAsia="Calibri" w:hAnsi="Calibri" w:cs="Times New Roman"/>
          <w:color w:val="auto"/>
          <w:sz w:val="22"/>
          <w:szCs w:val="22"/>
        </w:rPr>
        <w:t xml:space="preserve"> The strategy aims to make implementation support to the client flexible and efficient. It focuses mainly on implementation of the risk mitigation measures. The World Bank’s approach to implementation support strongly emphasizes open and regular communication with all actors directly involved in the project (such as the selected centers, the NSC, the PSC, RFU and co-funders), constant information exchange, and adequate flexibility to accommodate the specificities of each of the participating countries. During project preparation, the team aimed to develop communication channels, informal links, and to build trust with all stakeholders.</w:t>
      </w:r>
    </w:p>
    <w:p w14:paraId="4D7AF39E" w14:textId="77777777" w:rsidR="002E1A3F" w:rsidRPr="002E1A3F" w:rsidRDefault="00B00100" w:rsidP="008E2709">
      <w:pPr>
        <w:widowControl/>
        <w:numPr>
          <w:ilvl w:val="0"/>
          <w:numId w:val="19"/>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The strategy is based on several mechanisms that will enable enhanced implementation support to the governments and timely and effective monitoring. Implementation support will comprise: joint review missions; regular technical meetings and field visits by the World Bank between the formal joint review missions; and internal audit and FM reporting.</w:t>
      </w:r>
    </w:p>
    <w:p w14:paraId="00E0C447"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Weekly collaboration with the AAU team</w:t>
      </w:r>
      <w:r w:rsidRPr="002E1A3F">
        <w:rPr>
          <w:rFonts w:ascii="Calibri" w:eastAsia="Calibri" w:hAnsi="Calibri" w:cs="Times New Roman"/>
          <w:color w:val="auto"/>
          <w:sz w:val="22"/>
          <w:szCs w:val="22"/>
        </w:rPr>
        <w:t xml:space="preserve"> to strengthen common project implementation support and supervision tools, notably support and generic templates that the universities can use for implementation, monitoring and oversight. This </w:t>
      </w:r>
      <w:r w:rsidR="00A4705B">
        <w:rPr>
          <w:rFonts w:ascii="Calibri" w:eastAsia="Calibri" w:hAnsi="Calibri" w:cs="Times New Roman"/>
          <w:color w:val="auto"/>
          <w:sz w:val="22"/>
          <w:szCs w:val="22"/>
        </w:rPr>
        <w:t>will</w:t>
      </w:r>
      <w:r w:rsidR="00A4705B" w:rsidRPr="002E1A3F">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 xml:space="preserve">always be undertaken in collaboration with the </w:t>
      </w:r>
      <w:r w:rsidR="007D4012">
        <w:rPr>
          <w:rFonts w:ascii="Calibri" w:eastAsia="Calibri" w:hAnsi="Calibri" w:cs="Times New Roman"/>
          <w:color w:val="auto"/>
          <w:sz w:val="22"/>
          <w:szCs w:val="22"/>
        </w:rPr>
        <w:t>center</w:t>
      </w:r>
      <w:r w:rsidR="007D4012" w:rsidRPr="002E1A3F">
        <w:rPr>
          <w:rFonts w:ascii="Calibri" w:eastAsia="Calibri" w:hAnsi="Calibri" w:cs="Times New Roman"/>
          <w:color w:val="auto"/>
          <w:sz w:val="22"/>
          <w:szCs w:val="22"/>
        </w:rPr>
        <w:t xml:space="preserve">s </w:t>
      </w:r>
      <w:r w:rsidRPr="002E1A3F">
        <w:rPr>
          <w:rFonts w:ascii="Calibri" w:eastAsia="Calibri" w:hAnsi="Calibri" w:cs="Times New Roman"/>
          <w:color w:val="auto"/>
          <w:sz w:val="22"/>
          <w:szCs w:val="22"/>
        </w:rPr>
        <w:t xml:space="preserve">and PSC involvement in important matters. This </w:t>
      </w:r>
      <w:r w:rsidR="00A4705B">
        <w:rPr>
          <w:rFonts w:ascii="Calibri" w:eastAsia="Calibri" w:hAnsi="Calibri" w:cs="Times New Roman"/>
          <w:color w:val="auto"/>
          <w:sz w:val="22"/>
          <w:szCs w:val="22"/>
        </w:rPr>
        <w:t>will</w:t>
      </w:r>
      <w:r w:rsidR="00A4705B" w:rsidRPr="002E1A3F">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in particular support development of ToRs, template/methods for implementation support, include ToRs and coordination with partners for capacity building, and supervision tools, including third-party monitoring for the verification of DLIs, institutional audit committee, procurement reports, etc.</w:t>
      </w:r>
    </w:p>
    <w:p w14:paraId="49D67D08"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Joint Review Missions</w:t>
      </w:r>
      <w:r w:rsidRPr="002E1A3F">
        <w:rPr>
          <w:rFonts w:ascii="Calibri" w:eastAsia="Calibri" w:hAnsi="Calibri" w:cs="Times New Roman"/>
          <w:color w:val="auto"/>
          <w:sz w:val="22"/>
          <w:szCs w:val="22"/>
        </w:rPr>
        <w:t xml:space="preserve"> where all main stakeholders, including all </w:t>
      </w:r>
      <w:r w:rsidR="003F42DE">
        <w:rPr>
          <w:rFonts w:ascii="Calibri" w:eastAsia="Calibri" w:hAnsi="Calibri" w:cs="Times New Roman"/>
          <w:color w:val="auto"/>
          <w:sz w:val="22"/>
          <w:szCs w:val="22"/>
        </w:rPr>
        <w:t xml:space="preserve">First and </w:t>
      </w:r>
      <w:r w:rsidRPr="002E1A3F">
        <w:rPr>
          <w:rFonts w:ascii="Calibri" w:eastAsia="Calibri" w:hAnsi="Calibri" w:cs="Times New Roman"/>
          <w:color w:val="auto"/>
          <w:sz w:val="22"/>
          <w:szCs w:val="22"/>
        </w:rPr>
        <w:t xml:space="preserve">Second ACE Impact centers and PSC members meet to review and discuss progress, based on M&amp;E reports, AAU aggregated reports, and other supervision material. This is a key opportunity for peer learning and comparison of progress and identification of common challenges. This is expected to take place twice a year. These missions will include visit to selected </w:t>
      </w:r>
      <w:r w:rsidR="006C4A03">
        <w:rPr>
          <w:rFonts w:ascii="Calibri" w:eastAsia="Calibri" w:hAnsi="Calibri" w:cs="Times New Roman"/>
          <w:color w:val="auto"/>
          <w:sz w:val="22"/>
          <w:szCs w:val="22"/>
        </w:rPr>
        <w:t>center</w:t>
      </w:r>
      <w:r w:rsidRPr="002E1A3F">
        <w:rPr>
          <w:rFonts w:ascii="Calibri" w:eastAsia="Calibri" w:hAnsi="Calibri" w:cs="Times New Roman"/>
          <w:color w:val="auto"/>
          <w:sz w:val="22"/>
          <w:szCs w:val="22"/>
        </w:rPr>
        <w:t>s.</w:t>
      </w:r>
    </w:p>
    <w:p w14:paraId="44878050"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AAU reporting and capacity building</w:t>
      </w:r>
      <w:r w:rsidRPr="002E1A3F">
        <w:rPr>
          <w:rFonts w:ascii="Calibri" w:eastAsia="Calibri" w:hAnsi="Calibri" w:cs="Times New Roman"/>
          <w:color w:val="auto"/>
          <w:sz w:val="22"/>
          <w:szCs w:val="22"/>
        </w:rPr>
        <w:t xml:space="preserve">. Reporting on the centers based on the </w:t>
      </w:r>
      <w:r w:rsidR="00CF496A">
        <w:rPr>
          <w:rFonts w:ascii="Calibri" w:eastAsia="Calibri" w:hAnsi="Calibri" w:cs="Times New Roman"/>
          <w:color w:val="auto"/>
          <w:sz w:val="22"/>
          <w:szCs w:val="22"/>
        </w:rPr>
        <w:t>PFAs</w:t>
      </w:r>
      <w:r w:rsidRPr="002E1A3F">
        <w:rPr>
          <w:rFonts w:ascii="Calibri" w:eastAsia="Calibri" w:hAnsi="Calibri" w:cs="Times New Roman"/>
          <w:color w:val="auto"/>
          <w:sz w:val="22"/>
          <w:szCs w:val="22"/>
        </w:rPr>
        <w:t>; and internal audit</w:t>
      </w:r>
      <w:r w:rsidR="00273887">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FM </w:t>
      </w:r>
      <w:r w:rsidR="00273887">
        <w:rPr>
          <w:rFonts w:ascii="Calibri" w:eastAsia="Calibri" w:hAnsi="Calibri" w:cs="Times New Roman"/>
          <w:color w:val="auto"/>
          <w:sz w:val="22"/>
          <w:szCs w:val="22"/>
        </w:rPr>
        <w:t xml:space="preserve">and safeguards </w:t>
      </w:r>
      <w:r w:rsidRPr="002E1A3F">
        <w:rPr>
          <w:rFonts w:ascii="Calibri" w:eastAsia="Calibri" w:hAnsi="Calibri" w:cs="Times New Roman"/>
          <w:color w:val="auto"/>
          <w:sz w:val="22"/>
          <w:szCs w:val="22"/>
        </w:rPr>
        <w:t>reports.</w:t>
      </w:r>
    </w:p>
    <w:p w14:paraId="1D524B4A"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Use of external academic and business advisors and evaluators</w:t>
      </w:r>
      <w:r w:rsidRPr="002E1A3F">
        <w:rPr>
          <w:rFonts w:ascii="Calibri" w:eastAsia="Calibri" w:hAnsi="Calibri" w:cs="Times New Roman"/>
          <w:color w:val="auto"/>
          <w:sz w:val="22"/>
          <w:szCs w:val="22"/>
        </w:rPr>
        <w:t>. To the extent possible and funds permitting, the AAU and the World Bank will seek to work with international partners as has been the case in ACE I.</w:t>
      </w:r>
    </w:p>
    <w:p w14:paraId="791F21A2"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Country and </w:t>
      </w:r>
      <w:r w:rsidR="006C4A03">
        <w:rPr>
          <w:rFonts w:ascii="Calibri" w:eastAsia="Calibri" w:hAnsi="Calibri" w:cs="Times New Roman"/>
          <w:b/>
          <w:color w:val="auto"/>
          <w:sz w:val="22"/>
          <w:szCs w:val="22"/>
        </w:rPr>
        <w:t>center</w:t>
      </w:r>
      <w:r w:rsidRPr="002E1A3F">
        <w:rPr>
          <w:rFonts w:ascii="Calibri" w:eastAsia="Calibri" w:hAnsi="Calibri" w:cs="Times New Roman"/>
          <w:b/>
          <w:color w:val="auto"/>
          <w:sz w:val="22"/>
          <w:szCs w:val="22"/>
        </w:rPr>
        <w:t xml:space="preserve"> specific interventions by the team, most often by the country-office based World Bank staff.</w:t>
      </w:r>
      <w:r w:rsidRPr="002E1A3F">
        <w:rPr>
          <w:rFonts w:ascii="Calibri" w:eastAsia="Calibri" w:hAnsi="Calibri" w:cs="Times New Roman"/>
          <w:color w:val="auto"/>
          <w:sz w:val="22"/>
          <w:szCs w:val="22"/>
        </w:rPr>
        <w:t xml:space="preserve"> This will be necessary when requests from the RFU are not met, procedures in the project-level operational are not followed, or to facilitate important coordination between partners. This could be the case for addressing fiduciary issues, for example. Such country interventions will be coordinated with the governmental agency responsible for the project or with the NSC.</w:t>
      </w:r>
    </w:p>
    <w:p w14:paraId="3A5A3631" w14:textId="77777777" w:rsidR="002E1A3F" w:rsidRPr="002E1A3F" w:rsidRDefault="00B00100" w:rsidP="008E2709">
      <w:pPr>
        <w:widowControl/>
        <w:numPr>
          <w:ilvl w:val="0"/>
          <w:numId w:val="34"/>
        </w:numPr>
        <w:tabs>
          <w:tab w:val="left" w:pos="0"/>
          <w:tab w:val="left" w:pos="1080"/>
        </w:tabs>
        <w:autoSpaceDE/>
        <w:autoSpaceDN/>
        <w:adjustRightInd/>
        <w:spacing w:after="120"/>
        <w:ind w:left="1080"/>
        <w:jc w:val="both"/>
        <w:rPr>
          <w:rFonts w:ascii="Calibri" w:eastAsia="Calibri" w:hAnsi="Calibri" w:cs="Times New Roman"/>
          <w:color w:val="auto"/>
          <w:sz w:val="22"/>
          <w:szCs w:val="22"/>
          <w:u w:val="single"/>
        </w:rPr>
      </w:pPr>
      <w:r w:rsidRPr="002E1A3F">
        <w:rPr>
          <w:rFonts w:ascii="Calibri" w:eastAsia="Calibri" w:hAnsi="Calibri" w:cs="Times New Roman"/>
          <w:b/>
          <w:color w:val="auto"/>
          <w:sz w:val="22"/>
          <w:szCs w:val="22"/>
        </w:rPr>
        <w:lastRenderedPageBreak/>
        <w:t>A</w:t>
      </w:r>
      <w:r w:rsidR="00C056FE">
        <w:rPr>
          <w:rFonts w:ascii="Calibri" w:eastAsia="Calibri" w:hAnsi="Calibri" w:cs="Times New Roman"/>
          <w:b/>
          <w:color w:val="auto"/>
          <w:sz w:val="22"/>
          <w:szCs w:val="22"/>
        </w:rPr>
        <w:t>n</w:t>
      </w:r>
      <w:r w:rsidRPr="002E1A3F">
        <w:rPr>
          <w:rFonts w:ascii="Calibri" w:eastAsia="Calibri" w:hAnsi="Calibri" w:cs="Times New Roman"/>
          <w:b/>
          <w:color w:val="auto"/>
          <w:sz w:val="22"/>
          <w:szCs w:val="22"/>
        </w:rPr>
        <w:t xml:space="preserve"> MTR for the proposed project is scheduled for June 2021.</w:t>
      </w:r>
      <w:r w:rsidRPr="002E1A3F">
        <w:rPr>
          <w:rFonts w:ascii="Calibri" w:eastAsia="Calibri" w:hAnsi="Calibri" w:cs="Times New Roman"/>
          <w:color w:val="auto"/>
          <w:sz w:val="22"/>
          <w:szCs w:val="22"/>
        </w:rPr>
        <w:t xml:space="preserve"> The objective of the MTR will be to review the progress of the project implementation and results. The MTR will also undertake a comprehensive review of the DLI framework for all the </w:t>
      </w:r>
      <w:r w:rsidR="001D094F">
        <w:rPr>
          <w:rFonts w:ascii="Calibri" w:eastAsia="Calibri" w:hAnsi="Calibri" w:cs="Times New Roman"/>
          <w:color w:val="auto"/>
          <w:sz w:val="22"/>
          <w:szCs w:val="22"/>
        </w:rPr>
        <w:t>centers</w:t>
      </w:r>
      <w:r w:rsidRPr="002E1A3F">
        <w:rPr>
          <w:rFonts w:ascii="Calibri" w:eastAsia="Calibri" w:hAnsi="Calibri" w:cs="Times New Roman"/>
          <w:color w:val="auto"/>
          <w:sz w:val="22"/>
          <w:szCs w:val="22"/>
        </w:rPr>
        <w:t xml:space="preserve"> and adjust the DLIs and implementation arrangements for the project</w:t>
      </w:r>
      <w:r w:rsidR="00C056FE">
        <w:rPr>
          <w:rFonts w:ascii="Calibri" w:eastAsia="Calibri" w:hAnsi="Calibri" w:cs="Times New Roman"/>
          <w:color w:val="auto"/>
          <w:sz w:val="22"/>
          <w:szCs w:val="22"/>
        </w:rPr>
        <w:t xml:space="preserve">, </w:t>
      </w:r>
      <w:r w:rsidR="00C056FE" w:rsidRPr="002E1A3F">
        <w:rPr>
          <w:rFonts w:ascii="Calibri" w:eastAsia="Calibri" w:hAnsi="Calibri" w:cs="Times New Roman"/>
          <w:color w:val="auto"/>
          <w:sz w:val="22"/>
          <w:szCs w:val="22"/>
        </w:rPr>
        <w:t>if needed</w:t>
      </w:r>
      <w:r w:rsidRPr="002E1A3F">
        <w:rPr>
          <w:rFonts w:ascii="Calibri" w:eastAsia="Calibri" w:hAnsi="Calibri" w:cs="Times New Roman"/>
          <w:color w:val="auto"/>
          <w:sz w:val="22"/>
          <w:szCs w:val="22"/>
        </w:rPr>
        <w:t>.</w:t>
      </w:r>
    </w:p>
    <w:p w14:paraId="31DDD6D6" w14:textId="77777777" w:rsidR="002E1A3F" w:rsidRPr="002E1A3F" w:rsidRDefault="00B00100" w:rsidP="008E2709">
      <w:pPr>
        <w:widowControl/>
        <w:numPr>
          <w:ilvl w:val="2"/>
          <w:numId w:val="27"/>
        </w:numPr>
        <w:autoSpaceDE/>
        <w:autoSpaceDN/>
        <w:adjustRightInd/>
        <w:spacing w:after="160"/>
        <w:ind w:left="0" w:firstLine="0"/>
        <w:jc w:val="both"/>
        <w:rPr>
          <w:rFonts w:ascii="Calibri" w:eastAsia="Calibri" w:hAnsi="Calibri" w:cs="Times New Roman"/>
          <w:b/>
          <w:color w:val="0070C0"/>
          <w:sz w:val="22"/>
          <w:szCs w:val="22"/>
        </w:rPr>
      </w:pPr>
      <w:r w:rsidRPr="002E1A3F">
        <w:rPr>
          <w:rFonts w:ascii="Calibri" w:eastAsia="Calibri" w:hAnsi="Calibri" w:cs="Times New Roman"/>
          <w:b/>
          <w:color w:val="0070C0"/>
          <w:sz w:val="22"/>
          <w:szCs w:val="22"/>
        </w:rPr>
        <w:t xml:space="preserve">Detailed </w:t>
      </w:r>
      <w:r w:rsidR="000C3721">
        <w:rPr>
          <w:rFonts w:ascii="Calibri" w:eastAsia="Calibri" w:hAnsi="Calibri" w:cs="Times New Roman"/>
          <w:b/>
          <w:color w:val="0070C0"/>
          <w:sz w:val="22"/>
          <w:szCs w:val="22"/>
        </w:rPr>
        <w:t>L</w:t>
      </w:r>
      <w:r w:rsidRPr="002E1A3F">
        <w:rPr>
          <w:rFonts w:ascii="Calibri" w:eastAsia="Calibri" w:hAnsi="Calibri" w:cs="Times New Roman"/>
          <w:b/>
          <w:color w:val="0070C0"/>
          <w:sz w:val="22"/>
          <w:szCs w:val="22"/>
        </w:rPr>
        <w:t xml:space="preserve">essons from </w:t>
      </w:r>
      <w:r w:rsidR="00BB4A89">
        <w:rPr>
          <w:rFonts w:ascii="Calibri" w:eastAsia="Calibri" w:hAnsi="Calibri" w:cs="Times New Roman"/>
          <w:b/>
          <w:color w:val="0070C0"/>
          <w:sz w:val="22"/>
          <w:szCs w:val="22"/>
        </w:rPr>
        <w:t xml:space="preserve">the </w:t>
      </w:r>
      <w:r w:rsidRPr="002E1A3F">
        <w:rPr>
          <w:rFonts w:ascii="Calibri" w:eastAsia="Calibri" w:hAnsi="Calibri" w:cs="Times New Roman"/>
          <w:b/>
          <w:color w:val="0070C0"/>
          <w:sz w:val="22"/>
          <w:szCs w:val="22"/>
        </w:rPr>
        <w:t xml:space="preserve">ACE I </w:t>
      </w:r>
      <w:r w:rsidR="00BB4A89">
        <w:rPr>
          <w:rFonts w:ascii="Calibri" w:eastAsia="Calibri" w:hAnsi="Calibri" w:cs="Times New Roman"/>
          <w:b/>
          <w:color w:val="0070C0"/>
          <w:sz w:val="22"/>
          <w:szCs w:val="22"/>
        </w:rPr>
        <w:t xml:space="preserve">Project </w:t>
      </w:r>
      <w:r w:rsidRPr="002E1A3F">
        <w:rPr>
          <w:rFonts w:ascii="Calibri" w:eastAsia="Calibri" w:hAnsi="Calibri" w:cs="Times New Roman"/>
          <w:b/>
          <w:color w:val="0070C0"/>
          <w:sz w:val="22"/>
          <w:szCs w:val="22"/>
        </w:rPr>
        <w:t xml:space="preserve">on Implementation Support  </w:t>
      </w:r>
    </w:p>
    <w:p w14:paraId="26878BD6" w14:textId="77777777" w:rsidR="002E1A3F" w:rsidRPr="002E1A3F" w:rsidRDefault="00B00100" w:rsidP="008E2709">
      <w:pPr>
        <w:widowControl/>
        <w:numPr>
          <w:ilvl w:val="0"/>
          <w:numId w:val="19"/>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The </w:t>
      </w:r>
      <w:r w:rsidR="00BB4A89">
        <w:rPr>
          <w:rFonts w:ascii="Calibri" w:eastAsia="Calibri" w:hAnsi="Calibri" w:cs="Times New Roman"/>
          <w:b/>
          <w:color w:val="auto"/>
          <w:sz w:val="22"/>
          <w:szCs w:val="22"/>
        </w:rPr>
        <w:t>ACE I Project</w:t>
      </w:r>
      <w:r w:rsidRPr="002E1A3F">
        <w:rPr>
          <w:rFonts w:ascii="Calibri" w:eastAsia="Calibri" w:hAnsi="Calibri" w:cs="Times New Roman"/>
          <w:b/>
          <w:color w:val="auto"/>
          <w:sz w:val="22"/>
          <w:szCs w:val="22"/>
        </w:rPr>
        <w:t xml:space="preserve"> is the first regional </w:t>
      </w:r>
      <w:r w:rsidR="00C056FE">
        <w:rPr>
          <w:rFonts w:ascii="Calibri" w:eastAsia="Calibri" w:hAnsi="Calibri" w:cs="Times New Roman"/>
          <w:b/>
          <w:color w:val="auto"/>
          <w:sz w:val="22"/>
          <w:szCs w:val="22"/>
        </w:rPr>
        <w:t xml:space="preserve">RBF </w:t>
      </w:r>
      <w:r w:rsidRPr="002E1A3F">
        <w:rPr>
          <w:rFonts w:ascii="Calibri" w:eastAsia="Calibri" w:hAnsi="Calibri" w:cs="Times New Roman"/>
          <w:b/>
          <w:color w:val="auto"/>
          <w:sz w:val="22"/>
          <w:szCs w:val="22"/>
        </w:rPr>
        <w:t>project and the first World Bank-funded project utilizing RBF for universities</w:t>
      </w:r>
      <w:r w:rsidRPr="002E1A3F">
        <w:rPr>
          <w:rFonts w:ascii="Calibri" w:eastAsia="Calibri" w:hAnsi="Calibri" w:cs="Times New Roman"/>
          <w:color w:val="auto"/>
          <w:sz w:val="22"/>
          <w:szCs w:val="22"/>
        </w:rPr>
        <w:t xml:space="preserve">. Despite the steep learning curve, ACE I is currently </w:t>
      </w:r>
      <w:r w:rsidR="0049264D">
        <w:rPr>
          <w:rFonts w:ascii="Calibri" w:eastAsia="Calibri" w:hAnsi="Calibri" w:cs="Times New Roman"/>
          <w:color w:val="auto"/>
          <w:sz w:val="22"/>
          <w:szCs w:val="22"/>
        </w:rPr>
        <w:t xml:space="preserve">one of </w:t>
      </w:r>
      <w:r w:rsidRPr="002E1A3F">
        <w:rPr>
          <w:rFonts w:ascii="Calibri" w:eastAsia="Calibri" w:hAnsi="Calibri" w:cs="Times New Roman"/>
          <w:color w:val="auto"/>
          <w:sz w:val="22"/>
          <w:szCs w:val="22"/>
        </w:rPr>
        <w:t>the top disbursing project</w:t>
      </w:r>
      <w:r w:rsidR="0049264D">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w:t>
      </w:r>
      <w:r w:rsidR="00C34FA1">
        <w:rPr>
          <w:rFonts w:ascii="Calibri" w:eastAsia="Calibri" w:hAnsi="Calibri" w:cs="Times New Roman"/>
          <w:color w:val="auto"/>
          <w:sz w:val="22"/>
          <w:szCs w:val="22"/>
        </w:rPr>
        <w:t>of</w:t>
      </w:r>
      <w:r w:rsidRPr="002E1A3F">
        <w:rPr>
          <w:rFonts w:ascii="Calibri" w:eastAsia="Calibri" w:hAnsi="Calibri" w:cs="Times New Roman"/>
          <w:color w:val="auto"/>
          <w:sz w:val="22"/>
          <w:szCs w:val="22"/>
        </w:rPr>
        <w:t xml:space="preserve"> the regional integration portfolio, with a </w:t>
      </w:r>
      <w:r w:rsidR="00AF1CD2">
        <w:rPr>
          <w:rFonts w:ascii="Calibri" w:eastAsia="Calibri" w:hAnsi="Calibri" w:cs="Times New Roman"/>
          <w:color w:val="auto"/>
          <w:sz w:val="22"/>
          <w:szCs w:val="22"/>
        </w:rPr>
        <w:t>86</w:t>
      </w:r>
      <w:r w:rsidRPr="002E1A3F">
        <w:rPr>
          <w:rFonts w:ascii="Calibri" w:eastAsia="Calibri" w:hAnsi="Calibri" w:cs="Times New Roman"/>
          <w:color w:val="auto"/>
          <w:sz w:val="22"/>
          <w:szCs w:val="22"/>
        </w:rPr>
        <w:t xml:space="preserve"> percent disbursement rate (as of </w:t>
      </w:r>
      <w:r w:rsidR="00AF1CD2">
        <w:rPr>
          <w:rFonts w:ascii="Calibri" w:eastAsia="Calibri" w:hAnsi="Calibri" w:cs="Times New Roman"/>
          <w:color w:val="auto"/>
          <w:sz w:val="22"/>
          <w:szCs w:val="22"/>
        </w:rPr>
        <w:t>September</w:t>
      </w:r>
      <w:r w:rsidRPr="002E1A3F">
        <w:rPr>
          <w:rFonts w:ascii="Calibri" w:eastAsia="Calibri" w:hAnsi="Calibri" w:cs="Times New Roman"/>
          <w:color w:val="auto"/>
          <w:sz w:val="22"/>
          <w:szCs w:val="22"/>
        </w:rPr>
        <w:t xml:space="preserve"> 2019) and in four years has delivered key results (see Box 1-in main text- on </w:t>
      </w:r>
      <w:r w:rsidR="00BB4A89">
        <w:rPr>
          <w:rFonts w:ascii="Calibri" w:eastAsia="Calibri" w:hAnsi="Calibri" w:cs="Times New Roman"/>
          <w:color w:val="auto"/>
          <w:sz w:val="22"/>
          <w:szCs w:val="22"/>
        </w:rPr>
        <w:t>ACE I Project</w:t>
      </w:r>
      <w:r w:rsidRPr="002E1A3F">
        <w:rPr>
          <w:rFonts w:ascii="Calibri" w:eastAsia="Calibri" w:hAnsi="Calibri" w:cs="Times New Roman"/>
          <w:color w:val="auto"/>
          <w:sz w:val="22"/>
          <w:szCs w:val="22"/>
        </w:rPr>
        <w:t xml:space="preserve"> achievements).  A key factor of this success has been the effective technical and operational implementation support provided by the governments, </w:t>
      </w:r>
      <w:r w:rsidR="00C056FE">
        <w:rPr>
          <w:rFonts w:ascii="Calibri" w:eastAsia="Calibri" w:hAnsi="Calibri" w:cs="Times New Roman"/>
          <w:color w:val="auto"/>
          <w:sz w:val="22"/>
          <w:szCs w:val="22"/>
        </w:rPr>
        <w:t>RFU</w:t>
      </w:r>
      <w:r w:rsidRPr="002E1A3F">
        <w:rPr>
          <w:rFonts w:ascii="Calibri" w:eastAsia="Calibri" w:hAnsi="Calibri" w:cs="Times New Roman"/>
          <w:color w:val="auto"/>
          <w:sz w:val="22"/>
          <w:szCs w:val="22"/>
        </w:rPr>
        <w:t xml:space="preserve"> (AAU) and the well-structured World Bank regional and country teams.  The current </w:t>
      </w:r>
      <w:r w:rsidR="00BB4A89">
        <w:rPr>
          <w:rFonts w:ascii="Calibri" w:eastAsia="Calibri" w:hAnsi="Calibri" w:cs="Times New Roman"/>
          <w:color w:val="auto"/>
          <w:sz w:val="22"/>
          <w:szCs w:val="22"/>
        </w:rPr>
        <w:t>ACE I Project</w:t>
      </w:r>
      <w:r w:rsidRPr="002E1A3F">
        <w:rPr>
          <w:rFonts w:ascii="Calibri" w:eastAsia="Calibri" w:hAnsi="Calibri" w:cs="Times New Roman"/>
          <w:color w:val="auto"/>
          <w:sz w:val="22"/>
          <w:szCs w:val="22"/>
        </w:rPr>
        <w:t xml:space="preserve"> implementation arrangements can be scaled up to continue the effective implementation support and supervision currently in</w:t>
      </w:r>
      <w:r w:rsidR="00CC2C9B">
        <w:rPr>
          <w:rFonts w:ascii="Calibri" w:eastAsia="Calibri" w:hAnsi="Calibri" w:cs="Times New Roman"/>
          <w:color w:val="auto"/>
          <w:sz w:val="22"/>
          <w:szCs w:val="22"/>
        </w:rPr>
        <w:t xml:space="preserve"> </w:t>
      </w:r>
      <w:r w:rsidRPr="002E1A3F">
        <w:rPr>
          <w:rFonts w:ascii="Calibri" w:eastAsia="Calibri" w:hAnsi="Calibri" w:cs="Times New Roman"/>
          <w:color w:val="auto"/>
          <w:sz w:val="22"/>
          <w:szCs w:val="22"/>
        </w:rPr>
        <w:t xml:space="preserve">place for the ACE I centers. </w:t>
      </w:r>
    </w:p>
    <w:p w14:paraId="390C5E25" w14:textId="77777777" w:rsidR="002E1A3F" w:rsidRPr="002E1A3F" w:rsidRDefault="00B00100" w:rsidP="008E2709">
      <w:pPr>
        <w:widowControl/>
        <w:numPr>
          <w:ilvl w:val="0"/>
          <w:numId w:val="19"/>
        </w:numPr>
        <w:tabs>
          <w:tab w:val="left" w:pos="720"/>
          <w:tab w:val="left" w:pos="773"/>
        </w:tabs>
        <w:autoSpaceDE/>
        <w:autoSpaceDN/>
        <w:adjustRightInd/>
        <w:spacing w:after="240"/>
        <w:ind w:left="86" w:firstLine="0"/>
        <w:jc w:val="both"/>
        <w:rPr>
          <w:rFonts w:ascii="Calibri" w:eastAsia="Calibri" w:hAnsi="Calibri" w:cs="Times New Roman"/>
          <w:b/>
          <w:color w:val="auto"/>
          <w:sz w:val="22"/>
          <w:szCs w:val="22"/>
        </w:rPr>
      </w:pPr>
      <w:r w:rsidRPr="002E1A3F">
        <w:rPr>
          <w:rFonts w:ascii="Calibri" w:eastAsia="Calibri" w:hAnsi="Calibri" w:cs="Times New Roman"/>
          <w:b/>
          <w:color w:val="auto"/>
          <w:sz w:val="22"/>
          <w:szCs w:val="22"/>
        </w:rPr>
        <w:t xml:space="preserve">Key elements of the </w:t>
      </w:r>
      <w:r w:rsidR="00BB4A89">
        <w:rPr>
          <w:rFonts w:ascii="Calibri" w:eastAsia="Calibri" w:hAnsi="Calibri" w:cs="Times New Roman"/>
          <w:b/>
          <w:color w:val="auto"/>
          <w:sz w:val="22"/>
          <w:szCs w:val="22"/>
        </w:rPr>
        <w:t>ACE I Project</w:t>
      </w:r>
      <w:r w:rsidRPr="002E1A3F">
        <w:rPr>
          <w:rFonts w:ascii="Calibri" w:eastAsia="Calibri" w:hAnsi="Calibri" w:cs="Times New Roman"/>
          <w:b/>
          <w:color w:val="auto"/>
          <w:sz w:val="22"/>
          <w:szCs w:val="22"/>
        </w:rPr>
        <w:t xml:space="preserve"> implementation working arrangements include the following: </w:t>
      </w:r>
    </w:p>
    <w:p w14:paraId="2A847D45"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Once selected, each ACE I center was responsible for implementation of its own proposal.</w:t>
      </w:r>
      <w:r w:rsidRPr="002E1A3F">
        <w:rPr>
          <w:rFonts w:ascii="Calibri" w:eastAsia="Calibri" w:hAnsi="Calibri" w:cs="Times New Roman"/>
          <w:color w:val="auto"/>
          <w:sz w:val="22"/>
          <w:szCs w:val="22"/>
        </w:rPr>
        <w:t xml:space="preserve"> The regional competitive approach allowed for committed and dynamic teams to be selected which generated interest on the part of universities to successfully deliver their proposals. Project implementation has shown that in instances where implementation challenges were encountered, the common denominators across the centers were weak governance and project management arrangements. Thus, a key part of good implementation is ensuring the right team</w:t>
      </w:r>
      <w:r w:rsidR="00CC2C9B">
        <w:rPr>
          <w:rFonts w:ascii="Calibri" w:eastAsia="Calibri" w:hAnsi="Calibri" w:cs="Times New Roman"/>
          <w:color w:val="auto"/>
          <w:sz w:val="22"/>
          <w:szCs w:val="22"/>
        </w:rPr>
        <w:t>s</w:t>
      </w:r>
      <w:r w:rsidRPr="002E1A3F">
        <w:rPr>
          <w:rFonts w:ascii="Calibri" w:eastAsia="Calibri" w:hAnsi="Calibri" w:cs="Times New Roman"/>
          <w:color w:val="auto"/>
          <w:sz w:val="22"/>
          <w:szCs w:val="22"/>
        </w:rPr>
        <w:t xml:space="preserve"> are selected and supported. </w:t>
      </w:r>
    </w:p>
    <w:p w14:paraId="37C69303"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The AAU through an RFU grant has provided extensive technical and</w:t>
      </w:r>
      <w:r w:rsidRPr="002E1A3F">
        <w:rPr>
          <w:rFonts w:ascii="Calibri" w:eastAsia="Calibri" w:hAnsi="Calibri" w:cs="Times New Roman"/>
          <w:i/>
          <w:color w:val="auto"/>
          <w:sz w:val="22"/>
          <w:szCs w:val="22"/>
        </w:rPr>
        <w:t xml:space="preserve"> </w:t>
      </w:r>
      <w:r w:rsidRPr="002E1A3F">
        <w:rPr>
          <w:rFonts w:ascii="Calibri" w:eastAsia="Calibri" w:hAnsi="Calibri" w:cs="Times New Roman"/>
          <w:b/>
          <w:color w:val="auto"/>
          <w:sz w:val="22"/>
          <w:szCs w:val="22"/>
        </w:rPr>
        <w:t>implementation support</w:t>
      </w:r>
      <w:r w:rsidRPr="002E1A3F">
        <w:rPr>
          <w:rFonts w:ascii="Calibri" w:eastAsia="Calibri" w:hAnsi="Calibri" w:cs="Times New Roman"/>
          <w:color w:val="auto"/>
          <w:sz w:val="22"/>
          <w:szCs w:val="22"/>
        </w:rPr>
        <w:t>. This support has led to problem solving for the centers. The AAU has established a technical implementation support and supervision structure that paired each center with at least two academic and technical leaders in their field of specialization. These academic and scientific supervisors provide:</w:t>
      </w:r>
    </w:p>
    <w:p w14:paraId="5802B6DA" w14:textId="77777777" w:rsidR="002E1A3F" w:rsidRPr="002E1A3F" w:rsidRDefault="00B00100" w:rsidP="008E2709">
      <w:pPr>
        <w:widowControl/>
        <w:numPr>
          <w:ilvl w:val="0"/>
          <w:numId w:val="41"/>
        </w:numPr>
        <w:autoSpaceDE/>
        <w:autoSpaceDN/>
        <w:adjustRightInd/>
        <w:spacing w:after="120"/>
        <w:ind w:left="1440"/>
        <w:contextualSpacing/>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in-depth technical review on overall center management to ensure the centers are moving in the right direction;</w:t>
      </w:r>
    </w:p>
    <w:p w14:paraId="7B2D9E16" w14:textId="77777777" w:rsidR="002E1A3F" w:rsidRPr="002E1A3F" w:rsidRDefault="00B00100" w:rsidP="008E2709">
      <w:pPr>
        <w:widowControl/>
        <w:numPr>
          <w:ilvl w:val="0"/>
          <w:numId w:val="41"/>
        </w:numPr>
        <w:autoSpaceDE/>
        <w:autoSpaceDN/>
        <w:adjustRightInd/>
        <w:spacing w:after="120"/>
        <w:ind w:left="1440"/>
        <w:contextualSpacing/>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guidance and linkages to relevant industry and sector partners;</w:t>
      </w:r>
    </w:p>
    <w:p w14:paraId="2016AA7B" w14:textId="77777777" w:rsidR="002E1A3F" w:rsidRPr="002E1A3F" w:rsidRDefault="00B00100" w:rsidP="008E2709">
      <w:pPr>
        <w:widowControl/>
        <w:numPr>
          <w:ilvl w:val="0"/>
          <w:numId w:val="41"/>
        </w:numPr>
        <w:autoSpaceDE/>
        <w:autoSpaceDN/>
        <w:adjustRightInd/>
        <w:spacing w:after="120"/>
        <w:ind w:left="1440"/>
        <w:contextualSpacing/>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guidance on international accreditation agencies and possible fund-raising opportunities; and</w:t>
      </w:r>
    </w:p>
    <w:p w14:paraId="2096E729" w14:textId="77777777" w:rsidR="002E1A3F" w:rsidRDefault="00B00100" w:rsidP="008E2709">
      <w:pPr>
        <w:widowControl/>
        <w:numPr>
          <w:ilvl w:val="0"/>
          <w:numId w:val="41"/>
        </w:numPr>
        <w:autoSpaceDE/>
        <w:autoSpaceDN/>
        <w:adjustRightInd/>
        <w:spacing w:after="120"/>
        <w:ind w:left="1440"/>
        <w:contextualSpacing/>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up-front identification of project management and governance challenges at the centers.</w:t>
      </w:r>
    </w:p>
    <w:p w14:paraId="155781B2" w14:textId="77777777" w:rsidR="000A12E3" w:rsidRDefault="000A12E3" w:rsidP="008E2709">
      <w:pPr>
        <w:widowControl/>
        <w:autoSpaceDE/>
        <w:autoSpaceDN/>
        <w:adjustRightInd/>
        <w:spacing w:after="120"/>
        <w:ind w:left="1440"/>
        <w:contextualSpacing/>
        <w:jc w:val="both"/>
        <w:rPr>
          <w:rFonts w:ascii="Calibri" w:eastAsia="Calibri" w:hAnsi="Calibri" w:cs="Times New Roman"/>
          <w:color w:val="auto"/>
          <w:sz w:val="22"/>
          <w:szCs w:val="22"/>
        </w:rPr>
      </w:pPr>
    </w:p>
    <w:p w14:paraId="59174083"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Peer-learning and regional implementation support</w:t>
      </w:r>
      <w:r w:rsidRPr="002E1A3F">
        <w:rPr>
          <w:rFonts w:ascii="Calibri" w:eastAsia="Calibri" w:hAnsi="Calibri" w:cs="Times New Roman"/>
          <w:color w:val="auto"/>
          <w:sz w:val="22"/>
          <w:szCs w:val="22"/>
        </w:rPr>
        <w:t xml:space="preserve">. Since 2014, the </w:t>
      </w:r>
      <w:r w:rsidR="00BB4A89">
        <w:rPr>
          <w:rFonts w:ascii="Calibri" w:eastAsia="Calibri" w:hAnsi="Calibri" w:cs="Times New Roman"/>
          <w:color w:val="auto"/>
          <w:sz w:val="22"/>
          <w:szCs w:val="22"/>
        </w:rPr>
        <w:t>ACE I Project</w:t>
      </w:r>
      <w:r w:rsidRPr="002E1A3F">
        <w:rPr>
          <w:rFonts w:ascii="Calibri" w:eastAsia="Calibri" w:hAnsi="Calibri" w:cs="Times New Roman"/>
          <w:color w:val="auto"/>
          <w:sz w:val="22"/>
          <w:szCs w:val="22"/>
        </w:rPr>
        <w:t xml:space="preserve"> has convened two large regional peer-learning and implementation support workshops in which all the 22 ACE I center teams, including the center leader, deputy center leader as well as FM, procurement and M&amp;E officers participate. These regional workshops fulfill two main functions:</w:t>
      </w:r>
    </w:p>
    <w:p w14:paraId="6C12B9EE" w14:textId="77777777" w:rsidR="002E1A3F" w:rsidRPr="002E1A3F" w:rsidRDefault="00B00100" w:rsidP="008E2709">
      <w:pPr>
        <w:widowControl/>
        <w:numPr>
          <w:ilvl w:val="0"/>
          <w:numId w:val="40"/>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i/>
          <w:color w:val="auto"/>
          <w:sz w:val="22"/>
          <w:szCs w:val="22"/>
        </w:rPr>
        <w:lastRenderedPageBreak/>
        <w:t>Project operations learning by the ACE I centers</w:t>
      </w:r>
      <w:r w:rsidRPr="002E1A3F">
        <w:rPr>
          <w:rFonts w:ascii="Calibri" w:eastAsia="Calibri" w:hAnsi="Calibri" w:cs="Times New Roman"/>
          <w:color w:val="auto"/>
          <w:sz w:val="22"/>
          <w:szCs w:val="22"/>
        </w:rPr>
        <w:t xml:space="preserve">. The regional workshops provide an important and much-needed platform for operational clarifications and improvements to project operations. This includes the DLI verification, fiduciary, safeguards compliance and disbursement processes, where the ACEs are provided guidance and an opportunity to provide feedback. Obtaining feedback from the centers on verified results prior to disbursement has been important in building trust in and strengthening </w:t>
      </w:r>
      <w:r w:rsidR="003F0435">
        <w:rPr>
          <w:rFonts w:ascii="Calibri" w:eastAsia="Calibri" w:hAnsi="Calibri" w:cs="Times New Roman"/>
          <w:color w:val="auto"/>
          <w:sz w:val="22"/>
          <w:szCs w:val="22"/>
        </w:rPr>
        <w:t xml:space="preserve">of </w:t>
      </w:r>
      <w:r w:rsidRPr="002E1A3F">
        <w:rPr>
          <w:rFonts w:ascii="Calibri" w:eastAsia="Calibri" w:hAnsi="Calibri" w:cs="Times New Roman"/>
          <w:color w:val="auto"/>
          <w:sz w:val="22"/>
          <w:szCs w:val="22"/>
        </w:rPr>
        <w:t xml:space="preserve">the verification process. </w:t>
      </w:r>
    </w:p>
    <w:p w14:paraId="2573BF39" w14:textId="77777777" w:rsidR="002E1A3F" w:rsidRPr="002E1A3F" w:rsidRDefault="00B00100" w:rsidP="008E2709">
      <w:pPr>
        <w:widowControl/>
        <w:numPr>
          <w:ilvl w:val="0"/>
          <w:numId w:val="40"/>
        </w:numPr>
        <w:autoSpaceDE/>
        <w:autoSpaceDN/>
        <w:adjustRightInd/>
        <w:spacing w:after="120"/>
        <w:jc w:val="both"/>
        <w:rPr>
          <w:rFonts w:ascii="Calibri" w:eastAsia="Calibri" w:hAnsi="Calibri" w:cs="Times New Roman"/>
          <w:color w:val="auto"/>
          <w:sz w:val="22"/>
          <w:szCs w:val="22"/>
        </w:rPr>
      </w:pPr>
      <w:r w:rsidRPr="002E1A3F">
        <w:rPr>
          <w:rFonts w:ascii="Calibri" w:eastAsia="Calibri" w:hAnsi="Calibri" w:cs="Times New Roman"/>
          <w:i/>
          <w:color w:val="auto"/>
          <w:sz w:val="22"/>
          <w:szCs w:val="22"/>
        </w:rPr>
        <w:t>Peer-learning for the ACE I centers</w:t>
      </w:r>
      <w:r w:rsidRPr="002E1A3F">
        <w:rPr>
          <w:rFonts w:ascii="Calibri" w:eastAsia="Calibri" w:hAnsi="Calibri" w:cs="Times New Roman"/>
          <w:color w:val="auto"/>
          <w:sz w:val="22"/>
          <w:szCs w:val="22"/>
        </w:rPr>
        <w:t>. The regional workshops have also provided opportunities to share best practices on key objectives of the project, including: attracting regional students, meeting international accreditation standards, generating external revenue, sustainability, and university-industry partnerships. In 2017</w:t>
      </w:r>
      <w:r w:rsidR="00AA7447">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a joint regional meeting between ACE I and ACE II centers was held in Ghana.</w:t>
      </w:r>
    </w:p>
    <w:p w14:paraId="647BA693"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Strong national implementation support leads to accelerated implementation by the ACE centers</w:t>
      </w:r>
      <w:r w:rsidRPr="002E1A3F">
        <w:rPr>
          <w:rFonts w:ascii="Calibri" w:eastAsia="Calibri" w:hAnsi="Calibri" w:cs="Times New Roman"/>
          <w:color w:val="auto"/>
          <w:sz w:val="22"/>
          <w:szCs w:val="22"/>
        </w:rPr>
        <w:t xml:space="preserve">. The role of the national steering committee has been fundamental in addressing governance and project management challenges at the ACE centers. In situations where governments have been responsive, for instance in Nigeria, there has been a positive turnaround in performance on the part of some centers and the proactive reallocation of funds towards ensuring the achievement of project objectives. </w:t>
      </w:r>
    </w:p>
    <w:p w14:paraId="76B2506E"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Good implementation of the RBF model. </w:t>
      </w:r>
      <w:r w:rsidRPr="002E1A3F">
        <w:rPr>
          <w:rFonts w:ascii="Calibri" w:eastAsia="Calibri" w:hAnsi="Calibri" w:cs="Times New Roman"/>
          <w:color w:val="auto"/>
          <w:sz w:val="22"/>
          <w:szCs w:val="22"/>
        </w:rPr>
        <w:t xml:space="preserve">Despite initial delays, the AAU through dedicated support from the World Bank team has been effective in delivering timely verification of </w:t>
      </w:r>
      <w:r w:rsidR="00BB4A89">
        <w:rPr>
          <w:rFonts w:ascii="Calibri" w:eastAsia="Calibri" w:hAnsi="Calibri" w:cs="Times New Roman"/>
          <w:color w:val="auto"/>
          <w:sz w:val="22"/>
          <w:szCs w:val="22"/>
        </w:rPr>
        <w:t>ACE I Project</w:t>
      </w:r>
      <w:r w:rsidRPr="002E1A3F">
        <w:rPr>
          <w:rFonts w:ascii="Calibri" w:eastAsia="Calibri" w:hAnsi="Calibri" w:cs="Times New Roman"/>
          <w:color w:val="auto"/>
          <w:sz w:val="22"/>
          <w:szCs w:val="22"/>
        </w:rPr>
        <w:t xml:space="preserve"> DLIs.  In particular, the timely sharing of results and consistent calibration and improvements to DLI definitions has been a key factor in the successful implementation of the RBF model. </w:t>
      </w:r>
    </w:p>
    <w:p w14:paraId="31C495E8" w14:textId="77777777" w:rsidR="002E1A3F" w:rsidRPr="002E1A3F" w:rsidRDefault="00B00100" w:rsidP="008E2709">
      <w:pPr>
        <w:widowControl/>
        <w:numPr>
          <w:ilvl w:val="0"/>
          <w:numId w:val="17"/>
        </w:numPr>
        <w:autoSpaceDE/>
        <w:autoSpaceDN/>
        <w:adjustRightInd/>
        <w:spacing w:after="120"/>
        <w:ind w:left="108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Regular surveys of the performance of </w:t>
      </w:r>
      <w:r w:rsidR="00BB4A89">
        <w:rPr>
          <w:rFonts w:ascii="Calibri" w:eastAsia="Calibri" w:hAnsi="Calibri" w:cs="Times New Roman"/>
          <w:b/>
          <w:color w:val="auto"/>
          <w:sz w:val="22"/>
          <w:szCs w:val="22"/>
        </w:rPr>
        <w:t>ACE I Project</w:t>
      </w:r>
      <w:r w:rsidRPr="002E1A3F">
        <w:rPr>
          <w:rFonts w:ascii="Calibri" w:eastAsia="Calibri" w:hAnsi="Calibri" w:cs="Times New Roman"/>
          <w:b/>
          <w:color w:val="auto"/>
          <w:sz w:val="22"/>
          <w:szCs w:val="22"/>
        </w:rPr>
        <w:t xml:space="preserve"> stakeholders, including the governments, the centers, AAU and the World Bank</w:t>
      </w:r>
      <w:r w:rsidRPr="002E1A3F">
        <w:rPr>
          <w:rFonts w:ascii="Calibri" w:eastAsia="Calibri" w:hAnsi="Calibri" w:cs="Times New Roman"/>
          <w:color w:val="auto"/>
          <w:sz w:val="22"/>
          <w:szCs w:val="22"/>
        </w:rPr>
        <w:t>. Two annual performance surveys are administered by the AAU to obtain feedback on implementation support provided to the project to inform further improvements. A student survey is also administered annually to ACE I students to obtain feedback on each ACE I center’s performance in relation to its student body.</w:t>
      </w:r>
    </w:p>
    <w:p w14:paraId="5DB7A831" w14:textId="77777777" w:rsidR="002E1A3F" w:rsidRPr="002E1A3F" w:rsidRDefault="00B00100" w:rsidP="008E2709">
      <w:pPr>
        <w:widowControl/>
        <w:autoSpaceDE/>
        <w:autoSpaceDN/>
        <w:adjustRightInd/>
        <w:spacing w:after="160"/>
        <w:rPr>
          <w:rFonts w:ascii="Calibri" w:eastAsia="Times New Roman" w:hAnsi="Calibri" w:cs="Calibri"/>
          <w:sz w:val="22"/>
          <w:szCs w:val="22"/>
        </w:rPr>
      </w:pPr>
      <w:r w:rsidRPr="002E1A3F">
        <w:rPr>
          <w:rFonts w:ascii="Calibri" w:eastAsia="Times New Roman" w:hAnsi="Calibri" w:cs="Calibri"/>
          <w:sz w:val="22"/>
          <w:szCs w:val="22"/>
        </w:rPr>
        <w:br w:type="page"/>
      </w:r>
    </w:p>
    <w:tbl>
      <w:tblPr>
        <w:tblW w:w="10962" w:type="dxa"/>
        <w:tblInd w:w="-882" w:type="dxa"/>
        <w:shd w:val="clear" w:color="auto" w:fill="F2F7FC"/>
        <w:tblLayout w:type="fixed"/>
        <w:tblLook w:val="04A0" w:firstRow="1" w:lastRow="0" w:firstColumn="1" w:lastColumn="0" w:noHBand="0" w:noVBand="1"/>
      </w:tblPr>
      <w:tblGrid>
        <w:gridCol w:w="10962"/>
      </w:tblGrid>
      <w:tr w:rsidR="000C3959" w14:paraId="7629ECAB" w14:textId="77777777" w:rsidTr="009277AD">
        <w:trPr>
          <w:trHeight w:val="432"/>
        </w:trPr>
        <w:tc>
          <w:tcPr>
            <w:tcW w:w="10962" w:type="dxa"/>
            <w:shd w:val="clear" w:color="auto" w:fill="F2F7FC"/>
            <w:vAlign w:val="center"/>
          </w:tcPr>
          <w:p w14:paraId="69BC4181" w14:textId="77777777" w:rsidR="002E1A3F" w:rsidRPr="002E1A3F" w:rsidRDefault="00B00100">
            <w:pPr>
              <w:keepNext/>
              <w:keepLines/>
              <w:widowControl/>
              <w:autoSpaceDE/>
              <w:autoSpaceDN/>
              <w:adjustRightInd/>
              <w:spacing w:before="40"/>
              <w:ind w:left="90"/>
              <w:jc w:val="center"/>
              <w:outlineLvl w:val="3"/>
              <w:rPr>
                <w:rFonts w:ascii="Calibri" w:eastAsia="Times New Roman" w:hAnsi="Calibri" w:cs="Times New Roman"/>
                <w:b/>
                <w:iCs/>
                <w:color w:val="auto"/>
                <w:sz w:val="22"/>
                <w:szCs w:val="22"/>
              </w:rPr>
            </w:pPr>
            <w:bookmarkStart w:id="448" w:name="_Toc256000159"/>
            <w:bookmarkStart w:id="449" w:name="_Toc256000130"/>
            <w:bookmarkStart w:id="450" w:name="_Toc256000100"/>
            <w:bookmarkStart w:id="451" w:name="_Toc256000068"/>
            <w:bookmarkStart w:id="452" w:name="_Toc256000037"/>
            <w:bookmarkStart w:id="453" w:name="_Toc8301943"/>
            <w:bookmarkStart w:id="454" w:name="_Toc14789365"/>
            <w:bookmarkStart w:id="455" w:name="_Toc22655932"/>
            <w:bookmarkStart w:id="456" w:name="_Toc23779858"/>
            <w:bookmarkStart w:id="457" w:name="_Toc23866074"/>
            <w:bookmarkStart w:id="458" w:name="_Toc23930685"/>
            <w:r w:rsidRPr="002E1A3F">
              <w:rPr>
                <w:rFonts w:ascii="Calibri" w:eastAsia="Times New Roman" w:hAnsi="Calibri" w:cs="Times New Roman"/>
                <w:b/>
                <w:iCs/>
                <w:color w:val="auto"/>
                <w:sz w:val="22"/>
                <w:szCs w:val="22"/>
              </w:rPr>
              <w:lastRenderedPageBreak/>
              <w:t>ANNEX 5: Implementation Support Plan and Resource Requirements</w:t>
            </w:r>
            <w:bookmarkEnd w:id="448"/>
            <w:bookmarkEnd w:id="449"/>
            <w:bookmarkEnd w:id="450"/>
            <w:bookmarkEnd w:id="451"/>
            <w:bookmarkEnd w:id="452"/>
            <w:bookmarkEnd w:id="453"/>
            <w:bookmarkEnd w:id="454"/>
            <w:bookmarkEnd w:id="455"/>
            <w:bookmarkEnd w:id="456"/>
            <w:bookmarkEnd w:id="457"/>
            <w:bookmarkEnd w:id="458"/>
          </w:p>
        </w:tc>
      </w:tr>
    </w:tbl>
    <w:p w14:paraId="41695129" w14:textId="77777777" w:rsidR="002E1A3F" w:rsidRPr="002E1A3F" w:rsidRDefault="002E1A3F">
      <w:pPr>
        <w:spacing w:after="120"/>
        <w:ind w:left="90"/>
        <w:jc w:val="both"/>
        <w:rPr>
          <w:rFonts w:ascii="Calibri" w:eastAsia="Times New Roman" w:hAnsi="Calibri" w:cs="Calibri"/>
          <w:sz w:val="22"/>
          <w:szCs w:val="22"/>
        </w:rPr>
      </w:pPr>
    </w:p>
    <w:p w14:paraId="005B613F" w14:textId="77777777" w:rsidR="002E1A3F" w:rsidRPr="002E1A3F" w:rsidRDefault="00B00100" w:rsidP="008E2709">
      <w:pPr>
        <w:widowControl/>
        <w:numPr>
          <w:ilvl w:val="0"/>
          <w:numId w:val="28"/>
        </w:numPr>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Times New Roman" w:hAnsi="Calibri" w:cs="Calibri"/>
          <w:b/>
          <w:color w:val="0070C0"/>
          <w:sz w:val="22"/>
          <w:szCs w:val="22"/>
        </w:rPr>
        <w:t>Technical Inputs</w:t>
      </w:r>
    </w:p>
    <w:p w14:paraId="4CAE6F13"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The World Bank will provide strong implementation support to the centers, the RFU and the relevant national </w:t>
      </w:r>
      <w:r w:rsidR="00862FC2">
        <w:rPr>
          <w:rFonts w:ascii="Calibri" w:eastAsia="Calibri" w:hAnsi="Calibri" w:cs="Times New Roman"/>
          <w:color w:val="auto"/>
          <w:sz w:val="22"/>
          <w:szCs w:val="22"/>
        </w:rPr>
        <w:t xml:space="preserve">facilitation </w:t>
      </w:r>
      <w:r w:rsidRPr="002E1A3F">
        <w:rPr>
          <w:rFonts w:ascii="Calibri" w:eastAsia="Calibri" w:hAnsi="Calibri" w:cs="Times New Roman"/>
          <w:color w:val="auto"/>
          <w:sz w:val="22"/>
          <w:szCs w:val="22"/>
        </w:rPr>
        <w:t>agencies regarding technical, fiduciary, social, environmental and safeguards issues.  Formal implementation support and field visits will be carried out as required</w:t>
      </w:r>
      <w:r w:rsidR="00AA7447">
        <w:rPr>
          <w:rFonts w:ascii="Calibri" w:eastAsia="Calibri" w:hAnsi="Calibri" w:cs="Times New Roman"/>
          <w:color w:val="auto"/>
          <w:sz w:val="22"/>
          <w:szCs w:val="22"/>
        </w:rPr>
        <w:t>.</w:t>
      </w:r>
    </w:p>
    <w:p w14:paraId="5AE806CA"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 xml:space="preserve">Fiduciary requirements and inputs. </w:t>
      </w:r>
      <w:r w:rsidRPr="002E1A3F">
        <w:rPr>
          <w:rFonts w:ascii="Calibri" w:eastAsia="Calibri" w:hAnsi="Calibri" w:cs="Times New Roman"/>
          <w:color w:val="auto"/>
          <w:sz w:val="22"/>
          <w:szCs w:val="22"/>
        </w:rPr>
        <w:t>The World Bank’s FM and procurement specialists will provide training before project effectiveness, and during project implementation. The training will allow teams from the ACE centers and the RFU to build capacity in matters of FM and procurement, particularly as it relates to World Bank procedures. As part of the project implementation support plan, supervision of FM arrangements will be carried out, and support provided on a timely basis as per project needs.  Procurement implementation support will be provided on a timely basis as required by the participating institutions and entities.</w:t>
      </w:r>
    </w:p>
    <w:p w14:paraId="12596846"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b/>
          <w:color w:val="auto"/>
          <w:sz w:val="22"/>
          <w:szCs w:val="22"/>
        </w:rPr>
      </w:pPr>
      <w:r w:rsidRPr="002E1A3F">
        <w:rPr>
          <w:rFonts w:ascii="Calibri" w:eastAsia="Calibri" w:hAnsi="Calibri" w:cs="Times New Roman"/>
          <w:b/>
          <w:color w:val="auto"/>
          <w:sz w:val="22"/>
          <w:szCs w:val="22"/>
        </w:rPr>
        <w:t xml:space="preserve">Safeguards. </w:t>
      </w:r>
      <w:r w:rsidRPr="002E1A3F">
        <w:rPr>
          <w:rFonts w:ascii="Calibri" w:eastAsia="Calibri" w:hAnsi="Calibri" w:cs="Times New Roman"/>
          <w:color w:val="auto"/>
          <w:sz w:val="22"/>
          <w:szCs w:val="22"/>
        </w:rPr>
        <w:t xml:space="preserve">The World Bank’s social safeguards specialist will ensure that training is provided to relevant counterpart staff and undertake field visits as required. On the environmental side, support will focus on ensuring the project’s compliance with the ESIAs </w:t>
      </w:r>
      <w:r w:rsidR="00A71111">
        <w:rPr>
          <w:rFonts w:ascii="Calibri" w:eastAsia="Calibri" w:hAnsi="Calibri" w:cs="Times New Roman"/>
          <w:color w:val="auto"/>
          <w:sz w:val="22"/>
          <w:szCs w:val="22"/>
        </w:rPr>
        <w:t>and/</w:t>
      </w:r>
      <w:r w:rsidRPr="002E1A3F">
        <w:rPr>
          <w:rFonts w:ascii="Calibri" w:eastAsia="Calibri" w:hAnsi="Calibri" w:cs="Times New Roman"/>
          <w:color w:val="auto"/>
          <w:sz w:val="22"/>
          <w:szCs w:val="22"/>
        </w:rPr>
        <w:t>or ESMPs developed as applicable to the centers, with respect to activities to be executed under Component 1 and Sub-component 2.1, ensuring that they comply with the World Bank’s safeguards policy on Environmental Assessment (OP/BP 4.01).</w:t>
      </w:r>
    </w:p>
    <w:p w14:paraId="0B0206B2"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b/>
          <w:color w:val="auto"/>
          <w:sz w:val="22"/>
          <w:szCs w:val="22"/>
        </w:rPr>
        <w:t>Country Relations</w:t>
      </w:r>
      <w:r w:rsidRPr="002E1A3F">
        <w:rPr>
          <w:rFonts w:ascii="Calibri" w:eastAsia="Calibri" w:hAnsi="Calibri" w:cs="Times New Roman"/>
          <w:color w:val="auto"/>
          <w:sz w:val="22"/>
          <w:szCs w:val="22"/>
        </w:rPr>
        <w:t>. The TTLs will coordinate with the Country Co-TTLs, GP focal points, the World Bank fiduciary and safeguards team at large and the RFU to ensure project implementation is carried out in accordance with the World Bank’s requirements as specified in the legal agreements. Moreover, the TTLs and the Country Co-TTLs will meet with the governments, the NSC and senior staff of selected centers on a regular basis to keep them informed of the project’s progress and issues that require resolution at their level. Constant channels for information exchange will be maintained with all major actors, taking advantage of the trust and communication capacity built during the project preparation phase.</w:t>
      </w:r>
    </w:p>
    <w:p w14:paraId="67C79628" w14:textId="77777777" w:rsidR="002E1A3F" w:rsidRPr="002E1A3F" w:rsidRDefault="00B00100" w:rsidP="008E2709">
      <w:pPr>
        <w:widowControl/>
        <w:numPr>
          <w:ilvl w:val="0"/>
          <w:numId w:val="28"/>
        </w:numPr>
        <w:autoSpaceDE/>
        <w:autoSpaceDN/>
        <w:adjustRightInd/>
        <w:spacing w:after="240"/>
        <w:ind w:left="0" w:firstLine="0"/>
        <w:jc w:val="both"/>
        <w:rPr>
          <w:rFonts w:ascii="Calibri" w:eastAsia="Calibri" w:hAnsi="Calibri" w:cs="Times New Roman"/>
          <w:b/>
          <w:color w:val="0070C0"/>
          <w:sz w:val="22"/>
          <w:szCs w:val="22"/>
        </w:rPr>
      </w:pPr>
      <w:r w:rsidRPr="002E1A3F">
        <w:rPr>
          <w:rFonts w:ascii="Calibri" w:eastAsia="Calibri" w:hAnsi="Calibri" w:cs="Times New Roman"/>
          <w:b/>
          <w:color w:val="0070C0"/>
          <w:sz w:val="22"/>
          <w:szCs w:val="22"/>
        </w:rPr>
        <w:t>Monitoring and Evaluation</w:t>
      </w:r>
    </w:p>
    <w:p w14:paraId="6ED85EE9"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Systematic, continuous tracking of performance by collecting and analyzing data on agreed measures and indicators will be supported in order to: (i) measure progress towards the achievement of the PDO; and (ii) ensure project activities are implemented as planned and using the appropriate procedures. Importantly, disbursement to the centers will be linked to the achievement of DLRs. The RFU will oversee the overall M&amp;E of the project, as well as ensure that a robust M&amp;E database system is institutionalized, and that all data are publicly available online.  M&amp;E will be carried out at both the center and regional levels of the project implementation. Each center will undertake M&amp;E functions through its own existing administrative arrangements</w:t>
      </w:r>
      <w:r w:rsidR="00572668">
        <w:rPr>
          <w:rFonts w:ascii="Calibri" w:eastAsia="Calibri" w:hAnsi="Calibri" w:cs="Times New Roman"/>
          <w:color w:val="auto"/>
          <w:sz w:val="22"/>
          <w:szCs w:val="22"/>
        </w:rPr>
        <w:t xml:space="preserve">, in collaboration </w:t>
      </w:r>
      <w:r w:rsidR="00CF7EC9">
        <w:rPr>
          <w:rFonts w:ascii="Calibri" w:eastAsia="Calibri" w:hAnsi="Calibri" w:cs="Times New Roman"/>
          <w:color w:val="auto"/>
          <w:sz w:val="22"/>
          <w:szCs w:val="22"/>
        </w:rPr>
        <w:t>with the relevant Ministries of Finance and Education</w:t>
      </w:r>
      <w:r w:rsidR="00195603" w:rsidRPr="002E1A3F">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The </w:t>
      </w:r>
      <w:r w:rsidR="00C056FE">
        <w:rPr>
          <w:rFonts w:ascii="Calibri" w:eastAsia="Calibri" w:hAnsi="Calibri" w:cs="Times New Roman"/>
          <w:color w:val="auto"/>
          <w:sz w:val="22"/>
          <w:szCs w:val="22"/>
        </w:rPr>
        <w:t xml:space="preserve">proposed </w:t>
      </w:r>
      <w:r w:rsidRPr="002E1A3F">
        <w:rPr>
          <w:rFonts w:ascii="Calibri" w:eastAsia="Calibri" w:hAnsi="Calibri" w:cs="Times New Roman"/>
          <w:color w:val="auto"/>
          <w:sz w:val="22"/>
          <w:szCs w:val="22"/>
        </w:rPr>
        <w:t xml:space="preserve">Second </w:t>
      </w:r>
      <w:r w:rsidR="00BB4A89">
        <w:rPr>
          <w:rFonts w:ascii="Calibri" w:eastAsia="Calibri" w:hAnsi="Calibri" w:cs="Times New Roman"/>
          <w:color w:val="auto"/>
          <w:sz w:val="22"/>
          <w:szCs w:val="22"/>
        </w:rPr>
        <w:t>ACE Impact Project</w:t>
      </w:r>
      <w:r w:rsidRPr="002E1A3F">
        <w:rPr>
          <w:rFonts w:ascii="Calibri" w:eastAsia="Calibri" w:hAnsi="Calibri" w:cs="Times New Roman"/>
          <w:color w:val="auto"/>
          <w:sz w:val="22"/>
          <w:szCs w:val="22"/>
        </w:rPr>
        <w:t xml:space="preserve"> will support strengthening of M&amp;E capacity at both the center and RFU levels through TA.   </w:t>
      </w:r>
    </w:p>
    <w:p w14:paraId="7DBDFD70"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lastRenderedPageBreak/>
        <w:t xml:space="preserve">The M&amp;E framework will be continuously strengthened through the integration of timely performance data, allowing for the identification of strengths and weaknesses useful for decision-making. Implementation of the ACE I and II projects demonstrate that the RBF model and its related verification processes are often difficult for centers to understand leading to poor data quality and delays in implementation. ACE Impact centers will, therefore, be incentivized through the first DLI to hire an M&amp;E officer to enable full participation in the capacity-building workshops that will be organized immediately following project approval. The verification process utilizes multiple verification agencies and experts and requires a constant feedback loop from the centers. The capacity of the administrative staff and the M&amp;E officers at the RFU will be further enhanced for efficient management of multiple contracts and processes and timely responses to M&amp;E related requests from the centers. </w:t>
      </w:r>
    </w:p>
    <w:p w14:paraId="7CB0A7FF" w14:textId="77777777" w:rsidR="002E1A3F" w:rsidRP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The project will </w:t>
      </w:r>
      <w:bookmarkStart w:id="459" w:name="_Hlk1972251"/>
      <w:r w:rsidRPr="002E1A3F">
        <w:rPr>
          <w:rFonts w:ascii="Calibri" w:eastAsia="Calibri" w:hAnsi="Calibri" w:cs="Times New Roman"/>
          <w:color w:val="auto"/>
          <w:sz w:val="22"/>
          <w:szCs w:val="22"/>
        </w:rPr>
        <w:t>build capacity in the RFU to: (i) prioritize the importance of the quality of data submitted by the centers as it is integral to the verification; (ii) regularly communicate with the centers the process for verification early on in the implementation process, with clear expectations for each DLR’s timeline; (iii) undertake regular communication and coordination with verifiers with regard to the student verification process; and (iv) communicate early the processes for the verification of civil works and large equipment purchases</w:t>
      </w:r>
      <w:r w:rsidR="00922DEB">
        <w:rPr>
          <w:rFonts w:ascii="Calibri" w:eastAsia="Calibri" w:hAnsi="Calibri" w:cs="Times New Roman"/>
          <w:color w:val="auto"/>
          <w:sz w:val="22"/>
          <w:szCs w:val="22"/>
        </w:rPr>
        <w:t>.</w:t>
      </w:r>
      <w:r w:rsidRPr="002E1A3F">
        <w:rPr>
          <w:rFonts w:ascii="Calibri" w:eastAsia="Calibri" w:hAnsi="Calibri" w:cs="Times New Roman"/>
          <w:color w:val="auto"/>
          <w:sz w:val="22"/>
          <w:szCs w:val="22"/>
        </w:rPr>
        <w:t xml:space="preserve">  </w:t>
      </w:r>
      <w:bookmarkEnd w:id="459"/>
    </w:p>
    <w:p w14:paraId="2029DAA6" w14:textId="77777777" w:rsidR="002E1A3F" w:rsidRDefault="00B00100" w:rsidP="008E2709">
      <w:pPr>
        <w:widowControl/>
        <w:numPr>
          <w:ilvl w:val="0"/>
          <w:numId w:val="32"/>
        </w:numPr>
        <w:tabs>
          <w:tab w:val="left" w:pos="720"/>
          <w:tab w:val="left" w:pos="773"/>
        </w:tabs>
        <w:autoSpaceDE/>
        <w:autoSpaceDN/>
        <w:adjustRightInd/>
        <w:spacing w:after="240"/>
        <w:ind w:left="0" w:firstLine="0"/>
        <w:jc w:val="both"/>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The main focus of implementation support is summarized below. </w:t>
      </w:r>
    </w:p>
    <w:p w14:paraId="00B5D346" w14:textId="77777777" w:rsidR="002E1A3F" w:rsidRPr="002E1A3F" w:rsidRDefault="00B00100" w:rsidP="008E2709">
      <w:pPr>
        <w:ind w:left="90"/>
        <w:jc w:val="center"/>
        <w:rPr>
          <w:rFonts w:ascii="Calibri" w:eastAsia="Times New Roman" w:hAnsi="Calibri" w:cs="Calibri"/>
          <w:sz w:val="22"/>
          <w:szCs w:val="22"/>
        </w:rPr>
      </w:pPr>
      <w:r w:rsidRPr="002E1A3F">
        <w:rPr>
          <w:rFonts w:ascii="Calibri" w:eastAsia="Times New Roman" w:hAnsi="Calibri" w:cs="Calibri"/>
          <w:b/>
          <w:position w:val="-1"/>
          <w:sz w:val="22"/>
          <w:szCs w:val="22"/>
        </w:rPr>
        <w:t xml:space="preserve">Table A5.1. </w:t>
      </w:r>
      <w:r w:rsidRPr="002E1A3F">
        <w:rPr>
          <w:rFonts w:ascii="Calibri" w:eastAsia="Times New Roman" w:hAnsi="Calibri" w:cs="Calibri"/>
          <w:b/>
          <w:i/>
          <w:position w:val="-1"/>
          <w:sz w:val="22"/>
          <w:szCs w:val="22"/>
        </w:rPr>
        <w:t>Focus of Implementation Support</w:t>
      </w:r>
    </w:p>
    <w:tbl>
      <w:tblPr>
        <w:tblpPr w:leftFromText="180" w:rightFromText="180" w:vertAnchor="text" w:horzAnchor="margin" w:tblpXSpec="center" w:tblpY="193"/>
        <w:tblOverlap w:val="never"/>
        <w:tblW w:w="9682" w:type="dxa"/>
        <w:tblLayout w:type="fixed"/>
        <w:tblCellMar>
          <w:left w:w="0" w:type="dxa"/>
          <w:right w:w="0" w:type="dxa"/>
        </w:tblCellMar>
        <w:tblLook w:val="0000" w:firstRow="0" w:lastRow="0" w:firstColumn="0" w:lastColumn="0" w:noHBand="0" w:noVBand="0"/>
      </w:tblPr>
      <w:tblGrid>
        <w:gridCol w:w="1161"/>
        <w:gridCol w:w="4235"/>
        <w:gridCol w:w="3420"/>
        <w:gridCol w:w="866"/>
      </w:tblGrid>
      <w:tr w:rsidR="000C3959" w14:paraId="17D9448A" w14:textId="77777777" w:rsidTr="000C46A6">
        <w:trPr>
          <w:trHeight w:hRule="exact" w:val="454"/>
        </w:trPr>
        <w:tc>
          <w:tcPr>
            <w:tcW w:w="1161" w:type="dxa"/>
            <w:tcBorders>
              <w:top w:val="single" w:sz="3" w:space="0" w:color="000000"/>
              <w:left w:val="single" w:sz="3" w:space="0" w:color="000000"/>
              <w:bottom w:val="single" w:sz="3" w:space="0" w:color="000000"/>
              <w:right w:val="single" w:sz="3" w:space="0" w:color="000000"/>
            </w:tcBorders>
            <w:shd w:val="clear" w:color="auto" w:fill="D0CECE"/>
          </w:tcPr>
          <w:p w14:paraId="5A76C40C" w14:textId="77777777" w:rsidR="002E1A3F" w:rsidRPr="005C5F63" w:rsidRDefault="002E1A3F" w:rsidP="008E2709">
            <w:pPr>
              <w:ind w:left="90"/>
              <w:rPr>
                <w:rFonts w:ascii="Calibri" w:eastAsia="Calibri" w:hAnsi="Calibri" w:cs="Times New Roman"/>
                <w:color w:val="auto"/>
                <w:sz w:val="18"/>
                <w:szCs w:val="18"/>
              </w:rPr>
            </w:pPr>
          </w:p>
          <w:p w14:paraId="194BF33A" w14:textId="77777777" w:rsidR="002E1A3F" w:rsidRPr="005C5F63" w:rsidRDefault="00B00100" w:rsidP="008E2709">
            <w:pPr>
              <w:ind w:left="90"/>
              <w:rPr>
                <w:rFonts w:ascii="Calibri" w:eastAsia="Calibri" w:hAnsi="Calibri" w:cs="Times New Roman"/>
                <w:color w:val="auto"/>
                <w:sz w:val="18"/>
                <w:szCs w:val="18"/>
              </w:rPr>
            </w:pPr>
            <w:r w:rsidRPr="005C5F63">
              <w:rPr>
                <w:rFonts w:ascii="Calibri" w:eastAsia="Calibri" w:hAnsi="Calibri" w:cs="Times New Roman"/>
                <w:b/>
                <w:bCs/>
                <w:color w:val="auto"/>
                <w:spacing w:val="-1"/>
                <w:sz w:val="18"/>
                <w:szCs w:val="18"/>
              </w:rPr>
              <w:t>T</w:t>
            </w:r>
            <w:r w:rsidRPr="005C5F63">
              <w:rPr>
                <w:rFonts w:ascii="Calibri" w:eastAsia="Calibri" w:hAnsi="Calibri" w:cs="Times New Roman"/>
                <w:b/>
                <w:bCs/>
                <w:color w:val="auto"/>
                <w:spacing w:val="2"/>
                <w:sz w:val="18"/>
                <w:szCs w:val="18"/>
              </w:rPr>
              <w:t>i</w:t>
            </w:r>
            <w:r w:rsidRPr="005C5F63">
              <w:rPr>
                <w:rFonts w:ascii="Calibri" w:eastAsia="Calibri" w:hAnsi="Calibri" w:cs="Times New Roman"/>
                <w:b/>
                <w:bCs/>
                <w:color w:val="auto"/>
                <w:spacing w:val="-2"/>
                <w:sz w:val="18"/>
                <w:szCs w:val="18"/>
              </w:rPr>
              <w:t>m</w:t>
            </w:r>
            <w:r w:rsidRPr="005C5F63">
              <w:rPr>
                <w:rFonts w:ascii="Calibri" w:eastAsia="Calibri" w:hAnsi="Calibri" w:cs="Times New Roman"/>
                <w:b/>
                <w:bCs/>
                <w:color w:val="auto"/>
                <w:sz w:val="18"/>
                <w:szCs w:val="18"/>
              </w:rPr>
              <w:t>e</w:t>
            </w:r>
          </w:p>
        </w:tc>
        <w:tc>
          <w:tcPr>
            <w:tcW w:w="4235" w:type="dxa"/>
            <w:tcBorders>
              <w:top w:val="single" w:sz="3" w:space="0" w:color="000000"/>
              <w:left w:val="single" w:sz="3" w:space="0" w:color="000000"/>
              <w:bottom w:val="single" w:sz="3" w:space="0" w:color="000000"/>
              <w:right w:val="single" w:sz="3" w:space="0" w:color="000000"/>
            </w:tcBorders>
            <w:shd w:val="clear" w:color="auto" w:fill="D0CECE"/>
          </w:tcPr>
          <w:p w14:paraId="11BEC879" w14:textId="77777777" w:rsidR="002E1A3F" w:rsidRPr="005C5F63" w:rsidRDefault="002E1A3F" w:rsidP="008E2709">
            <w:pPr>
              <w:ind w:left="90"/>
              <w:rPr>
                <w:rFonts w:ascii="Calibri" w:eastAsia="Calibri" w:hAnsi="Calibri" w:cs="Times New Roman"/>
                <w:color w:val="auto"/>
                <w:sz w:val="18"/>
                <w:szCs w:val="18"/>
              </w:rPr>
            </w:pPr>
          </w:p>
          <w:p w14:paraId="5F1D799C" w14:textId="77777777" w:rsidR="002E1A3F" w:rsidRPr="005C5F63" w:rsidRDefault="00B00100" w:rsidP="008E2709">
            <w:pPr>
              <w:ind w:left="90" w:right="1675"/>
              <w:jc w:val="center"/>
              <w:rPr>
                <w:rFonts w:ascii="Calibri" w:eastAsia="Calibri" w:hAnsi="Calibri" w:cs="Times New Roman"/>
                <w:color w:val="auto"/>
                <w:sz w:val="18"/>
                <w:szCs w:val="18"/>
              </w:rPr>
            </w:pPr>
            <w:r w:rsidRPr="005C5F63">
              <w:rPr>
                <w:rFonts w:ascii="Calibri" w:eastAsia="Calibri" w:hAnsi="Calibri" w:cs="Times New Roman"/>
                <w:b/>
                <w:bCs/>
                <w:color w:val="auto"/>
                <w:spacing w:val="1"/>
                <w:w w:val="99"/>
                <w:sz w:val="18"/>
                <w:szCs w:val="18"/>
              </w:rPr>
              <w:t>F</w:t>
            </w:r>
            <w:r w:rsidRPr="005C5F63">
              <w:rPr>
                <w:rFonts w:ascii="Calibri" w:eastAsia="Calibri" w:hAnsi="Calibri" w:cs="Times New Roman"/>
                <w:b/>
                <w:bCs/>
                <w:color w:val="auto"/>
                <w:spacing w:val="2"/>
                <w:w w:val="99"/>
                <w:sz w:val="18"/>
                <w:szCs w:val="18"/>
              </w:rPr>
              <w:t>o</w:t>
            </w:r>
            <w:r w:rsidRPr="005C5F63">
              <w:rPr>
                <w:rFonts w:ascii="Calibri" w:eastAsia="Calibri" w:hAnsi="Calibri" w:cs="Times New Roman"/>
                <w:b/>
                <w:bCs/>
                <w:color w:val="auto"/>
                <w:w w:val="99"/>
                <w:sz w:val="18"/>
                <w:szCs w:val="18"/>
              </w:rPr>
              <w:t>cus</w:t>
            </w:r>
          </w:p>
        </w:tc>
        <w:tc>
          <w:tcPr>
            <w:tcW w:w="3420" w:type="dxa"/>
            <w:tcBorders>
              <w:top w:val="single" w:sz="3" w:space="0" w:color="000000"/>
              <w:left w:val="single" w:sz="3" w:space="0" w:color="000000"/>
              <w:bottom w:val="single" w:sz="3" w:space="0" w:color="000000"/>
              <w:right w:val="single" w:sz="3" w:space="0" w:color="000000"/>
            </w:tcBorders>
            <w:shd w:val="clear" w:color="auto" w:fill="D0CECE"/>
          </w:tcPr>
          <w:p w14:paraId="08CF4398" w14:textId="77777777" w:rsidR="002E1A3F" w:rsidRPr="005C5F63" w:rsidRDefault="002E1A3F" w:rsidP="008E2709">
            <w:pPr>
              <w:ind w:left="90"/>
              <w:rPr>
                <w:rFonts w:ascii="Calibri" w:eastAsia="Calibri" w:hAnsi="Calibri" w:cs="Times New Roman"/>
                <w:color w:val="auto"/>
                <w:sz w:val="18"/>
                <w:szCs w:val="18"/>
              </w:rPr>
            </w:pPr>
          </w:p>
          <w:p w14:paraId="1260E39B" w14:textId="77777777" w:rsidR="002E1A3F" w:rsidRPr="005C5F63" w:rsidRDefault="00B00100" w:rsidP="008E2709">
            <w:pPr>
              <w:ind w:left="90"/>
              <w:rPr>
                <w:rFonts w:ascii="Calibri" w:eastAsia="Calibri" w:hAnsi="Calibri" w:cs="Times New Roman"/>
                <w:color w:val="auto"/>
                <w:sz w:val="18"/>
                <w:szCs w:val="18"/>
              </w:rPr>
            </w:pPr>
            <w:r w:rsidRPr="005C5F63">
              <w:rPr>
                <w:rFonts w:ascii="Calibri" w:eastAsia="Calibri" w:hAnsi="Calibri" w:cs="Times New Roman"/>
                <w:b/>
                <w:bCs/>
                <w:color w:val="auto"/>
                <w:sz w:val="18"/>
                <w:szCs w:val="18"/>
              </w:rPr>
              <w:t>R</w:t>
            </w:r>
            <w:r w:rsidRPr="005C5F63">
              <w:rPr>
                <w:rFonts w:ascii="Calibri" w:eastAsia="Calibri" w:hAnsi="Calibri" w:cs="Times New Roman"/>
                <w:b/>
                <w:bCs/>
                <w:color w:val="auto"/>
                <w:spacing w:val="1"/>
                <w:sz w:val="18"/>
                <w:szCs w:val="18"/>
              </w:rPr>
              <w:t>e</w:t>
            </w:r>
            <w:r w:rsidRPr="005C5F63">
              <w:rPr>
                <w:rFonts w:ascii="Calibri" w:eastAsia="Calibri" w:hAnsi="Calibri" w:cs="Times New Roman"/>
                <w:b/>
                <w:bCs/>
                <w:color w:val="auto"/>
                <w:sz w:val="18"/>
                <w:szCs w:val="18"/>
              </w:rPr>
              <w:t>s</w:t>
            </w:r>
            <w:r w:rsidRPr="005C5F63">
              <w:rPr>
                <w:rFonts w:ascii="Calibri" w:eastAsia="Calibri" w:hAnsi="Calibri" w:cs="Times New Roman"/>
                <w:b/>
                <w:bCs/>
                <w:color w:val="auto"/>
                <w:spacing w:val="1"/>
                <w:sz w:val="18"/>
                <w:szCs w:val="18"/>
              </w:rPr>
              <w:t>o</w:t>
            </w:r>
            <w:r w:rsidRPr="005C5F63">
              <w:rPr>
                <w:rFonts w:ascii="Calibri" w:eastAsia="Calibri" w:hAnsi="Calibri" w:cs="Times New Roman"/>
                <w:b/>
                <w:bCs/>
                <w:color w:val="auto"/>
                <w:sz w:val="18"/>
                <w:szCs w:val="18"/>
              </w:rPr>
              <w:t>u</w:t>
            </w:r>
            <w:r w:rsidRPr="005C5F63">
              <w:rPr>
                <w:rFonts w:ascii="Calibri" w:eastAsia="Calibri" w:hAnsi="Calibri" w:cs="Times New Roman"/>
                <w:b/>
                <w:bCs/>
                <w:color w:val="auto"/>
                <w:spacing w:val="1"/>
                <w:sz w:val="18"/>
                <w:szCs w:val="18"/>
              </w:rPr>
              <w:t>r</w:t>
            </w:r>
            <w:r w:rsidRPr="005C5F63">
              <w:rPr>
                <w:rFonts w:ascii="Calibri" w:eastAsia="Calibri" w:hAnsi="Calibri" w:cs="Times New Roman"/>
                <w:b/>
                <w:bCs/>
                <w:color w:val="auto"/>
                <w:sz w:val="18"/>
                <w:szCs w:val="18"/>
              </w:rPr>
              <w:t>ce</w:t>
            </w:r>
            <w:r w:rsidRPr="005C5F63">
              <w:rPr>
                <w:rFonts w:ascii="Calibri" w:eastAsia="Calibri" w:hAnsi="Calibri" w:cs="Times New Roman"/>
                <w:b/>
                <w:bCs/>
                <w:color w:val="auto"/>
                <w:spacing w:val="-7"/>
                <w:sz w:val="18"/>
                <w:szCs w:val="18"/>
              </w:rPr>
              <w:t xml:space="preserve"> </w:t>
            </w:r>
            <w:r w:rsidRPr="005C5F63">
              <w:rPr>
                <w:rFonts w:ascii="Calibri" w:eastAsia="Calibri" w:hAnsi="Calibri" w:cs="Times New Roman"/>
                <w:b/>
                <w:bCs/>
                <w:color w:val="auto"/>
                <w:spacing w:val="-1"/>
                <w:sz w:val="18"/>
                <w:szCs w:val="18"/>
              </w:rPr>
              <w:t>Es</w:t>
            </w:r>
            <w:r w:rsidRPr="005C5F63">
              <w:rPr>
                <w:rFonts w:ascii="Calibri" w:eastAsia="Calibri" w:hAnsi="Calibri" w:cs="Times New Roman"/>
                <w:b/>
                <w:bCs/>
                <w:color w:val="auto"/>
                <w:spacing w:val="1"/>
                <w:sz w:val="18"/>
                <w:szCs w:val="18"/>
              </w:rPr>
              <w:t>t</w:t>
            </w:r>
            <w:r w:rsidRPr="005C5F63">
              <w:rPr>
                <w:rFonts w:ascii="Calibri" w:eastAsia="Calibri" w:hAnsi="Calibri" w:cs="Times New Roman"/>
                <w:b/>
                <w:bCs/>
                <w:color w:val="auto"/>
                <w:spacing w:val="5"/>
                <w:sz w:val="18"/>
                <w:szCs w:val="18"/>
              </w:rPr>
              <w:t>i</w:t>
            </w:r>
            <w:r w:rsidRPr="005C5F63">
              <w:rPr>
                <w:rFonts w:ascii="Calibri" w:eastAsia="Calibri" w:hAnsi="Calibri" w:cs="Times New Roman"/>
                <w:b/>
                <w:bCs/>
                <w:color w:val="auto"/>
                <w:spacing w:val="-5"/>
                <w:sz w:val="18"/>
                <w:szCs w:val="18"/>
              </w:rPr>
              <w:t>m</w:t>
            </w:r>
            <w:r w:rsidRPr="005C5F63">
              <w:rPr>
                <w:rFonts w:ascii="Calibri" w:eastAsia="Calibri" w:hAnsi="Calibri" w:cs="Times New Roman"/>
                <w:b/>
                <w:bCs/>
                <w:color w:val="auto"/>
                <w:spacing w:val="1"/>
                <w:sz w:val="18"/>
                <w:szCs w:val="18"/>
              </w:rPr>
              <w:t>at</w:t>
            </w:r>
            <w:r w:rsidRPr="005C5F63">
              <w:rPr>
                <w:rFonts w:ascii="Calibri" w:eastAsia="Calibri" w:hAnsi="Calibri" w:cs="Times New Roman"/>
                <w:b/>
                <w:bCs/>
                <w:color w:val="auto"/>
                <w:sz w:val="18"/>
                <w:szCs w:val="18"/>
              </w:rPr>
              <w:t>e (Staff Weeks- SWs)</w:t>
            </w:r>
          </w:p>
        </w:tc>
        <w:tc>
          <w:tcPr>
            <w:tcW w:w="866" w:type="dxa"/>
            <w:tcBorders>
              <w:top w:val="single" w:sz="3" w:space="0" w:color="000000"/>
              <w:left w:val="single" w:sz="3" w:space="0" w:color="000000"/>
              <w:bottom w:val="single" w:sz="3" w:space="0" w:color="000000"/>
              <w:right w:val="single" w:sz="3" w:space="0" w:color="000000"/>
            </w:tcBorders>
            <w:shd w:val="clear" w:color="auto" w:fill="D0CECE"/>
          </w:tcPr>
          <w:p w14:paraId="2A086C6E" w14:textId="77777777" w:rsidR="002E1A3F" w:rsidRPr="005C5F63" w:rsidRDefault="00B00100" w:rsidP="008E2709">
            <w:pPr>
              <w:ind w:left="90" w:right="57"/>
              <w:jc w:val="center"/>
              <w:rPr>
                <w:rFonts w:ascii="Calibri" w:eastAsia="Calibri" w:hAnsi="Calibri" w:cs="Times New Roman"/>
                <w:color w:val="auto"/>
                <w:sz w:val="18"/>
                <w:szCs w:val="18"/>
              </w:rPr>
            </w:pPr>
            <w:r w:rsidRPr="005C5F63">
              <w:rPr>
                <w:rFonts w:ascii="Calibri" w:eastAsia="Calibri" w:hAnsi="Calibri" w:cs="Times New Roman"/>
                <w:b/>
                <w:bCs/>
                <w:color w:val="auto"/>
                <w:spacing w:val="1"/>
                <w:w w:val="99"/>
                <w:sz w:val="18"/>
                <w:szCs w:val="18"/>
              </w:rPr>
              <w:t>Part</w:t>
            </w:r>
            <w:r w:rsidRPr="005C5F63">
              <w:rPr>
                <w:rFonts w:ascii="Calibri" w:eastAsia="Calibri" w:hAnsi="Calibri" w:cs="Times New Roman"/>
                <w:b/>
                <w:bCs/>
                <w:color w:val="auto"/>
                <w:w w:val="99"/>
                <w:sz w:val="18"/>
                <w:szCs w:val="18"/>
              </w:rPr>
              <w:t>n</w:t>
            </w:r>
            <w:r w:rsidRPr="005C5F63">
              <w:rPr>
                <w:rFonts w:ascii="Calibri" w:eastAsia="Calibri" w:hAnsi="Calibri" w:cs="Times New Roman"/>
                <w:b/>
                <w:bCs/>
                <w:color w:val="auto"/>
                <w:spacing w:val="1"/>
                <w:w w:val="99"/>
                <w:sz w:val="18"/>
                <w:szCs w:val="18"/>
              </w:rPr>
              <w:t>er</w:t>
            </w:r>
          </w:p>
          <w:p w14:paraId="20347781" w14:textId="77777777" w:rsidR="002E1A3F" w:rsidRPr="005C5F63" w:rsidRDefault="00B00100" w:rsidP="008E2709">
            <w:pPr>
              <w:ind w:left="90" w:right="206"/>
              <w:jc w:val="center"/>
              <w:rPr>
                <w:rFonts w:ascii="Calibri" w:eastAsia="Calibri" w:hAnsi="Calibri" w:cs="Times New Roman"/>
                <w:color w:val="auto"/>
                <w:sz w:val="18"/>
                <w:szCs w:val="18"/>
              </w:rPr>
            </w:pPr>
            <w:r w:rsidRPr="005C5F63">
              <w:rPr>
                <w:rFonts w:ascii="Calibri" w:eastAsia="Calibri" w:hAnsi="Calibri" w:cs="Times New Roman"/>
                <w:b/>
                <w:bCs/>
                <w:color w:val="auto"/>
                <w:w w:val="99"/>
                <w:sz w:val="18"/>
                <w:szCs w:val="18"/>
              </w:rPr>
              <w:t>R</w:t>
            </w:r>
            <w:r w:rsidRPr="005C5F63">
              <w:rPr>
                <w:rFonts w:ascii="Calibri" w:eastAsia="Calibri" w:hAnsi="Calibri" w:cs="Times New Roman"/>
                <w:b/>
                <w:bCs/>
                <w:color w:val="auto"/>
                <w:spacing w:val="1"/>
                <w:w w:val="99"/>
                <w:sz w:val="18"/>
                <w:szCs w:val="18"/>
              </w:rPr>
              <w:t>o</w:t>
            </w:r>
            <w:r w:rsidRPr="005C5F63">
              <w:rPr>
                <w:rFonts w:ascii="Calibri" w:eastAsia="Calibri" w:hAnsi="Calibri" w:cs="Times New Roman"/>
                <w:b/>
                <w:bCs/>
                <w:color w:val="auto"/>
                <w:w w:val="99"/>
                <w:sz w:val="18"/>
                <w:szCs w:val="18"/>
              </w:rPr>
              <w:t>le</w:t>
            </w:r>
          </w:p>
        </w:tc>
      </w:tr>
      <w:tr w:rsidR="000C3959" w14:paraId="55E9A5C3" w14:textId="77777777" w:rsidTr="000C46A6">
        <w:trPr>
          <w:trHeight w:hRule="exact" w:val="634"/>
        </w:trPr>
        <w:tc>
          <w:tcPr>
            <w:tcW w:w="1161" w:type="dxa"/>
            <w:vMerge w:val="restart"/>
            <w:tcBorders>
              <w:top w:val="single" w:sz="3" w:space="0" w:color="000000"/>
              <w:left w:val="single" w:sz="3" w:space="0" w:color="000000"/>
              <w:bottom w:val="single" w:sz="3" w:space="0" w:color="000000"/>
              <w:right w:val="single" w:sz="3" w:space="0" w:color="000000"/>
            </w:tcBorders>
          </w:tcPr>
          <w:p w14:paraId="05273036" w14:textId="77777777" w:rsidR="002E1A3F" w:rsidRPr="005C5F63" w:rsidRDefault="00B00100" w:rsidP="008E2709">
            <w:pPr>
              <w:ind w:left="90"/>
              <w:rPr>
                <w:rFonts w:ascii="Calibri" w:eastAsia="Calibri" w:hAnsi="Calibri" w:cs="Times New Roman"/>
                <w:color w:val="auto"/>
                <w:sz w:val="18"/>
                <w:szCs w:val="18"/>
              </w:rPr>
            </w:pPr>
            <w:r w:rsidRPr="005C5F63">
              <w:rPr>
                <w:rFonts w:ascii="Calibri" w:eastAsia="Calibri" w:hAnsi="Calibri" w:cs="Times New Roman"/>
                <w:color w:val="auto"/>
                <w:sz w:val="18"/>
                <w:szCs w:val="18"/>
              </w:rPr>
              <w:t>Fi</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t</w:t>
            </w:r>
          </w:p>
          <w:p w14:paraId="4B71456F" w14:textId="77777777" w:rsidR="002E1A3F" w:rsidRPr="005C5F63" w:rsidRDefault="00B00100" w:rsidP="008E2709">
            <w:pPr>
              <w:ind w:left="90" w:right="373"/>
              <w:rPr>
                <w:rFonts w:ascii="Calibri" w:eastAsia="Calibri" w:hAnsi="Calibri" w:cs="Times New Roman"/>
                <w:color w:val="auto"/>
                <w:sz w:val="18"/>
                <w:szCs w:val="18"/>
              </w:rPr>
            </w:pP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5"/>
                <w:sz w:val="18"/>
                <w:szCs w:val="18"/>
              </w:rPr>
              <w:t>w</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2"/>
                <w:sz w:val="18"/>
                <w:szCs w:val="18"/>
              </w:rPr>
              <w:t>l</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 xml:space="preserve">e </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4"/>
                <w:sz w:val="18"/>
                <w:szCs w:val="18"/>
              </w:rPr>
              <w:t>o</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1"/>
                <w:sz w:val="18"/>
                <w:szCs w:val="18"/>
              </w:rPr>
              <w:t>hs</w:t>
            </w:r>
          </w:p>
        </w:tc>
        <w:tc>
          <w:tcPr>
            <w:tcW w:w="4235" w:type="dxa"/>
            <w:tcBorders>
              <w:top w:val="single" w:sz="3" w:space="0" w:color="000000"/>
              <w:left w:val="single" w:sz="3" w:space="0" w:color="000000"/>
              <w:bottom w:val="single" w:sz="3" w:space="0" w:color="000000"/>
              <w:right w:val="single" w:sz="3" w:space="0" w:color="000000"/>
            </w:tcBorders>
          </w:tcPr>
          <w:p w14:paraId="5381878B" w14:textId="77777777" w:rsidR="002E1A3F" w:rsidRPr="005C5F63" w:rsidRDefault="002E1A3F" w:rsidP="00404D02">
            <w:pPr>
              <w:ind w:left="90"/>
              <w:rPr>
                <w:rFonts w:ascii="Calibri" w:eastAsia="Calibri" w:hAnsi="Calibri" w:cs="Times New Roman"/>
                <w:color w:val="auto"/>
                <w:sz w:val="18"/>
                <w:szCs w:val="18"/>
              </w:rPr>
            </w:pPr>
          </w:p>
          <w:p w14:paraId="2B39BFA1" w14:textId="77777777" w:rsidR="002E1A3F" w:rsidRPr="005C5F63" w:rsidRDefault="00B00100" w:rsidP="00F463C2">
            <w:pPr>
              <w:ind w:left="90"/>
              <w:rPr>
                <w:rFonts w:ascii="Calibri" w:eastAsia="Calibri" w:hAnsi="Calibri" w:cs="Times New Roman"/>
                <w:color w:val="auto"/>
                <w:sz w:val="18"/>
                <w:szCs w:val="18"/>
              </w:rPr>
            </w:pPr>
            <w:r w:rsidRPr="005C5F63">
              <w:rPr>
                <w:rFonts w:ascii="Calibri" w:eastAsia="Calibri" w:hAnsi="Calibri" w:cs="Times New Roman"/>
                <w:color w:val="auto"/>
                <w:spacing w:val="3"/>
                <w:sz w:val="18"/>
                <w:szCs w:val="18"/>
              </w:rPr>
              <w:t>T</w:t>
            </w:r>
            <w:r w:rsidRPr="005C5F63">
              <w:rPr>
                <w:rFonts w:ascii="Calibri" w:eastAsia="Calibri" w:hAnsi="Calibri" w:cs="Times New Roman"/>
                <w:color w:val="auto"/>
                <w:sz w:val="18"/>
                <w:szCs w:val="18"/>
              </w:rPr>
              <w:t>ec</w:t>
            </w:r>
            <w:r w:rsidRPr="005C5F63">
              <w:rPr>
                <w:rFonts w:ascii="Calibri" w:eastAsia="Calibri" w:hAnsi="Calibri" w:cs="Times New Roman"/>
                <w:color w:val="auto"/>
                <w:spacing w:val="-1"/>
                <w:sz w:val="18"/>
                <w:szCs w:val="18"/>
              </w:rPr>
              <w:t>hn</w:t>
            </w:r>
            <w:r w:rsidRPr="005C5F63">
              <w:rPr>
                <w:rFonts w:ascii="Calibri" w:eastAsia="Calibri" w:hAnsi="Calibri" w:cs="Times New Roman"/>
                <w:color w:val="auto"/>
                <w:sz w:val="18"/>
                <w:szCs w:val="18"/>
              </w:rPr>
              <w:t>ical</w:t>
            </w:r>
            <w:r w:rsidRPr="005C5F63">
              <w:rPr>
                <w:rFonts w:ascii="Calibri" w:eastAsia="Calibri" w:hAnsi="Calibri" w:cs="Times New Roman"/>
                <w:color w:val="auto"/>
                <w:spacing w:val="-8"/>
                <w:sz w:val="18"/>
                <w:szCs w:val="18"/>
              </w:rPr>
              <w:t xml:space="preserve"> </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2"/>
                <w:sz w:val="18"/>
                <w:szCs w:val="18"/>
              </w:rPr>
              <w:t>w</w:t>
            </w:r>
            <w:r w:rsidRPr="005C5F63">
              <w:rPr>
                <w:rFonts w:ascii="Calibri" w:eastAsia="Calibri" w:hAnsi="Calibri" w:cs="Times New Roman"/>
                <w:color w:val="auto"/>
                <w:sz w:val="18"/>
                <w:szCs w:val="18"/>
              </w:rPr>
              <w:t>/</w:t>
            </w:r>
            <w:r w:rsidRPr="005C5F63">
              <w:rPr>
                <w:rFonts w:ascii="Calibri" w:eastAsia="Calibri" w:hAnsi="Calibri" w:cs="Times New Roman"/>
                <w:color w:val="auto"/>
                <w:spacing w:val="2"/>
                <w:sz w:val="18"/>
                <w:szCs w:val="18"/>
              </w:rPr>
              <w:t>S</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pacing w:val="1"/>
                <w:sz w:val="18"/>
                <w:szCs w:val="18"/>
              </w:rPr>
              <w:t>ppor</w:t>
            </w:r>
            <w:r w:rsidRPr="005C5F63">
              <w:rPr>
                <w:rFonts w:ascii="Calibri" w:eastAsia="Calibri" w:hAnsi="Calibri" w:cs="Times New Roman"/>
                <w:color w:val="auto"/>
                <w:sz w:val="18"/>
                <w:szCs w:val="18"/>
              </w:rPr>
              <w:t>t</w:t>
            </w:r>
          </w:p>
        </w:tc>
        <w:tc>
          <w:tcPr>
            <w:tcW w:w="3420" w:type="dxa"/>
            <w:tcBorders>
              <w:top w:val="single" w:sz="3" w:space="0" w:color="000000"/>
              <w:left w:val="single" w:sz="3" w:space="0" w:color="000000"/>
              <w:bottom w:val="single" w:sz="3" w:space="0" w:color="000000"/>
              <w:right w:val="single" w:sz="3" w:space="0" w:color="000000"/>
            </w:tcBorders>
          </w:tcPr>
          <w:p w14:paraId="61795F0D" w14:textId="77777777" w:rsidR="002E1A3F" w:rsidRPr="005C5F63" w:rsidRDefault="00B00100" w:rsidP="00FC1A97">
            <w:pPr>
              <w:ind w:left="90"/>
              <w:rPr>
                <w:rFonts w:ascii="Calibri" w:eastAsia="Calibri" w:hAnsi="Calibri" w:cs="Times New Roman"/>
                <w:color w:val="auto"/>
                <w:sz w:val="18"/>
                <w:szCs w:val="18"/>
              </w:rPr>
            </w:pPr>
            <w:r w:rsidRPr="005C5F63">
              <w:rPr>
                <w:rFonts w:ascii="Calibri" w:eastAsia="Calibri" w:hAnsi="Calibri" w:cs="Times New Roman"/>
                <w:color w:val="auto"/>
                <w:sz w:val="18"/>
                <w:szCs w:val="18"/>
              </w:rPr>
              <w:t>TTLs                                                       12 SWs</w:t>
            </w:r>
          </w:p>
          <w:p w14:paraId="08404E37" w14:textId="77777777" w:rsidR="002E1A3F" w:rsidRPr="005C5F63" w:rsidRDefault="00B00100" w:rsidP="003247A0">
            <w:pPr>
              <w:ind w:left="90"/>
              <w:rPr>
                <w:rFonts w:ascii="Calibri" w:eastAsia="Calibri" w:hAnsi="Calibri" w:cs="Times New Roman"/>
                <w:color w:val="auto"/>
                <w:sz w:val="18"/>
                <w:szCs w:val="18"/>
              </w:rPr>
            </w:pPr>
            <w:r w:rsidRPr="005C5F63">
              <w:rPr>
                <w:rFonts w:ascii="Calibri" w:eastAsia="Calibri" w:hAnsi="Calibri" w:cs="Times New Roman"/>
                <w:color w:val="auto"/>
                <w:sz w:val="18"/>
                <w:szCs w:val="18"/>
              </w:rPr>
              <w:t>Country Co-TTLs:                                  5 SWs</w:t>
            </w:r>
          </w:p>
          <w:p w14:paraId="26055B50" w14:textId="77777777" w:rsidR="002E1A3F" w:rsidRPr="005C5F63" w:rsidRDefault="00B00100" w:rsidP="003247A0">
            <w:pPr>
              <w:ind w:left="90"/>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1"/>
                <w:sz w:val="18"/>
                <w:szCs w:val="18"/>
              </w:rPr>
              <w:t>&amp;</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4"/>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t                                      2 SWs</w:t>
            </w:r>
          </w:p>
        </w:tc>
        <w:tc>
          <w:tcPr>
            <w:tcW w:w="866" w:type="dxa"/>
            <w:vMerge w:val="restart"/>
            <w:tcBorders>
              <w:top w:val="single" w:sz="3" w:space="0" w:color="000000"/>
              <w:left w:val="single" w:sz="3" w:space="0" w:color="000000"/>
              <w:bottom w:val="single" w:sz="3" w:space="0" w:color="000000"/>
              <w:right w:val="single" w:sz="3" w:space="0" w:color="000000"/>
            </w:tcBorders>
          </w:tcPr>
          <w:p w14:paraId="368CE2E8" w14:textId="77777777" w:rsidR="002E1A3F" w:rsidRPr="005C5F63" w:rsidRDefault="00B00100" w:rsidP="008E2709">
            <w:pPr>
              <w:ind w:left="90"/>
              <w:rPr>
                <w:rFonts w:ascii="Calibri" w:eastAsia="Calibri" w:hAnsi="Calibri" w:cs="Times New Roman"/>
                <w:color w:val="auto"/>
                <w:sz w:val="18"/>
                <w:szCs w:val="18"/>
              </w:rPr>
            </w:pPr>
            <w:r w:rsidRPr="005C5F63">
              <w:rPr>
                <w:rFonts w:ascii="Calibri" w:eastAsia="Calibri" w:hAnsi="Calibri" w:cs="Times New Roman"/>
                <w:color w:val="auto"/>
                <w:sz w:val="18"/>
                <w:szCs w:val="18"/>
              </w:rPr>
              <w:t>NA</w:t>
            </w:r>
          </w:p>
        </w:tc>
      </w:tr>
      <w:tr w:rsidR="000C3959" w14:paraId="442625A0" w14:textId="77777777" w:rsidTr="000C46A6">
        <w:trPr>
          <w:trHeight w:hRule="exact" w:val="250"/>
        </w:trPr>
        <w:tc>
          <w:tcPr>
            <w:tcW w:w="1161" w:type="dxa"/>
            <w:vMerge/>
            <w:tcBorders>
              <w:top w:val="single" w:sz="3" w:space="0" w:color="000000"/>
              <w:left w:val="single" w:sz="3" w:space="0" w:color="000000"/>
              <w:bottom w:val="single" w:sz="3" w:space="0" w:color="000000"/>
              <w:right w:val="single" w:sz="3" w:space="0" w:color="000000"/>
            </w:tcBorders>
          </w:tcPr>
          <w:p w14:paraId="7F890E9D"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4802A900" w14:textId="77777777" w:rsidR="002E1A3F" w:rsidRPr="005C5F63" w:rsidRDefault="00B00100" w:rsidP="00404D02">
            <w:pPr>
              <w:ind w:left="88"/>
              <w:rPr>
                <w:rFonts w:ascii="Calibri" w:eastAsia="Calibri" w:hAnsi="Calibri" w:cs="Times New Roman"/>
                <w:color w:val="auto"/>
                <w:sz w:val="18"/>
                <w:szCs w:val="18"/>
              </w:rPr>
            </w:pPr>
            <w:r w:rsidRPr="005C5F63">
              <w:rPr>
                <w:rFonts w:ascii="Calibri" w:eastAsia="Calibri" w:hAnsi="Calibri" w:cs="Times New Roman"/>
                <w:color w:val="auto"/>
                <w:sz w:val="18"/>
                <w:szCs w:val="18"/>
              </w:rPr>
              <w:t>FM</w:t>
            </w:r>
            <w:r w:rsidRPr="005C5F63">
              <w:rPr>
                <w:rFonts w:ascii="Calibri" w:eastAsia="Calibri" w:hAnsi="Calibri" w:cs="Times New Roman"/>
                <w:color w:val="auto"/>
                <w:spacing w:val="-2"/>
                <w:sz w:val="18"/>
                <w:szCs w:val="18"/>
              </w:rPr>
              <w:t xml:space="preserve"> </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z w:val="18"/>
                <w:szCs w:val="18"/>
              </w:rPr>
              <w:t>ai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g</w:t>
            </w:r>
            <w:r w:rsidRPr="005C5F63">
              <w:rPr>
                <w:rFonts w:ascii="Calibri" w:eastAsia="Calibri" w:hAnsi="Calibri" w:cs="Times New Roman"/>
                <w:color w:val="auto"/>
                <w:spacing w:val="-7"/>
                <w:sz w:val="18"/>
                <w:szCs w:val="18"/>
              </w:rPr>
              <w:t xml:space="preserve"> </w:t>
            </w:r>
            <w:r w:rsidRPr="005C5F63">
              <w:rPr>
                <w:rFonts w:ascii="Calibri" w:eastAsia="Calibri" w:hAnsi="Calibri" w:cs="Times New Roman"/>
                <w:color w:val="auto"/>
                <w:sz w:val="18"/>
                <w:szCs w:val="18"/>
              </w:rPr>
              <w:t>a</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d</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pacing w:val="2"/>
                <w:sz w:val="18"/>
                <w:szCs w:val="18"/>
              </w:rPr>
              <w:t>s</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4"/>
                <w:sz w:val="18"/>
                <w:szCs w:val="18"/>
              </w:rPr>
              <w:t>o</w:t>
            </w:r>
            <w:r w:rsidRPr="005C5F63">
              <w:rPr>
                <w:rFonts w:ascii="Calibri" w:eastAsia="Calibri" w:hAnsi="Calibri" w:cs="Times New Roman"/>
                <w:color w:val="auto"/>
                <w:sz w:val="18"/>
                <w:szCs w:val="18"/>
              </w:rPr>
              <w:t>n</w:t>
            </w:r>
          </w:p>
        </w:tc>
        <w:tc>
          <w:tcPr>
            <w:tcW w:w="3420" w:type="dxa"/>
            <w:tcBorders>
              <w:top w:val="single" w:sz="3" w:space="0" w:color="000000"/>
              <w:left w:val="single" w:sz="3" w:space="0" w:color="000000"/>
              <w:bottom w:val="single" w:sz="3" w:space="0" w:color="000000"/>
              <w:right w:val="single" w:sz="3" w:space="0" w:color="000000"/>
            </w:tcBorders>
          </w:tcPr>
          <w:p w14:paraId="291A4A88" w14:textId="77777777" w:rsidR="002E1A3F" w:rsidRPr="005C5F63" w:rsidRDefault="00B00100" w:rsidP="00F463C2">
            <w:pPr>
              <w:ind w:left="105"/>
              <w:rPr>
                <w:rFonts w:ascii="Calibri" w:eastAsia="Calibri" w:hAnsi="Calibri" w:cs="Times New Roman"/>
                <w:color w:val="auto"/>
                <w:sz w:val="18"/>
                <w:szCs w:val="18"/>
              </w:rPr>
            </w:pPr>
            <w:r w:rsidRPr="005C5F63">
              <w:rPr>
                <w:rFonts w:ascii="Calibri" w:eastAsia="Calibri" w:hAnsi="Calibri" w:cs="Times New Roman"/>
                <w:color w:val="auto"/>
                <w:sz w:val="18"/>
                <w:szCs w:val="18"/>
              </w:rPr>
              <w:t>FM</w:t>
            </w:r>
            <w:r w:rsidRPr="005C5F63">
              <w:rPr>
                <w:rFonts w:ascii="Calibri" w:eastAsia="Calibri" w:hAnsi="Calibri" w:cs="Times New Roman"/>
                <w:color w:val="auto"/>
                <w:spacing w:val="-2"/>
                <w:sz w:val="18"/>
                <w:szCs w:val="18"/>
              </w:rPr>
              <w:t xml:space="preserve"> </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8"/>
                <w:sz w:val="18"/>
                <w:szCs w:val="18"/>
              </w:rPr>
              <w:t xml:space="preserve">      </w:t>
            </w:r>
            <w:r w:rsidRPr="005C5F63">
              <w:rPr>
                <w:rFonts w:ascii="Calibri" w:eastAsia="Calibri" w:hAnsi="Calibri" w:cs="Times New Roman"/>
                <w:color w:val="auto"/>
                <w:sz w:val="18"/>
                <w:szCs w:val="18"/>
              </w:rPr>
              <w:t>8</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2"/>
                <w:sz w:val="18"/>
                <w:szCs w:val="18"/>
              </w:rPr>
              <w:t>W</w:t>
            </w:r>
            <w:r w:rsidRPr="005C5F63">
              <w:rPr>
                <w:rFonts w:ascii="Calibri" w:eastAsia="Calibri" w:hAnsi="Calibri" w:cs="Times New Roman"/>
                <w:color w:val="auto"/>
                <w:sz w:val="18"/>
                <w:szCs w:val="18"/>
              </w:rPr>
              <w:t>s</w:t>
            </w:r>
          </w:p>
        </w:tc>
        <w:tc>
          <w:tcPr>
            <w:tcW w:w="866" w:type="dxa"/>
            <w:vMerge/>
            <w:tcBorders>
              <w:top w:val="single" w:sz="3" w:space="0" w:color="000000"/>
              <w:left w:val="single" w:sz="3" w:space="0" w:color="000000"/>
              <w:bottom w:val="single" w:sz="3" w:space="0" w:color="000000"/>
              <w:right w:val="single" w:sz="3" w:space="0" w:color="000000"/>
            </w:tcBorders>
          </w:tcPr>
          <w:p w14:paraId="70A9FB9A" w14:textId="77777777" w:rsidR="002E1A3F" w:rsidRPr="005C5F63" w:rsidRDefault="002E1A3F" w:rsidP="008E2709">
            <w:pPr>
              <w:ind w:left="105"/>
              <w:rPr>
                <w:rFonts w:ascii="Calibri" w:eastAsia="Calibri" w:hAnsi="Calibri" w:cs="Times New Roman"/>
                <w:color w:val="auto"/>
                <w:sz w:val="18"/>
                <w:szCs w:val="18"/>
              </w:rPr>
            </w:pPr>
          </w:p>
        </w:tc>
      </w:tr>
      <w:tr w:rsidR="000C3959" w14:paraId="5DC113C3" w14:textId="77777777" w:rsidTr="000C46A6">
        <w:trPr>
          <w:trHeight w:hRule="exact" w:val="562"/>
        </w:trPr>
        <w:tc>
          <w:tcPr>
            <w:tcW w:w="1161" w:type="dxa"/>
            <w:vMerge/>
            <w:tcBorders>
              <w:top w:val="single" w:sz="3" w:space="0" w:color="000000"/>
              <w:left w:val="single" w:sz="3" w:space="0" w:color="000000"/>
              <w:bottom w:val="single" w:sz="3" w:space="0" w:color="000000"/>
              <w:right w:val="single" w:sz="3" w:space="0" w:color="000000"/>
            </w:tcBorders>
          </w:tcPr>
          <w:p w14:paraId="067E4D82"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36703AA9" w14:textId="77777777" w:rsidR="002E1A3F" w:rsidRPr="005C5F63" w:rsidRDefault="00B00100" w:rsidP="00404D0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E</w:t>
            </w:r>
            <w:r w:rsidRPr="005C5F63">
              <w:rPr>
                <w:rFonts w:ascii="Calibri" w:eastAsia="Calibri" w:hAnsi="Calibri" w:cs="Times New Roman"/>
                <w:color w:val="auto"/>
                <w:spacing w:val="-1"/>
                <w:sz w:val="18"/>
                <w:szCs w:val="18"/>
              </w:rPr>
              <w:t>nv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ron</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pacing w:val="3"/>
                <w:sz w:val="18"/>
                <w:szCs w:val="18"/>
              </w:rPr>
              <w:t>a</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d</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z w:val="18"/>
                <w:szCs w:val="18"/>
              </w:rPr>
              <w:t>cial</w:t>
            </w:r>
            <w:r w:rsidRPr="005C5F63">
              <w:rPr>
                <w:rFonts w:ascii="Calibri" w:eastAsia="Calibri" w:hAnsi="Calibri" w:cs="Times New Roman"/>
                <w:color w:val="auto"/>
                <w:spacing w:val="-2"/>
                <w:sz w:val="18"/>
                <w:szCs w:val="18"/>
              </w:rPr>
              <w:t xml:space="preserve"> </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1"/>
                <w:sz w:val="18"/>
                <w:szCs w:val="18"/>
              </w:rPr>
              <w:t>on</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1"/>
                <w:sz w:val="18"/>
                <w:szCs w:val="18"/>
              </w:rPr>
              <w:t>or</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g</w:t>
            </w:r>
            <w:r w:rsidRPr="005C5F63">
              <w:rPr>
                <w:rFonts w:ascii="Calibri" w:eastAsia="Calibri" w:hAnsi="Calibri" w:cs="Times New Roman"/>
                <w:color w:val="auto"/>
                <w:spacing w:val="-7"/>
                <w:sz w:val="18"/>
                <w:szCs w:val="18"/>
              </w:rPr>
              <w:t xml:space="preserve"> </w:t>
            </w:r>
            <w:r w:rsidRPr="005C5F63">
              <w:rPr>
                <w:rFonts w:ascii="Calibri" w:eastAsia="Calibri" w:hAnsi="Calibri" w:cs="Times New Roman"/>
                <w:color w:val="auto"/>
                <w:sz w:val="18"/>
                <w:szCs w:val="18"/>
              </w:rPr>
              <w:t>&amp;</w:t>
            </w:r>
          </w:p>
          <w:p w14:paraId="0A873559" w14:textId="77777777" w:rsidR="002E1A3F" w:rsidRPr="005C5F63" w:rsidRDefault="00B00100" w:rsidP="00F463C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1"/>
                <w:sz w:val="18"/>
                <w:szCs w:val="18"/>
              </w:rPr>
              <w:t>por</w:t>
            </w:r>
            <w:r w:rsidRPr="005C5F63">
              <w:rPr>
                <w:rFonts w:ascii="Calibri" w:eastAsia="Calibri" w:hAnsi="Calibri" w:cs="Times New Roman"/>
                <w:color w:val="auto"/>
                <w:sz w:val="18"/>
                <w:szCs w:val="18"/>
              </w:rPr>
              <w:t>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g</w:t>
            </w:r>
          </w:p>
        </w:tc>
        <w:tc>
          <w:tcPr>
            <w:tcW w:w="3420" w:type="dxa"/>
            <w:tcBorders>
              <w:top w:val="single" w:sz="3" w:space="0" w:color="000000"/>
              <w:left w:val="single" w:sz="3" w:space="0" w:color="000000"/>
              <w:bottom w:val="single" w:sz="3" w:space="0" w:color="000000"/>
              <w:right w:val="single" w:sz="3" w:space="0" w:color="000000"/>
            </w:tcBorders>
          </w:tcPr>
          <w:p w14:paraId="0016438B" w14:textId="77777777" w:rsidR="002E1A3F" w:rsidRPr="005C5F63" w:rsidRDefault="00B00100" w:rsidP="00FC1A97">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E</w:t>
            </w:r>
            <w:r w:rsidRPr="005C5F63">
              <w:rPr>
                <w:rFonts w:ascii="Calibri" w:eastAsia="Calibri" w:hAnsi="Calibri" w:cs="Times New Roman"/>
                <w:color w:val="auto"/>
                <w:spacing w:val="-1"/>
                <w:sz w:val="18"/>
                <w:szCs w:val="18"/>
              </w:rPr>
              <w:t>nv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ron</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5"/>
                <w:sz w:val="18"/>
                <w:szCs w:val="18"/>
              </w:rPr>
              <w:t xml:space="preserve">      </w:t>
            </w:r>
            <w:r w:rsidR="00990BFC" w:rsidRPr="005C5F63">
              <w:rPr>
                <w:rFonts w:ascii="Calibri" w:eastAsia="Calibri" w:hAnsi="Calibri" w:cs="Times New Roman"/>
                <w:color w:val="auto"/>
                <w:sz w:val="18"/>
                <w:szCs w:val="18"/>
              </w:rPr>
              <w:t>4</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SWs</w:t>
            </w:r>
          </w:p>
          <w:p w14:paraId="7129E56A" w14:textId="77777777" w:rsidR="002E1A3F" w:rsidRPr="005C5F63" w:rsidRDefault="00B00100" w:rsidP="003247A0">
            <w:pPr>
              <w:ind w:left="105"/>
              <w:rPr>
                <w:rFonts w:ascii="Calibri" w:eastAsia="Calibri" w:hAnsi="Calibri" w:cs="Times New Roman"/>
                <w:color w:val="auto"/>
                <w:sz w:val="18"/>
                <w:szCs w:val="18"/>
              </w:rPr>
            </w:pP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z w:val="18"/>
                <w:szCs w:val="18"/>
              </w:rPr>
              <w:t>cial</w:t>
            </w:r>
            <w:r w:rsidRPr="005C5F63">
              <w:rPr>
                <w:rFonts w:ascii="Calibri" w:eastAsia="Calibri" w:hAnsi="Calibri" w:cs="Times New Roman"/>
                <w:color w:val="auto"/>
                <w:spacing w:val="-5"/>
                <w:sz w:val="18"/>
                <w:szCs w:val="18"/>
              </w:rPr>
              <w:t xml:space="preserve"> </w:t>
            </w:r>
            <w:r w:rsidRPr="005C5F63">
              <w:rPr>
                <w:rFonts w:ascii="Calibri" w:eastAsia="Calibri" w:hAnsi="Calibri" w:cs="Times New Roman"/>
                <w:color w:val="auto"/>
                <w:sz w:val="18"/>
                <w:szCs w:val="18"/>
              </w:rPr>
              <w:t>De</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el</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pacing w:val="4"/>
                <w:sz w:val="18"/>
                <w:szCs w:val="18"/>
              </w:rPr>
              <w:t>p</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5"/>
                <w:sz w:val="18"/>
                <w:szCs w:val="18"/>
              </w:rPr>
              <w:t xml:space="preserve">     </w:t>
            </w:r>
            <w:r w:rsidR="00990BFC" w:rsidRPr="005C5F63">
              <w:rPr>
                <w:rFonts w:ascii="Calibri" w:eastAsia="Calibri" w:hAnsi="Calibri" w:cs="Times New Roman"/>
                <w:color w:val="auto"/>
                <w:sz w:val="18"/>
                <w:szCs w:val="18"/>
              </w:rPr>
              <w:t>4</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SWs</w:t>
            </w:r>
          </w:p>
        </w:tc>
        <w:tc>
          <w:tcPr>
            <w:tcW w:w="866" w:type="dxa"/>
            <w:vMerge/>
            <w:tcBorders>
              <w:top w:val="single" w:sz="3" w:space="0" w:color="000000"/>
              <w:left w:val="single" w:sz="3" w:space="0" w:color="000000"/>
              <w:bottom w:val="single" w:sz="3" w:space="0" w:color="000000"/>
              <w:right w:val="single" w:sz="3" w:space="0" w:color="000000"/>
            </w:tcBorders>
          </w:tcPr>
          <w:p w14:paraId="6F52FD01" w14:textId="77777777" w:rsidR="002E1A3F" w:rsidRPr="005C5F63" w:rsidRDefault="002E1A3F" w:rsidP="008E2709">
            <w:pPr>
              <w:ind w:left="105"/>
              <w:rPr>
                <w:rFonts w:ascii="Calibri" w:eastAsia="Calibri" w:hAnsi="Calibri" w:cs="Times New Roman"/>
                <w:color w:val="auto"/>
                <w:sz w:val="18"/>
                <w:szCs w:val="18"/>
              </w:rPr>
            </w:pPr>
          </w:p>
        </w:tc>
      </w:tr>
      <w:tr w:rsidR="000C3959" w14:paraId="6162D837" w14:textId="77777777" w:rsidTr="000C46A6">
        <w:trPr>
          <w:trHeight w:hRule="exact" w:val="256"/>
        </w:trPr>
        <w:tc>
          <w:tcPr>
            <w:tcW w:w="1161" w:type="dxa"/>
            <w:vMerge/>
            <w:tcBorders>
              <w:top w:val="single" w:sz="3" w:space="0" w:color="000000"/>
              <w:left w:val="single" w:sz="3" w:space="0" w:color="000000"/>
              <w:bottom w:val="single" w:sz="3" w:space="0" w:color="000000"/>
              <w:right w:val="single" w:sz="3" w:space="0" w:color="000000"/>
            </w:tcBorders>
          </w:tcPr>
          <w:p w14:paraId="531FF82E"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vAlign w:val="center"/>
          </w:tcPr>
          <w:p w14:paraId="0C80DC79" w14:textId="77777777" w:rsidR="002E1A3F" w:rsidRPr="005C5F63" w:rsidRDefault="00B00100" w:rsidP="00404D02">
            <w:pPr>
              <w:ind w:left="101" w:right="821"/>
              <w:jc w:val="center"/>
              <w:rPr>
                <w:rFonts w:ascii="Calibri" w:eastAsia="Calibri" w:hAnsi="Calibri" w:cs="Times New Roman"/>
                <w:color w:val="auto"/>
                <w:spacing w:val="1"/>
                <w:sz w:val="18"/>
                <w:szCs w:val="18"/>
              </w:rPr>
            </w:pPr>
            <w:r w:rsidRPr="005C5F63">
              <w:rPr>
                <w:rFonts w:ascii="Calibri" w:eastAsia="Calibri" w:hAnsi="Calibri" w:cs="Times New Roman"/>
                <w:color w:val="auto"/>
                <w:spacing w:val="1"/>
                <w:sz w:val="18"/>
                <w:szCs w:val="18"/>
              </w:rPr>
              <w:t>Higher Education Topics and Gender</w:t>
            </w:r>
          </w:p>
          <w:p w14:paraId="4696C6AD" w14:textId="77777777" w:rsidR="002E1A3F" w:rsidRPr="005C5F63" w:rsidRDefault="002E1A3F" w:rsidP="00F463C2">
            <w:pPr>
              <w:ind w:left="101" w:right="821"/>
              <w:jc w:val="center"/>
              <w:rPr>
                <w:rFonts w:ascii="Calibri" w:eastAsia="Calibri" w:hAnsi="Calibri" w:cs="Times New Roman"/>
                <w:color w:val="auto"/>
                <w:spacing w:val="1"/>
                <w:sz w:val="18"/>
                <w:szCs w:val="18"/>
              </w:rPr>
            </w:pPr>
          </w:p>
        </w:tc>
        <w:tc>
          <w:tcPr>
            <w:tcW w:w="3420" w:type="dxa"/>
            <w:tcBorders>
              <w:top w:val="single" w:sz="3" w:space="0" w:color="000000"/>
              <w:left w:val="single" w:sz="3" w:space="0" w:color="000000"/>
              <w:bottom w:val="single" w:sz="3" w:space="0" w:color="000000"/>
              <w:right w:val="single" w:sz="3" w:space="0" w:color="000000"/>
            </w:tcBorders>
          </w:tcPr>
          <w:p w14:paraId="2150C7F2" w14:textId="77777777" w:rsidR="002E1A3F" w:rsidRPr="005C5F63" w:rsidRDefault="00B00100" w:rsidP="00FC1A97">
            <w:pPr>
              <w:ind w:left="86"/>
              <w:rPr>
                <w:rFonts w:ascii="Calibri" w:eastAsia="Calibri" w:hAnsi="Calibri" w:cs="Times New Roman"/>
                <w:color w:val="auto"/>
                <w:sz w:val="18"/>
                <w:szCs w:val="18"/>
              </w:rPr>
            </w:pPr>
            <w:r w:rsidRPr="005C5F63">
              <w:rPr>
                <w:rFonts w:ascii="Calibri" w:eastAsia="Calibri" w:hAnsi="Calibri" w:cs="Times New Roman"/>
                <w:color w:val="auto"/>
                <w:sz w:val="18"/>
                <w:szCs w:val="18"/>
              </w:rPr>
              <w:t>Higher Education/Gender Specialist 2 SWs</w:t>
            </w:r>
          </w:p>
          <w:p w14:paraId="33135460" w14:textId="77777777" w:rsidR="002E1A3F" w:rsidRPr="005C5F63" w:rsidRDefault="00B00100" w:rsidP="003247A0">
            <w:pPr>
              <w:ind w:left="86"/>
              <w:rPr>
                <w:rFonts w:ascii="Calibri" w:eastAsia="Calibri" w:hAnsi="Calibri" w:cs="Times New Roman"/>
                <w:color w:val="auto"/>
                <w:sz w:val="18"/>
                <w:szCs w:val="18"/>
              </w:rPr>
            </w:pPr>
            <w:r w:rsidRPr="005C5F63">
              <w:rPr>
                <w:rFonts w:ascii="Calibri" w:eastAsia="Calibri" w:hAnsi="Calibri" w:cs="Times New Roman"/>
                <w:color w:val="auto"/>
                <w:sz w:val="18"/>
                <w:szCs w:val="18"/>
              </w:rPr>
              <w:t xml:space="preserve">                     </w:t>
            </w:r>
          </w:p>
          <w:p w14:paraId="0798A8F7" w14:textId="77777777" w:rsidR="002E1A3F" w:rsidRPr="005C5F63" w:rsidRDefault="00B00100" w:rsidP="003247A0">
            <w:pPr>
              <w:ind w:left="86"/>
              <w:rPr>
                <w:rFonts w:ascii="Calibri" w:eastAsia="Calibri" w:hAnsi="Calibri" w:cs="Times New Roman"/>
                <w:color w:val="auto"/>
                <w:sz w:val="18"/>
                <w:szCs w:val="18"/>
              </w:rPr>
            </w:pPr>
            <w:r w:rsidRPr="005C5F63">
              <w:rPr>
                <w:rFonts w:ascii="Calibri" w:eastAsia="Calibri" w:hAnsi="Calibri" w:cs="Times New Roman"/>
                <w:color w:val="auto"/>
                <w:sz w:val="18"/>
                <w:szCs w:val="18"/>
              </w:rPr>
              <w:t xml:space="preserve">                                                                 </w:t>
            </w:r>
          </w:p>
        </w:tc>
        <w:tc>
          <w:tcPr>
            <w:tcW w:w="866" w:type="dxa"/>
            <w:vMerge/>
            <w:tcBorders>
              <w:top w:val="single" w:sz="3" w:space="0" w:color="000000"/>
              <w:left w:val="single" w:sz="3" w:space="0" w:color="000000"/>
              <w:bottom w:val="single" w:sz="3" w:space="0" w:color="000000"/>
              <w:right w:val="single" w:sz="3" w:space="0" w:color="000000"/>
            </w:tcBorders>
          </w:tcPr>
          <w:p w14:paraId="0696C727" w14:textId="77777777" w:rsidR="002E1A3F" w:rsidRPr="005C5F63" w:rsidRDefault="002E1A3F" w:rsidP="008E2709">
            <w:pPr>
              <w:ind w:left="105"/>
              <w:rPr>
                <w:rFonts w:ascii="Calibri" w:eastAsia="Calibri" w:hAnsi="Calibri" w:cs="Times New Roman"/>
                <w:color w:val="auto"/>
                <w:sz w:val="18"/>
                <w:szCs w:val="18"/>
              </w:rPr>
            </w:pPr>
          </w:p>
        </w:tc>
      </w:tr>
      <w:tr w:rsidR="000C3959" w14:paraId="154CD19B" w14:textId="77777777" w:rsidTr="000C46A6">
        <w:trPr>
          <w:trHeight w:hRule="exact" w:val="724"/>
        </w:trPr>
        <w:tc>
          <w:tcPr>
            <w:tcW w:w="1161" w:type="dxa"/>
            <w:vMerge/>
            <w:tcBorders>
              <w:top w:val="single" w:sz="3" w:space="0" w:color="000000"/>
              <w:left w:val="single" w:sz="3" w:space="0" w:color="000000"/>
              <w:bottom w:val="single" w:sz="3" w:space="0" w:color="000000"/>
              <w:right w:val="single" w:sz="3" w:space="0" w:color="000000"/>
            </w:tcBorders>
          </w:tcPr>
          <w:p w14:paraId="280DA6E6"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2EC89521" w14:textId="77777777" w:rsidR="002E1A3F" w:rsidRPr="005C5F63" w:rsidRDefault="00B00100" w:rsidP="00404D0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Institutional arrangement and project supervision coordination and Team Leadership</w:t>
            </w:r>
          </w:p>
        </w:tc>
        <w:tc>
          <w:tcPr>
            <w:tcW w:w="3420" w:type="dxa"/>
            <w:tcBorders>
              <w:top w:val="single" w:sz="3" w:space="0" w:color="000000"/>
              <w:left w:val="single" w:sz="3" w:space="0" w:color="000000"/>
              <w:bottom w:val="single" w:sz="3" w:space="0" w:color="000000"/>
              <w:right w:val="single" w:sz="3" w:space="0" w:color="000000"/>
            </w:tcBorders>
          </w:tcPr>
          <w:p w14:paraId="600DE914" w14:textId="77777777" w:rsidR="002E1A3F" w:rsidRPr="005C5F63" w:rsidRDefault="002E1A3F" w:rsidP="00F463C2">
            <w:pPr>
              <w:rPr>
                <w:rFonts w:ascii="Calibri" w:eastAsia="Calibri" w:hAnsi="Calibri" w:cs="Times New Roman"/>
                <w:color w:val="auto"/>
                <w:sz w:val="18"/>
                <w:szCs w:val="18"/>
              </w:rPr>
            </w:pPr>
          </w:p>
          <w:p w14:paraId="10B39928" w14:textId="77777777" w:rsidR="002E1A3F" w:rsidRPr="005C5F63" w:rsidRDefault="00B00100" w:rsidP="00FC1A97">
            <w:pPr>
              <w:ind w:left="105"/>
              <w:rPr>
                <w:rFonts w:ascii="Calibri" w:eastAsia="Calibri" w:hAnsi="Calibri" w:cs="Times New Roman"/>
                <w:color w:val="auto"/>
                <w:sz w:val="18"/>
                <w:szCs w:val="18"/>
              </w:rPr>
            </w:pPr>
            <w:r w:rsidRPr="005C5F63">
              <w:rPr>
                <w:rFonts w:ascii="Calibri" w:eastAsia="Calibri" w:hAnsi="Calibri" w:cs="Times New Roman"/>
                <w:color w:val="auto"/>
                <w:sz w:val="18"/>
                <w:szCs w:val="18"/>
              </w:rPr>
              <w:t>TTLs                                                      15</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W</w:t>
            </w:r>
            <w:r w:rsidRPr="005C5F63">
              <w:rPr>
                <w:rFonts w:ascii="Calibri" w:eastAsia="Calibri" w:hAnsi="Calibri" w:cs="Times New Roman"/>
                <w:color w:val="auto"/>
                <w:sz w:val="18"/>
                <w:szCs w:val="18"/>
              </w:rPr>
              <w:t>s</w:t>
            </w:r>
          </w:p>
        </w:tc>
        <w:tc>
          <w:tcPr>
            <w:tcW w:w="866" w:type="dxa"/>
            <w:vMerge/>
            <w:tcBorders>
              <w:top w:val="single" w:sz="3" w:space="0" w:color="000000"/>
              <w:left w:val="single" w:sz="3" w:space="0" w:color="000000"/>
              <w:bottom w:val="single" w:sz="3" w:space="0" w:color="000000"/>
              <w:right w:val="single" w:sz="3" w:space="0" w:color="000000"/>
            </w:tcBorders>
          </w:tcPr>
          <w:p w14:paraId="550754CB" w14:textId="77777777" w:rsidR="002E1A3F" w:rsidRPr="005C5F63" w:rsidRDefault="002E1A3F" w:rsidP="008E2709">
            <w:pPr>
              <w:ind w:left="105"/>
              <w:rPr>
                <w:rFonts w:ascii="Calibri" w:eastAsia="Calibri" w:hAnsi="Calibri" w:cs="Times New Roman"/>
                <w:color w:val="auto"/>
                <w:sz w:val="18"/>
                <w:szCs w:val="18"/>
              </w:rPr>
            </w:pPr>
          </w:p>
        </w:tc>
      </w:tr>
      <w:tr w:rsidR="000C3959" w14:paraId="7BFF477B" w14:textId="77777777" w:rsidTr="000C46A6">
        <w:trPr>
          <w:trHeight w:hRule="exact" w:val="724"/>
        </w:trPr>
        <w:tc>
          <w:tcPr>
            <w:tcW w:w="1161" w:type="dxa"/>
            <w:vMerge w:val="restart"/>
            <w:tcBorders>
              <w:top w:val="single" w:sz="3" w:space="0" w:color="000000"/>
              <w:left w:val="single" w:sz="3" w:space="0" w:color="000000"/>
              <w:right w:val="single" w:sz="3" w:space="0" w:color="000000"/>
            </w:tcBorders>
          </w:tcPr>
          <w:p w14:paraId="3F11E354" w14:textId="77777777" w:rsidR="002E1A3F" w:rsidRPr="005C5F63" w:rsidRDefault="00B00100" w:rsidP="008E2709">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12</w:t>
            </w:r>
            <w:r w:rsidRPr="005C5F63">
              <w:rPr>
                <w:rFonts w:ascii="Calibri" w:eastAsia="Calibri" w:hAnsi="Calibri" w:cs="Times New Roman"/>
                <w:color w:val="auto"/>
                <w:spacing w:val="-2"/>
                <w:sz w:val="18"/>
                <w:szCs w:val="18"/>
              </w:rPr>
              <w:t>-</w:t>
            </w:r>
            <w:r w:rsidRPr="005C5F63">
              <w:rPr>
                <w:rFonts w:ascii="Calibri" w:eastAsia="Calibri" w:hAnsi="Calibri" w:cs="Times New Roman"/>
                <w:color w:val="auto"/>
                <w:spacing w:val="1"/>
                <w:sz w:val="18"/>
                <w:szCs w:val="18"/>
              </w:rPr>
              <w:t>48</w:t>
            </w:r>
          </w:p>
          <w:p w14:paraId="2C4AD3F3" w14:textId="77777777" w:rsidR="002E1A3F" w:rsidRPr="005C5F63" w:rsidRDefault="00B00100" w:rsidP="008E2709">
            <w:pPr>
              <w:ind w:left="105"/>
              <w:rPr>
                <w:rFonts w:ascii="Calibri" w:eastAsia="Calibri" w:hAnsi="Calibri" w:cs="Times New Roman"/>
                <w:color w:val="auto"/>
                <w:sz w:val="18"/>
                <w:szCs w:val="18"/>
              </w:rPr>
            </w:pP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4"/>
                <w:sz w:val="18"/>
                <w:szCs w:val="18"/>
              </w:rPr>
              <w:t>o</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1"/>
                <w:sz w:val="18"/>
                <w:szCs w:val="18"/>
              </w:rPr>
              <w:t>hs</w:t>
            </w:r>
          </w:p>
        </w:tc>
        <w:tc>
          <w:tcPr>
            <w:tcW w:w="4235" w:type="dxa"/>
            <w:tcBorders>
              <w:top w:val="single" w:sz="3" w:space="0" w:color="000000"/>
              <w:left w:val="single" w:sz="3" w:space="0" w:color="000000"/>
              <w:bottom w:val="single" w:sz="3" w:space="0" w:color="000000"/>
              <w:right w:val="single" w:sz="3" w:space="0" w:color="000000"/>
            </w:tcBorders>
          </w:tcPr>
          <w:p w14:paraId="4DB1E13A" w14:textId="77777777" w:rsidR="002E1A3F" w:rsidRPr="005C5F63" w:rsidRDefault="00B00100" w:rsidP="00404D02">
            <w:pPr>
              <w:ind w:left="88"/>
              <w:jc w:val="both"/>
              <w:rPr>
                <w:rFonts w:ascii="Calibri" w:eastAsia="Calibri" w:hAnsi="Calibri" w:cs="Times New Roman"/>
                <w:color w:val="auto"/>
                <w:sz w:val="18"/>
                <w:szCs w:val="18"/>
              </w:rPr>
            </w:pPr>
            <w:r w:rsidRPr="005C5F63">
              <w:rPr>
                <w:rFonts w:ascii="Calibri" w:eastAsia="Calibri" w:hAnsi="Calibri" w:cs="Times New Roman"/>
                <w:color w:val="auto"/>
                <w:spacing w:val="3"/>
                <w:sz w:val="18"/>
                <w:szCs w:val="18"/>
              </w:rPr>
              <w:t>T</w:t>
            </w:r>
            <w:r w:rsidRPr="005C5F63">
              <w:rPr>
                <w:rFonts w:ascii="Calibri" w:eastAsia="Calibri" w:hAnsi="Calibri" w:cs="Times New Roman"/>
                <w:color w:val="auto"/>
                <w:sz w:val="18"/>
                <w:szCs w:val="18"/>
              </w:rPr>
              <w:t>ec</w:t>
            </w:r>
            <w:r w:rsidRPr="005C5F63">
              <w:rPr>
                <w:rFonts w:ascii="Calibri" w:eastAsia="Calibri" w:hAnsi="Calibri" w:cs="Times New Roman"/>
                <w:color w:val="auto"/>
                <w:spacing w:val="-1"/>
                <w:sz w:val="18"/>
                <w:szCs w:val="18"/>
              </w:rPr>
              <w:t>hn</w:t>
            </w:r>
            <w:r w:rsidRPr="005C5F63">
              <w:rPr>
                <w:rFonts w:ascii="Calibri" w:eastAsia="Calibri" w:hAnsi="Calibri" w:cs="Times New Roman"/>
                <w:color w:val="auto"/>
                <w:sz w:val="18"/>
                <w:szCs w:val="18"/>
              </w:rPr>
              <w:t>ical</w:t>
            </w:r>
            <w:r w:rsidRPr="005C5F63">
              <w:rPr>
                <w:rFonts w:ascii="Calibri" w:eastAsia="Calibri" w:hAnsi="Calibri" w:cs="Times New Roman"/>
                <w:color w:val="auto"/>
                <w:spacing w:val="-8"/>
                <w:sz w:val="18"/>
                <w:szCs w:val="18"/>
              </w:rPr>
              <w:t xml:space="preserve"> </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2"/>
                <w:sz w:val="18"/>
                <w:szCs w:val="18"/>
              </w:rPr>
              <w:t>w</w:t>
            </w:r>
            <w:r w:rsidRPr="005C5F63">
              <w:rPr>
                <w:rFonts w:ascii="Calibri" w:eastAsia="Calibri" w:hAnsi="Calibri" w:cs="Times New Roman"/>
                <w:color w:val="auto"/>
                <w:sz w:val="18"/>
                <w:szCs w:val="18"/>
              </w:rPr>
              <w:t>/</w:t>
            </w:r>
            <w:r w:rsidRPr="005C5F63">
              <w:rPr>
                <w:rFonts w:ascii="Calibri" w:eastAsia="Calibri" w:hAnsi="Calibri" w:cs="Times New Roman"/>
                <w:color w:val="auto"/>
                <w:spacing w:val="2"/>
                <w:sz w:val="18"/>
                <w:szCs w:val="18"/>
              </w:rPr>
              <w:t>S</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pacing w:val="1"/>
                <w:sz w:val="18"/>
                <w:szCs w:val="18"/>
              </w:rPr>
              <w:t>ppor</w:t>
            </w:r>
            <w:r w:rsidRPr="005C5F63">
              <w:rPr>
                <w:rFonts w:ascii="Calibri" w:eastAsia="Calibri" w:hAnsi="Calibri" w:cs="Times New Roman"/>
                <w:color w:val="auto"/>
                <w:sz w:val="18"/>
                <w:szCs w:val="18"/>
              </w:rPr>
              <w:t>t</w:t>
            </w:r>
          </w:p>
        </w:tc>
        <w:tc>
          <w:tcPr>
            <w:tcW w:w="3420" w:type="dxa"/>
            <w:tcBorders>
              <w:top w:val="single" w:sz="3" w:space="0" w:color="000000"/>
              <w:left w:val="single" w:sz="3" w:space="0" w:color="000000"/>
              <w:bottom w:val="single" w:sz="3" w:space="0" w:color="000000"/>
              <w:right w:val="single" w:sz="3" w:space="0" w:color="000000"/>
            </w:tcBorders>
          </w:tcPr>
          <w:p w14:paraId="3C1A40A4" w14:textId="77777777" w:rsidR="002E1A3F" w:rsidRPr="005C5F63" w:rsidRDefault="00B00100" w:rsidP="00F463C2">
            <w:pPr>
              <w:ind w:left="105"/>
              <w:rPr>
                <w:rFonts w:ascii="Calibri" w:eastAsia="Calibri" w:hAnsi="Calibri" w:cs="Times New Roman"/>
                <w:color w:val="auto"/>
                <w:sz w:val="18"/>
                <w:szCs w:val="18"/>
              </w:rPr>
            </w:pPr>
            <w:r w:rsidRPr="005C5F63">
              <w:rPr>
                <w:rFonts w:ascii="Calibri" w:eastAsia="Calibri" w:hAnsi="Calibri" w:cs="Times New Roman"/>
                <w:color w:val="auto"/>
                <w:sz w:val="18"/>
                <w:szCs w:val="18"/>
              </w:rPr>
              <w:t>TTLs                                                        4 SWs Country Co-TTLs                                   3</w:t>
            </w:r>
            <w:r w:rsidRPr="005C5F63">
              <w:rPr>
                <w:rFonts w:ascii="Calibri" w:eastAsia="Calibri" w:hAnsi="Calibri" w:cs="Times New Roman"/>
                <w:color w:val="auto"/>
                <w:spacing w:val="1"/>
                <w:sz w:val="18"/>
                <w:szCs w:val="18"/>
              </w:rPr>
              <w:t xml:space="preserve"> S</w:t>
            </w:r>
            <w:r w:rsidRPr="005C5F63">
              <w:rPr>
                <w:rFonts w:ascii="Calibri" w:eastAsia="Calibri" w:hAnsi="Calibri" w:cs="Times New Roman"/>
                <w:color w:val="auto"/>
                <w:spacing w:val="2"/>
                <w:sz w:val="18"/>
                <w:szCs w:val="18"/>
              </w:rPr>
              <w:t>W</w:t>
            </w:r>
            <w:r w:rsidRPr="005C5F63">
              <w:rPr>
                <w:rFonts w:ascii="Calibri" w:eastAsia="Calibri" w:hAnsi="Calibri" w:cs="Times New Roman"/>
                <w:color w:val="auto"/>
                <w:sz w:val="18"/>
                <w:szCs w:val="18"/>
              </w:rPr>
              <w:t>s</w:t>
            </w:r>
          </w:p>
          <w:p w14:paraId="562EB3DC" w14:textId="77777777" w:rsidR="002E1A3F" w:rsidRPr="005C5F63" w:rsidRDefault="00B00100" w:rsidP="00FC1A97">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1"/>
                <w:sz w:val="18"/>
                <w:szCs w:val="18"/>
              </w:rPr>
              <w:t>&amp;</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4"/>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5"/>
                <w:sz w:val="18"/>
                <w:szCs w:val="18"/>
              </w:rPr>
              <w:t xml:space="preserve">      </w:t>
            </w:r>
            <w:r w:rsidRPr="005C5F63">
              <w:rPr>
                <w:rFonts w:ascii="Calibri" w:eastAsia="Calibri" w:hAnsi="Calibri" w:cs="Times New Roman"/>
                <w:color w:val="auto"/>
                <w:sz w:val="18"/>
                <w:szCs w:val="18"/>
              </w:rPr>
              <w:t>3</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2"/>
                <w:sz w:val="18"/>
                <w:szCs w:val="18"/>
              </w:rPr>
              <w:t>W</w:t>
            </w:r>
            <w:r w:rsidRPr="005C5F63">
              <w:rPr>
                <w:rFonts w:ascii="Calibri" w:eastAsia="Calibri" w:hAnsi="Calibri" w:cs="Times New Roman"/>
                <w:color w:val="auto"/>
                <w:sz w:val="18"/>
                <w:szCs w:val="18"/>
              </w:rPr>
              <w:t>s</w:t>
            </w:r>
          </w:p>
        </w:tc>
        <w:tc>
          <w:tcPr>
            <w:tcW w:w="866" w:type="dxa"/>
            <w:vMerge w:val="restart"/>
            <w:tcBorders>
              <w:top w:val="single" w:sz="3" w:space="0" w:color="000000"/>
              <w:left w:val="single" w:sz="3" w:space="0" w:color="000000"/>
              <w:right w:val="single" w:sz="3" w:space="0" w:color="000000"/>
            </w:tcBorders>
          </w:tcPr>
          <w:p w14:paraId="58B6E86B" w14:textId="77777777" w:rsidR="002E1A3F" w:rsidRPr="005C5F63" w:rsidRDefault="002E1A3F" w:rsidP="008E2709">
            <w:pPr>
              <w:ind w:left="105"/>
              <w:rPr>
                <w:rFonts w:ascii="Calibri" w:eastAsia="Calibri" w:hAnsi="Calibri" w:cs="Times New Roman"/>
                <w:color w:val="auto"/>
                <w:sz w:val="18"/>
                <w:szCs w:val="18"/>
              </w:rPr>
            </w:pPr>
          </w:p>
        </w:tc>
      </w:tr>
      <w:tr w:rsidR="000C3959" w14:paraId="6D5CC09E" w14:textId="77777777" w:rsidTr="000C46A6">
        <w:trPr>
          <w:trHeight w:hRule="exact" w:val="544"/>
        </w:trPr>
        <w:tc>
          <w:tcPr>
            <w:tcW w:w="1161" w:type="dxa"/>
            <w:vMerge/>
            <w:tcBorders>
              <w:left w:val="single" w:sz="3" w:space="0" w:color="000000"/>
              <w:right w:val="single" w:sz="3" w:space="0" w:color="000000"/>
            </w:tcBorders>
          </w:tcPr>
          <w:p w14:paraId="0B662822"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691E49EF" w14:textId="77777777" w:rsidR="002E1A3F" w:rsidRPr="005C5F63" w:rsidRDefault="00B00100" w:rsidP="00404D0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E</w:t>
            </w:r>
            <w:r w:rsidRPr="005C5F63">
              <w:rPr>
                <w:rFonts w:ascii="Calibri" w:eastAsia="Calibri" w:hAnsi="Calibri" w:cs="Times New Roman"/>
                <w:color w:val="auto"/>
                <w:spacing w:val="-1"/>
                <w:sz w:val="18"/>
                <w:szCs w:val="18"/>
              </w:rPr>
              <w:t>nv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ron</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pacing w:val="3"/>
                <w:sz w:val="18"/>
                <w:szCs w:val="18"/>
              </w:rPr>
              <w:t>a</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d</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z w:val="18"/>
                <w:szCs w:val="18"/>
              </w:rPr>
              <w:t>cial</w:t>
            </w:r>
            <w:r w:rsidRPr="005C5F63">
              <w:rPr>
                <w:rFonts w:ascii="Calibri" w:eastAsia="Calibri" w:hAnsi="Calibri" w:cs="Times New Roman"/>
                <w:color w:val="auto"/>
                <w:spacing w:val="-2"/>
                <w:sz w:val="18"/>
                <w:szCs w:val="18"/>
              </w:rPr>
              <w:t xml:space="preserve"> </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1"/>
                <w:sz w:val="18"/>
                <w:szCs w:val="18"/>
              </w:rPr>
              <w:t>on</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1"/>
                <w:sz w:val="18"/>
                <w:szCs w:val="18"/>
              </w:rPr>
              <w:t>or</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g</w:t>
            </w:r>
            <w:r w:rsidRPr="005C5F63">
              <w:rPr>
                <w:rFonts w:ascii="Calibri" w:eastAsia="Calibri" w:hAnsi="Calibri" w:cs="Times New Roman"/>
                <w:color w:val="auto"/>
                <w:spacing w:val="-7"/>
                <w:sz w:val="18"/>
                <w:szCs w:val="18"/>
              </w:rPr>
              <w:t xml:space="preserve"> </w:t>
            </w:r>
            <w:r w:rsidRPr="005C5F63">
              <w:rPr>
                <w:rFonts w:ascii="Calibri" w:eastAsia="Calibri" w:hAnsi="Calibri" w:cs="Times New Roman"/>
                <w:color w:val="auto"/>
                <w:sz w:val="18"/>
                <w:szCs w:val="18"/>
              </w:rPr>
              <w:t>&amp;</w:t>
            </w:r>
          </w:p>
          <w:p w14:paraId="4A074EC2" w14:textId="77777777" w:rsidR="002E1A3F" w:rsidRPr="005C5F63" w:rsidRDefault="00B00100" w:rsidP="00F463C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1"/>
                <w:sz w:val="18"/>
                <w:szCs w:val="18"/>
              </w:rPr>
              <w:t>por</w:t>
            </w:r>
            <w:r w:rsidRPr="005C5F63">
              <w:rPr>
                <w:rFonts w:ascii="Calibri" w:eastAsia="Calibri" w:hAnsi="Calibri" w:cs="Times New Roman"/>
                <w:color w:val="auto"/>
                <w:sz w:val="18"/>
                <w:szCs w:val="18"/>
              </w:rPr>
              <w:t>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g</w:t>
            </w:r>
          </w:p>
        </w:tc>
        <w:tc>
          <w:tcPr>
            <w:tcW w:w="3420" w:type="dxa"/>
            <w:tcBorders>
              <w:top w:val="single" w:sz="3" w:space="0" w:color="000000"/>
              <w:left w:val="single" w:sz="3" w:space="0" w:color="000000"/>
              <w:bottom w:val="single" w:sz="3" w:space="0" w:color="000000"/>
              <w:right w:val="single" w:sz="3" w:space="0" w:color="000000"/>
            </w:tcBorders>
          </w:tcPr>
          <w:p w14:paraId="156548C3" w14:textId="77777777" w:rsidR="002E1A3F" w:rsidRPr="005C5F63" w:rsidRDefault="00B00100" w:rsidP="00FC1A97">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E</w:t>
            </w:r>
            <w:r w:rsidRPr="005C5F63">
              <w:rPr>
                <w:rFonts w:ascii="Calibri" w:eastAsia="Calibri" w:hAnsi="Calibri" w:cs="Times New Roman"/>
                <w:color w:val="auto"/>
                <w:spacing w:val="-1"/>
                <w:sz w:val="18"/>
                <w:szCs w:val="18"/>
              </w:rPr>
              <w:t>nv</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ron</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5"/>
                <w:sz w:val="18"/>
                <w:szCs w:val="18"/>
              </w:rPr>
              <w:t xml:space="preserve">     </w:t>
            </w:r>
            <w:r w:rsidR="00990BFC" w:rsidRPr="005C5F63">
              <w:rPr>
                <w:rFonts w:ascii="Calibri" w:eastAsia="Calibri" w:hAnsi="Calibri" w:cs="Times New Roman"/>
                <w:color w:val="auto"/>
                <w:sz w:val="18"/>
                <w:szCs w:val="18"/>
              </w:rPr>
              <w:t>3</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SWs</w:t>
            </w:r>
          </w:p>
          <w:p w14:paraId="69A523F9" w14:textId="77777777" w:rsidR="002E1A3F" w:rsidRPr="005C5F63" w:rsidRDefault="00B00100" w:rsidP="003247A0">
            <w:pPr>
              <w:ind w:left="105" w:right="271"/>
              <w:rPr>
                <w:rFonts w:ascii="Calibri" w:eastAsia="Calibri" w:hAnsi="Calibri" w:cs="Times New Roman"/>
                <w:color w:val="auto"/>
                <w:sz w:val="18"/>
                <w:szCs w:val="18"/>
              </w:rPr>
            </w:pP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z w:val="18"/>
                <w:szCs w:val="18"/>
              </w:rPr>
              <w:t>cial</w:t>
            </w:r>
            <w:r w:rsidRPr="005C5F63">
              <w:rPr>
                <w:rFonts w:ascii="Calibri" w:eastAsia="Calibri" w:hAnsi="Calibri" w:cs="Times New Roman"/>
                <w:color w:val="auto"/>
                <w:spacing w:val="-5"/>
                <w:sz w:val="18"/>
                <w:szCs w:val="18"/>
              </w:rPr>
              <w:t xml:space="preserve"> </w:t>
            </w:r>
            <w:r w:rsidRPr="005C5F63">
              <w:rPr>
                <w:rFonts w:ascii="Calibri" w:eastAsia="Calibri" w:hAnsi="Calibri" w:cs="Times New Roman"/>
                <w:color w:val="auto"/>
                <w:sz w:val="18"/>
                <w:szCs w:val="18"/>
              </w:rPr>
              <w:t>De</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z w:val="18"/>
                <w:szCs w:val="18"/>
              </w:rPr>
              <w:t>el</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pacing w:val="4"/>
                <w:sz w:val="18"/>
                <w:szCs w:val="18"/>
              </w:rPr>
              <w:t>p</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ecial</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 xml:space="preserve">t </w:t>
            </w:r>
            <w:r w:rsidRPr="005C5F63">
              <w:rPr>
                <w:rFonts w:ascii="Calibri" w:eastAsia="Calibri" w:hAnsi="Calibri" w:cs="Times New Roman"/>
                <w:color w:val="auto"/>
                <w:spacing w:val="45"/>
                <w:sz w:val="18"/>
                <w:szCs w:val="18"/>
              </w:rPr>
              <w:t xml:space="preserve">   </w:t>
            </w:r>
            <w:r w:rsidR="00990BFC" w:rsidRPr="005C5F63">
              <w:rPr>
                <w:rFonts w:ascii="Calibri" w:eastAsia="Calibri" w:hAnsi="Calibri" w:cs="Times New Roman"/>
                <w:color w:val="auto"/>
                <w:sz w:val="18"/>
                <w:szCs w:val="18"/>
              </w:rPr>
              <w:t xml:space="preserve"> 3</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SWs</w:t>
            </w:r>
          </w:p>
        </w:tc>
        <w:tc>
          <w:tcPr>
            <w:tcW w:w="866" w:type="dxa"/>
            <w:vMerge/>
            <w:tcBorders>
              <w:left w:val="single" w:sz="3" w:space="0" w:color="000000"/>
              <w:right w:val="single" w:sz="3" w:space="0" w:color="000000"/>
            </w:tcBorders>
          </w:tcPr>
          <w:p w14:paraId="7F61FE11" w14:textId="77777777" w:rsidR="002E1A3F" w:rsidRPr="005C5F63" w:rsidRDefault="002E1A3F" w:rsidP="008E2709">
            <w:pPr>
              <w:ind w:left="105" w:right="271"/>
              <w:rPr>
                <w:rFonts w:ascii="Calibri" w:eastAsia="Calibri" w:hAnsi="Calibri" w:cs="Times New Roman"/>
                <w:color w:val="auto"/>
                <w:sz w:val="18"/>
                <w:szCs w:val="18"/>
              </w:rPr>
            </w:pPr>
          </w:p>
        </w:tc>
      </w:tr>
      <w:tr w:rsidR="000C3959" w14:paraId="5EFBB013" w14:textId="77777777" w:rsidTr="000C46A6">
        <w:trPr>
          <w:trHeight w:hRule="exact" w:val="355"/>
        </w:trPr>
        <w:tc>
          <w:tcPr>
            <w:tcW w:w="1161" w:type="dxa"/>
            <w:vMerge/>
            <w:tcBorders>
              <w:left w:val="single" w:sz="3" w:space="0" w:color="000000"/>
              <w:right w:val="single" w:sz="3" w:space="0" w:color="000000"/>
            </w:tcBorders>
          </w:tcPr>
          <w:p w14:paraId="1A5663B6" w14:textId="77777777" w:rsidR="002E1A3F" w:rsidRPr="005C5F63" w:rsidRDefault="002E1A3F" w:rsidP="008E2709">
            <w:pPr>
              <w:ind w:left="105" w:right="271"/>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7F3C0FC2" w14:textId="77777777" w:rsidR="002E1A3F" w:rsidRPr="005C5F63" w:rsidRDefault="00B00100" w:rsidP="00404D02">
            <w:pPr>
              <w:ind w:left="105"/>
              <w:rPr>
                <w:rFonts w:ascii="Calibri" w:eastAsia="Calibri" w:hAnsi="Calibri" w:cs="Times New Roman"/>
                <w:color w:val="auto"/>
                <w:sz w:val="18"/>
                <w:szCs w:val="18"/>
              </w:rPr>
            </w:pPr>
            <w:r w:rsidRPr="005C5F63">
              <w:rPr>
                <w:rFonts w:ascii="Calibri" w:eastAsia="Calibri" w:hAnsi="Calibri" w:cs="Times New Roman"/>
                <w:color w:val="auto"/>
                <w:spacing w:val="1"/>
                <w:sz w:val="18"/>
                <w:szCs w:val="18"/>
              </w:rPr>
              <w:t>FM disbursement and reporting</w:t>
            </w:r>
          </w:p>
        </w:tc>
        <w:tc>
          <w:tcPr>
            <w:tcW w:w="3420" w:type="dxa"/>
            <w:tcBorders>
              <w:top w:val="single" w:sz="3" w:space="0" w:color="000000"/>
              <w:left w:val="single" w:sz="3" w:space="0" w:color="000000"/>
              <w:bottom w:val="single" w:sz="3" w:space="0" w:color="000000"/>
              <w:right w:val="single" w:sz="3" w:space="0" w:color="000000"/>
            </w:tcBorders>
          </w:tcPr>
          <w:p w14:paraId="3E359317" w14:textId="77777777" w:rsidR="002E1A3F" w:rsidRPr="005C5F63" w:rsidRDefault="00B00100" w:rsidP="00F463C2">
            <w:pPr>
              <w:ind w:left="105"/>
              <w:rPr>
                <w:rFonts w:ascii="Calibri" w:eastAsia="Calibri" w:hAnsi="Calibri" w:cs="Times New Roman"/>
                <w:color w:val="auto"/>
                <w:sz w:val="18"/>
                <w:szCs w:val="18"/>
              </w:rPr>
            </w:pPr>
            <w:r>
              <w:rPr>
                <w:rFonts w:ascii="Calibri" w:eastAsia="Calibri" w:hAnsi="Calibri" w:cs="Times New Roman"/>
                <w:color w:val="auto"/>
                <w:sz w:val="18"/>
                <w:szCs w:val="18"/>
              </w:rPr>
              <w:t>FMS</w:t>
            </w:r>
            <w:r w:rsidR="00FB4CA6" w:rsidRPr="005C5F63">
              <w:rPr>
                <w:rFonts w:ascii="Calibri" w:eastAsia="Calibri" w:hAnsi="Calibri" w:cs="Times New Roman"/>
                <w:color w:val="auto"/>
                <w:sz w:val="18"/>
                <w:szCs w:val="18"/>
              </w:rPr>
              <w:t xml:space="preserve">                                        4</w:t>
            </w:r>
            <w:r w:rsidR="00FB4CA6" w:rsidRPr="005C5F63">
              <w:rPr>
                <w:rFonts w:ascii="Calibri" w:eastAsia="Calibri" w:hAnsi="Calibri" w:cs="Times New Roman"/>
                <w:color w:val="auto"/>
                <w:spacing w:val="1"/>
                <w:sz w:val="18"/>
                <w:szCs w:val="18"/>
              </w:rPr>
              <w:t xml:space="preserve"> </w:t>
            </w:r>
            <w:r w:rsidR="00FB4CA6" w:rsidRPr="005C5F63">
              <w:rPr>
                <w:rFonts w:ascii="Calibri" w:eastAsia="Calibri" w:hAnsi="Calibri" w:cs="Times New Roman"/>
                <w:color w:val="auto"/>
                <w:sz w:val="18"/>
                <w:szCs w:val="18"/>
              </w:rPr>
              <w:t>S</w:t>
            </w:r>
            <w:r w:rsidR="00FB4CA6" w:rsidRPr="005C5F63">
              <w:rPr>
                <w:rFonts w:ascii="Calibri" w:eastAsia="Calibri" w:hAnsi="Calibri" w:cs="Times New Roman"/>
                <w:color w:val="auto"/>
                <w:spacing w:val="2"/>
                <w:sz w:val="18"/>
                <w:szCs w:val="18"/>
              </w:rPr>
              <w:t>W</w:t>
            </w:r>
            <w:r w:rsidR="00FB4CA6" w:rsidRPr="005C5F63">
              <w:rPr>
                <w:rFonts w:ascii="Calibri" w:eastAsia="Calibri" w:hAnsi="Calibri" w:cs="Times New Roman"/>
                <w:color w:val="auto"/>
                <w:sz w:val="18"/>
                <w:szCs w:val="18"/>
              </w:rPr>
              <w:t>s</w:t>
            </w:r>
          </w:p>
          <w:p w14:paraId="2858BEE3" w14:textId="77777777" w:rsidR="002E1A3F" w:rsidRPr="005C5F63" w:rsidRDefault="002E1A3F" w:rsidP="00FC1A97">
            <w:pPr>
              <w:ind w:left="105"/>
              <w:rPr>
                <w:rFonts w:ascii="Calibri" w:eastAsia="Calibri" w:hAnsi="Calibri" w:cs="Times New Roman"/>
                <w:color w:val="auto"/>
                <w:sz w:val="18"/>
                <w:szCs w:val="18"/>
              </w:rPr>
            </w:pPr>
          </w:p>
        </w:tc>
        <w:tc>
          <w:tcPr>
            <w:tcW w:w="866" w:type="dxa"/>
            <w:vMerge/>
            <w:tcBorders>
              <w:left w:val="single" w:sz="3" w:space="0" w:color="000000"/>
              <w:right w:val="single" w:sz="3" w:space="0" w:color="000000"/>
            </w:tcBorders>
          </w:tcPr>
          <w:p w14:paraId="6F9FC2A9" w14:textId="77777777" w:rsidR="002E1A3F" w:rsidRPr="005C5F63" w:rsidRDefault="002E1A3F" w:rsidP="008E2709">
            <w:pPr>
              <w:ind w:left="105"/>
              <w:rPr>
                <w:rFonts w:ascii="Calibri" w:eastAsia="Calibri" w:hAnsi="Calibri" w:cs="Times New Roman"/>
                <w:color w:val="auto"/>
                <w:sz w:val="18"/>
                <w:szCs w:val="18"/>
              </w:rPr>
            </w:pPr>
          </w:p>
        </w:tc>
      </w:tr>
      <w:tr w:rsidR="000C3959" w14:paraId="67B465C0" w14:textId="77777777" w:rsidTr="000C46A6">
        <w:trPr>
          <w:trHeight w:hRule="exact" w:val="246"/>
        </w:trPr>
        <w:tc>
          <w:tcPr>
            <w:tcW w:w="1161" w:type="dxa"/>
            <w:vMerge/>
            <w:tcBorders>
              <w:left w:val="single" w:sz="3" w:space="0" w:color="000000"/>
              <w:right w:val="single" w:sz="3" w:space="0" w:color="000000"/>
            </w:tcBorders>
          </w:tcPr>
          <w:p w14:paraId="789EAB48"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7A1DD5F3" w14:textId="77777777" w:rsidR="002E1A3F" w:rsidRPr="005C5F63" w:rsidRDefault="00B00100" w:rsidP="00404D02">
            <w:pPr>
              <w:ind w:left="105"/>
              <w:rPr>
                <w:rFonts w:ascii="Calibri" w:eastAsia="Calibri" w:hAnsi="Calibri" w:cs="Times New Roman"/>
                <w:color w:val="auto"/>
                <w:sz w:val="18"/>
                <w:szCs w:val="18"/>
              </w:rPr>
            </w:pPr>
            <w:r w:rsidRPr="005C5F63">
              <w:rPr>
                <w:rFonts w:ascii="Calibri" w:eastAsia="Calibri" w:hAnsi="Calibri" w:cs="Times New Roman"/>
                <w:color w:val="auto"/>
                <w:spacing w:val="2"/>
                <w:sz w:val="18"/>
                <w:szCs w:val="18"/>
              </w:rPr>
              <w:t>P</w:t>
            </w:r>
            <w:r w:rsidRPr="005C5F63">
              <w:rPr>
                <w:rFonts w:ascii="Calibri" w:eastAsia="Calibri" w:hAnsi="Calibri" w:cs="Times New Roman"/>
                <w:color w:val="auto"/>
                <w:spacing w:val="1"/>
                <w:sz w:val="18"/>
                <w:szCs w:val="18"/>
              </w:rPr>
              <w:t>ro</w:t>
            </w:r>
            <w:r w:rsidRPr="005C5F63">
              <w:rPr>
                <w:rFonts w:ascii="Calibri" w:eastAsia="Calibri" w:hAnsi="Calibri" w:cs="Times New Roman"/>
                <w:color w:val="auto"/>
                <w:sz w:val="18"/>
                <w:szCs w:val="18"/>
              </w:rPr>
              <w:t>c</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7"/>
                <w:sz w:val="18"/>
                <w:szCs w:val="18"/>
              </w:rPr>
              <w:t xml:space="preserve"> </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3"/>
                <w:sz w:val="18"/>
                <w:szCs w:val="18"/>
              </w:rPr>
              <w:t>a</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pacing w:val="3"/>
                <w:sz w:val="18"/>
                <w:szCs w:val="18"/>
              </w:rPr>
              <w:t>a</w:t>
            </w:r>
            <w:r w:rsidRPr="005C5F63">
              <w:rPr>
                <w:rFonts w:ascii="Calibri" w:eastAsia="Calibri" w:hAnsi="Calibri" w:cs="Times New Roman"/>
                <w:color w:val="auto"/>
                <w:spacing w:val="-1"/>
                <w:sz w:val="18"/>
                <w:szCs w:val="18"/>
              </w:rPr>
              <w:t>g</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1"/>
                <w:sz w:val="18"/>
                <w:szCs w:val="18"/>
              </w:rPr>
              <w:t>nt</w:t>
            </w:r>
          </w:p>
        </w:tc>
        <w:tc>
          <w:tcPr>
            <w:tcW w:w="3420" w:type="dxa"/>
            <w:tcBorders>
              <w:top w:val="single" w:sz="3" w:space="0" w:color="000000"/>
              <w:left w:val="single" w:sz="3" w:space="0" w:color="000000"/>
              <w:bottom w:val="single" w:sz="3" w:space="0" w:color="000000"/>
              <w:right w:val="single" w:sz="3" w:space="0" w:color="000000"/>
            </w:tcBorders>
          </w:tcPr>
          <w:p w14:paraId="65A5C196" w14:textId="77777777" w:rsidR="002E1A3F" w:rsidRPr="005C5F63" w:rsidRDefault="00B00100" w:rsidP="00F463C2">
            <w:pPr>
              <w:ind w:left="105"/>
              <w:rPr>
                <w:rFonts w:ascii="Calibri" w:eastAsia="Calibri" w:hAnsi="Calibri" w:cs="Times New Roman"/>
                <w:color w:val="auto"/>
                <w:sz w:val="18"/>
                <w:szCs w:val="18"/>
              </w:rPr>
            </w:pPr>
            <w:r w:rsidRPr="005C5F63">
              <w:rPr>
                <w:rFonts w:ascii="Calibri" w:eastAsia="Calibri" w:hAnsi="Calibri" w:cs="Times New Roman"/>
                <w:color w:val="auto"/>
                <w:spacing w:val="2"/>
                <w:sz w:val="18"/>
                <w:szCs w:val="18"/>
              </w:rPr>
              <w:t>P</w:t>
            </w:r>
            <w:r w:rsidRPr="005C5F63">
              <w:rPr>
                <w:rFonts w:ascii="Calibri" w:eastAsia="Calibri" w:hAnsi="Calibri" w:cs="Times New Roman"/>
                <w:color w:val="auto"/>
                <w:spacing w:val="1"/>
                <w:sz w:val="18"/>
                <w:szCs w:val="18"/>
              </w:rPr>
              <w:t>ro</w:t>
            </w:r>
            <w:r w:rsidRPr="005C5F63">
              <w:rPr>
                <w:rFonts w:ascii="Calibri" w:eastAsia="Calibri" w:hAnsi="Calibri" w:cs="Times New Roman"/>
                <w:color w:val="auto"/>
                <w:sz w:val="18"/>
                <w:szCs w:val="18"/>
              </w:rPr>
              <w:t>c</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4"/>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pacing w:val="1"/>
                <w:sz w:val="18"/>
                <w:szCs w:val="18"/>
              </w:rPr>
              <w:t>Specialist</w:t>
            </w:r>
            <w:r w:rsidRPr="005C5F63">
              <w:rPr>
                <w:rFonts w:ascii="Calibri" w:eastAsia="Calibri" w:hAnsi="Calibri" w:cs="Times New Roman"/>
                <w:color w:val="auto"/>
                <w:sz w:val="18"/>
                <w:szCs w:val="18"/>
              </w:rPr>
              <w:t xml:space="preserve">       </w:t>
            </w:r>
            <w:r w:rsidRPr="005C5F63">
              <w:rPr>
                <w:rFonts w:ascii="Calibri" w:eastAsia="Calibri" w:hAnsi="Calibri" w:cs="Times New Roman"/>
                <w:color w:val="auto"/>
                <w:spacing w:val="45"/>
                <w:sz w:val="18"/>
                <w:szCs w:val="18"/>
              </w:rPr>
              <w:t xml:space="preserve">        </w:t>
            </w:r>
            <w:r w:rsidRPr="005C5F63">
              <w:rPr>
                <w:rFonts w:ascii="Calibri" w:eastAsia="Calibri" w:hAnsi="Calibri" w:cs="Times New Roman"/>
                <w:color w:val="auto"/>
                <w:sz w:val="18"/>
                <w:szCs w:val="18"/>
              </w:rPr>
              <w:t>2</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SWs</w:t>
            </w:r>
          </w:p>
        </w:tc>
        <w:tc>
          <w:tcPr>
            <w:tcW w:w="866" w:type="dxa"/>
            <w:vMerge/>
            <w:tcBorders>
              <w:left w:val="single" w:sz="3" w:space="0" w:color="000000"/>
              <w:right w:val="single" w:sz="3" w:space="0" w:color="000000"/>
            </w:tcBorders>
          </w:tcPr>
          <w:p w14:paraId="23009081" w14:textId="77777777" w:rsidR="002E1A3F" w:rsidRPr="005C5F63" w:rsidRDefault="002E1A3F" w:rsidP="008E2709">
            <w:pPr>
              <w:ind w:left="105"/>
              <w:rPr>
                <w:rFonts w:ascii="Calibri" w:eastAsia="Calibri" w:hAnsi="Calibri" w:cs="Times New Roman"/>
                <w:color w:val="auto"/>
                <w:sz w:val="18"/>
                <w:szCs w:val="18"/>
              </w:rPr>
            </w:pPr>
          </w:p>
        </w:tc>
      </w:tr>
      <w:tr w:rsidR="000C3959" w14:paraId="1CF17422" w14:textId="77777777" w:rsidTr="000C46A6">
        <w:trPr>
          <w:trHeight w:hRule="exact" w:val="572"/>
        </w:trPr>
        <w:tc>
          <w:tcPr>
            <w:tcW w:w="1161" w:type="dxa"/>
            <w:vMerge/>
            <w:tcBorders>
              <w:left w:val="single" w:sz="3" w:space="0" w:color="000000"/>
              <w:bottom w:val="single" w:sz="3" w:space="0" w:color="000000"/>
              <w:right w:val="single" w:sz="3" w:space="0" w:color="000000"/>
            </w:tcBorders>
          </w:tcPr>
          <w:p w14:paraId="0EB05C22" w14:textId="77777777" w:rsidR="002E1A3F" w:rsidRPr="005C5F63" w:rsidRDefault="002E1A3F" w:rsidP="008E2709">
            <w:pPr>
              <w:ind w:left="105"/>
              <w:rPr>
                <w:rFonts w:ascii="Calibri" w:eastAsia="Calibri" w:hAnsi="Calibri" w:cs="Times New Roman"/>
                <w:color w:val="auto"/>
                <w:sz w:val="18"/>
                <w:szCs w:val="18"/>
              </w:rPr>
            </w:pPr>
          </w:p>
        </w:tc>
        <w:tc>
          <w:tcPr>
            <w:tcW w:w="4235" w:type="dxa"/>
            <w:tcBorders>
              <w:top w:val="single" w:sz="3" w:space="0" w:color="000000"/>
              <w:left w:val="single" w:sz="3" w:space="0" w:color="000000"/>
              <w:bottom w:val="single" w:sz="3" w:space="0" w:color="000000"/>
              <w:right w:val="single" w:sz="3" w:space="0" w:color="000000"/>
            </w:tcBorders>
          </w:tcPr>
          <w:p w14:paraId="1ECB2E9D" w14:textId="77777777" w:rsidR="002E1A3F" w:rsidRPr="005C5F63" w:rsidRDefault="00B00100" w:rsidP="00404D02">
            <w:pPr>
              <w:ind w:left="105"/>
              <w:rPr>
                <w:rFonts w:ascii="Calibri" w:eastAsia="Calibri" w:hAnsi="Calibri" w:cs="Times New Roman"/>
                <w:color w:val="auto"/>
                <w:spacing w:val="2"/>
                <w:sz w:val="18"/>
                <w:szCs w:val="18"/>
              </w:rPr>
            </w:pPr>
            <w:r w:rsidRPr="005C5F63">
              <w:rPr>
                <w:rFonts w:ascii="Calibri" w:eastAsia="Calibri" w:hAnsi="Calibri" w:cs="Times New Roman"/>
                <w:color w:val="auto"/>
                <w:spacing w:val="1"/>
                <w:sz w:val="18"/>
                <w:szCs w:val="18"/>
              </w:rPr>
              <w:t>I</w:t>
            </w:r>
            <w:r w:rsidRPr="005C5F63">
              <w:rPr>
                <w:rFonts w:ascii="Calibri" w:eastAsia="Calibri" w:hAnsi="Calibri" w:cs="Times New Roman"/>
                <w:color w:val="auto"/>
                <w:spacing w:val="-1"/>
                <w:sz w:val="18"/>
                <w:szCs w:val="18"/>
              </w:rPr>
              <w:t>ns</w:t>
            </w:r>
            <w:r w:rsidRPr="005C5F63">
              <w:rPr>
                <w:rFonts w:ascii="Calibri" w:eastAsia="Calibri" w:hAnsi="Calibri" w:cs="Times New Roman"/>
                <w:color w:val="auto"/>
                <w:sz w:val="18"/>
                <w:szCs w:val="18"/>
              </w:rPr>
              <w:t>ti</w:t>
            </w:r>
            <w:r w:rsidRPr="005C5F63">
              <w:rPr>
                <w:rFonts w:ascii="Calibri" w:eastAsia="Calibri" w:hAnsi="Calibri" w:cs="Times New Roman"/>
                <w:color w:val="auto"/>
                <w:spacing w:val="2"/>
                <w:sz w:val="18"/>
                <w:szCs w:val="18"/>
              </w:rPr>
              <w:t>t</w:t>
            </w:r>
            <w:r w:rsidRPr="005C5F63">
              <w:rPr>
                <w:rFonts w:ascii="Calibri" w:eastAsia="Calibri" w:hAnsi="Calibri" w:cs="Times New Roman"/>
                <w:color w:val="auto"/>
                <w:spacing w:val="-1"/>
                <w:sz w:val="18"/>
                <w:szCs w:val="18"/>
              </w:rPr>
              <w:t>u</w:t>
            </w:r>
            <w:r w:rsidRPr="005C5F63">
              <w:rPr>
                <w:rFonts w:ascii="Calibri" w:eastAsia="Calibri" w:hAnsi="Calibri" w:cs="Times New Roman"/>
                <w:color w:val="auto"/>
                <w:sz w:val="18"/>
                <w:szCs w:val="18"/>
              </w:rPr>
              <w:t>ti</w:t>
            </w:r>
            <w:r w:rsidRPr="005C5F63">
              <w:rPr>
                <w:rFonts w:ascii="Calibri" w:eastAsia="Calibri" w:hAnsi="Calibri" w:cs="Times New Roman"/>
                <w:color w:val="auto"/>
                <w:spacing w:val="4"/>
                <w:sz w:val="18"/>
                <w:szCs w:val="18"/>
              </w:rPr>
              <w:t>o</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al</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z w:val="18"/>
                <w:szCs w:val="18"/>
              </w:rPr>
              <w:t>a</w:t>
            </w:r>
            <w:r w:rsidRPr="005C5F63">
              <w:rPr>
                <w:rFonts w:ascii="Calibri" w:eastAsia="Calibri" w:hAnsi="Calibri" w:cs="Times New Roman"/>
                <w:color w:val="auto"/>
                <w:spacing w:val="1"/>
                <w:sz w:val="18"/>
                <w:szCs w:val="18"/>
              </w:rPr>
              <w:t>rr</w:t>
            </w:r>
            <w:r w:rsidRPr="005C5F63">
              <w:rPr>
                <w:rFonts w:ascii="Calibri" w:eastAsia="Calibri" w:hAnsi="Calibri" w:cs="Times New Roman"/>
                <w:color w:val="auto"/>
                <w:sz w:val="18"/>
                <w:szCs w:val="18"/>
              </w:rPr>
              <w:t>a</w:t>
            </w:r>
            <w:r w:rsidRPr="005C5F63">
              <w:rPr>
                <w:rFonts w:ascii="Calibri" w:eastAsia="Calibri" w:hAnsi="Calibri" w:cs="Times New Roman"/>
                <w:color w:val="auto"/>
                <w:spacing w:val="-1"/>
                <w:sz w:val="18"/>
                <w:szCs w:val="18"/>
              </w:rPr>
              <w:t>ng</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m</w:t>
            </w:r>
            <w:r w:rsidRPr="005C5F63">
              <w:rPr>
                <w:rFonts w:ascii="Calibri" w:eastAsia="Calibri" w:hAnsi="Calibri" w:cs="Times New Roman"/>
                <w:color w:val="auto"/>
                <w:spacing w:val="3"/>
                <w:sz w:val="18"/>
                <w:szCs w:val="18"/>
              </w:rPr>
              <w:t>e</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t</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pacing w:val="3"/>
                <w:sz w:val="18"/>
                <w:szCs w:val="18"/>
              </w:rPr>
              <w:t>a</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d</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pacing w:val="1"/>
                <w:sz w:val="18"/>
                <w:szCs w:val="18"/>
              </w:rPr>
              <w:t>pr</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pacing w:val="2"/>
                <w:sz w:val="18"/>
                <w:szCs w:val="18"/>
              </w:rPr>
              <w:t>j</w:t>
            </w:r>
            <w:r w:rsidRPr="005C5F63">
              <w:rPr>
                <w:rFonts w:ascii="Calibri" w:eastAsia="Calibri" w:hAnsi="Calibri" w:cs="Times New Roman"/>
                <w:color w:val="auto"/>
                <w:sz w:val="18"/>
                <w:szCs w:val="18"/>
              </w:rPr>
              <w:t xml:space="preserve">ect </w:t>
            </w:r>
            <w:r w:rsidRPr="005C5F63">
              <w:rPr>
                <w:rFonts w:ascii="Calibri" w:eastAsia="Calibri" w:hAnsi="Calibri" w:cs="Times New Roman"/>
                <w:color w:val="auto"/>
                <w:spacing w:val="-1"/>
                <w:sz w:val="18"/>
                <w:szCs w:val="18"/>
              </w:rPr>
              <w:t>su</w:t>
            </w:r>
            <w:r w:rsidRPr="005C5F63">
              <w:rPr>
                <w:rFonts w:ascii="Calibri" w:eastAsia="Calibri" w:hAnsi="Calibri" w:cs="Times New Roman"/>
                <w:color w:val="auto"/>
                <w:spacing w:val="1"/>
                <w:sz w:val="18"/>
                <w:szCs w:val="18"/>
              </w:rPr>
              <w:t>p</w:t>
            </w:r>
            <w:r w:rsidRPr="005C5F63">
              <w:rPr>
                <w:rFonts w:ascii="Calibri" w:eastAsia="Calibri" w:hAnsi="Calibri" w:cs="Times New Roman"/>
                <w:color w:val="auto"/>
                <w:sz w:val="18"/>
                <w:szCs w:val="18"/>
              </w:rPr>
              <w:t>e</w:t>
            </w:r>
            <w:r w:rsidRPr="005C5F63">
              <w:rPr>
                <w:rFonts w:ascii="Calibri" w:eastAsia="Calibri" w:hAnsi="Calibri" w:cs="Times New Roman"/>
                <w:color w:val="auto"/>
                <w:spacing w:val="1"/>
                <w:sz w:val="18"/>
                <w:szCs w:val="18"/>
              </w:rPr>
              <w:t>r</w:t>
            </w:r>
            <w:r w:rsidRPr="005C5F63">
              <w:rPr>
                <w:rFonts w:ascii="Calibri" w:eastAsia="Calibri" w:hAnsi="Calibri" w:cs="Times New Roman"/>
                <w:color w:val="auto"/>
                <w:spacing w:val="-1"/>
                <w:sz w:val="18"/>
                <w:szCs w:val="18"/>
              </w:rPr>
              <w:t>v</w:t>
            </w:r>
            <w:r w:rsidRPr="005C5F63">
              <w:rPr>
                <w:rFonts w:ascii="Calibri" w:eastAsia="Calibri" w:hAnsi="Calibri" w:cs="Times New Roman"/>
                <w:color w:val="auto"/>
                <w:spacing w:val="2"/>
                <w:sz w:val="18"/>
                <w:szCs w:val="18"/>
              </w:rPr>
              <w:t>i</w:t>
            </w:r>
            <w:r w:rsidRPr="005C5F63">
              <w:rPr>
                <w:rFonts w:ascii="Calibri" w:eastAsia="Calibri" w:hAnsi="Calibri" w:cs="Times New Roman"/>
                <w:color w:val="auto"/>
                <w:spacing w:val="-1"/>
                <w:sz w:val="18"/>
                <w:szCs w:val="18"/>
              </w:rPr>
              <w:t>s</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o</w:t>
            </w:r>
            <w:r w:rsidRPr="005C5F63">
              <w:rPr>
                <w:rFonts w:ascii="Calibri" w:eastAsia="Calibri" w:hAnsi="Calibri" w:cs="Times New Roman"/>
                <w:color w:val="auto"/>
                <w:sz w:val="18"/>
                <w:szCs w:val="18"/>
              </w:rPr>
              <w:t>n</w:t>
            </w:r>
            <w:r w:rsidRPr="005C5F63">
              <w:rPr>
                <w:rFonts w:ascii="Calibri" w:eastAsia="Calibri" w:hAnsi="Calibri" w:cs="Times New Roman"/>
                <w:color w:val="auto"/>
                <w:spacing w:val="-10"/>
                <w:sz w:val="18"/>
                <w:szCs w:val="18"/>
              </w:rPr>
              <w:t xml:space="preserve"> </w:t>
            </w:r>
            <w:r w:rsidRPr="005C5F63">
              <w:rPr>
                <w:rFonts w:ascii="Calibri" w:eastAsia="Calibri" w:hAnsi="Calibri" w:cs="Times New Roman"/>
                <w:color w:val="auto"/>
                <w:sz w:val="18"/>
                <w:szCs w:val="18"/>
              </w:rPr>
              <w:t>c</w:t>
            </w:r>
            <w:r w:rsidRPr="005C5F63">
              <w:rPr>
                <w:rFonts w:ascii="Calibri" w:eastAsia="Calibri" w:hAnsi="Calibri" w:cs="Times New Roman"/>
                <w:color w:val="auto"/>
                <w:spacing w:val="1"/>
                <w:sz w:val="18"/>
                <w:szCs w:val="18"/>
              </w:rPr>
              <w:t>oord</w:t>
            </w:r>
            <w:r w:rsidRPr="005C5F63">
              <w:rPr>
                <w:rFonts w:ascii="Calibri" w:eastAsia="Calibri" w:hAnsi="Calibri" w:cs="Times New Roman"/>
                <w:color w:val="auto"/>
                <w:sz w:val="18"/>
                <w:szCs w:val="18"/>
              </w:rPr>
              <w:t>i</w:t>
            </w:r>
            <w:r w:rsidRPr="005C5F63">
              <w:rPr>
                <w:rFonts w:ascii="Calibri" w:eastAsia="Calibri" w:hAnsi="Calibri" w:cs="Times New Roman"/>
                <w:color w:val="auto"/>
                <w:spacing w:val="-1"/>
                <w:sz w:val="18"/>
                <w:szCs w:val="18"/>
              </w:rPr>
              <w:t>n</w:t>
            </w:r>
            <w:r w:rsidRPr="005C5F63">
              <w:rPr>
                <w:rFonts w:ascii="Calibri" w:eastAsia="Calibri" w:hAnsi="Calibri" w:cs="Times New Roman"/>
                <w:color w:val="auto"/>
                <w:sz w:val="18"/>
                <w:szCs w:val="18"/>
              </w:rPr>
              <w:t>ati</w:t>
            </w:r>
            <w:r w:rsidRPr="005C5F63">
              <w:rPr>
                <w:rFonts w:ascii="Calibri" w:eastAsia="Calibri" w:hAnsi="Calibri" w:cs="Times New Roman"/>
                <w:color w:val="auto"/>
                <w:spacing w:val="1"/>
                <w:sz w:val="18"/>
                <w:szCs w:val="18"/>
              </w:rPr>
              <w:t>on and Team Leadership</w:t>
            </w:r>
          </w:p>
        </w:tc>
        <w:tc>
          <w:tcPr>
            <w:tcW w:w="3420" w:type="dxa"/>
            <w:tcBorders>
              <w:top w:val="single" w:sz="3" w:space="0" w:color="000000"/>
              <w:left w:val="single" w:sz="3" w:space="0" w:color="000000"/>
              <w:bottom w:val="single" w:sz="3" w:space="0" w:color="000000"/>
              <w:right w:val="single" w:sz="3" w:space="0" w:color="000000"/>
            </w:tcBorders>
          </w:tcPr>
          <w:p w14:paraId="73C80197" w14:textId="77777777" w:rsidR="002E1A3F" w:rsidRPr="005C5F63" w:rsidRDefault="002E1A3F" w:rsidP="00F463C2">
            <w:pPr>
              <w:rPr>
                <w:rFonts w:ascii="Calibri" w:eastAsia="Calibri" w:hAnsi="Calibri" w:cs="Times New Roman"/>
                <w:color w:val="auto"/>
                <w:sz w:val="18"/>
                <w:szCs w:val="18"/>
              </w:rPr>
            </w:pPr>
          </w:p>
          <w:p w14:paraId="5AF205C6" w14:textId="77777777" w:rsidR="002E1A3F" w:rsidRPr="005C5F63" w:rsidRDefault="00B00100" w:rsidP="00FC1A97">
            <w:pPr>
              <w:ind w:left="105"/>
              <w:rPr>
                <w:rFonts w:ascii="Calibri" w:eastAsia="Calibri" w:hAnsi="Calibri" w:cs="Times New Roman"/>
                <w:color w:val="auto"/>
                <w:spacing w:val="2"/>
                <w:sz w:val="18"/>
                <w:szCs w:val="18"/>
              </w:rPr>
            </w:pPr>
            <w:r w:rsidRPr="005C5F63">
              <w:rPr>
                <w:rFonts w:ascii="Calibri" w:eastAsia="Calibri" w:hAnsi="Calibri" w:cs="Times New Roman"/>
                <w:color w:val="auto"/>
                <w:sz w:val="18"/>
                <w:szCs w:val="18"/>
              </w:rPr>
              <w:t>TTLs                                                      12</w:t>
            </w:r>
            <w:r w:rsidRPr="005C5F63">
              <w:rPr>
                <w:rFonts w:ascii="Calibri" w:eastAsia="Calibri" w:hAnsi="Calibri" w:cs="Times New Roman"/>
                <w:color w:val="auto"/>
                <w:spacing w:val="1"/>
                <w:sz w:val="18"/>
                <w:szCs w:val="18"/>
              </w:rPr>
              <w:t xml:space="preserve"> </w:t>
            </w:r>
            <w:r w:rsidRPr="005C5F63">
              <w:rPr>
                <w:rFonts w:ascii="Calibri" w:eastAsia="Calibri" w:hAnsi="Calibri" w:cs="Times New Roman"/>
                <w:color w:val="auto"/>
                <w:sz w:val="18"/>
                <w:szCs w:val="18"/>
              </w:rPr>
              <w:t>S</w:t>
            </w:r>
            <w:r w:rsidRPr="005C5F63">
              <w:rPr>
                <w:rFonts w:ascii="Calibri" w:eastAsia="Calibri" w:hAnsi="Calibri" w:cs="Times New Roman"/>
                <w:color w:val="auto"/>
                <w:spacing w:val="1"/>
                <w:sz w:val="18"/>
                <w:szCs w:val="18"/>
              </w:rPr>
              <w:t>W</w:t>
            </w:r>
            <w:r w:rsidRPr="005C5F63">
              <w:rPr>
                <w:rFonts w:ascii="Calibri" w:eastAsia="Calibri" w:hAnsi="Calibri" w:cs="Times New Roman"/>
                <w:color w:val="auto"/>
                <w:sz w:val="18"/>
                <w:szCs w:val="18"/>
              </w:rPr>
              <w:t>s</w:t>
            </w:r>
          </w:p>
        </w:tc>
        <w:tc>
          <w:tcPr>
            <w:tcW w:w="866" w:type="dxa"/>
            <w:vMerge/>
            <w:tcBorders>
              <w:left w:val="single" w:sz="3" w:space="0" w:color="000000"/>
              <w:bottom w:val="single" w:sz="3" w:space="0" w:color="000000"/>
              <w:right w:val="single" w:sz="3" w:space="0" w:color="000000"/>
            </w:tcBorders>
          </w:tcPr>
          <w:p w14:paraId="11D469F4" w14:textId="77777777" w:rsidR="002E1A3F" w:rsidRPr="005C5F63" w:rsidRDefault="002E1A3F" w:rsidP="008E2709">
            <w:pPr>
              <w:ind w:left="105"/>
              <w:rPr>
                <w:rFonts w:ascii="Calibri" w:eastAsia="Calibri" w:hAnsi="Calibri" w:cs="Times New Roman"/>
                <w:color w:val="auto"/>
                <w:sz w:val="18"/>
                <w:szCs w:val="18"/>
              </w:rPr>
            </w:pPr>
          </w:p>
        </w:tc>
      </w:tr>
    </w:tbl>
    <w:p w14:paraId="7601028E" w14:textId="77777777" w:rsidR="002E1A3F" w:rsidRPr="00DA01D5" w:rsidRDefault="00B00100">
      <w:pPr>
        <w:spacing w:after="120"/>
        <w:rPr>
          <w:rFonts w:ascii="Calibri" w:eastAsia="Times New Roman" w:hAnsi="Calibri" w:cs="Calibri"/>
          <w:sz w:val="18"/>
          <w:szCs w:val="18"/>
        </w:rPr>
      </w:pPr>
      <w:r w:rsidRPr="00DA01D5">
        <w:rPr>
          <w:rFonts w:ascii="Calibri" w:eastAsia="Times New Roman" w:hAnsi="Calibri" w:cs="Calibri"/>
          <w:sz w:val="18"/>
          <w:szCs w:val="18"/>
        </w:rPr>
        <w:t>* SW – staff week</w:t>
      </w:r>
    </w:p>
    <w:p w14:paraId="1FCC095C" w14:textId="77777777" w:rsidR="00DA34A0" w:rsidRDefault="00DA34A0" w:rsidP="00FC1A97">
      <w:pPr>
        <w:spacing w:after="120"/>
        <w:jc w:val="center"/>
        <w:rPr>
          <w:rFonts w:ascii="Calibri" w:eastAsia="Times New Roman" w:hAnsi="Calibri" w:cs="Calibri"/>
          <w:b/>
          <w:sz w:val="22"/>
          <w:szCs w:val="22"/>
        </w:rPr>
      </w:pPr>
    </w:p>
    <w:p w14:paraId="718FC6FD" w14:textId="77777777" w:rsidR="00DA34A0" w:rsidRDefault="00DA34A0" w:rsidP="003247A0">
      <w:pPr>
        <w:spacing w:after="120"/>
        <w:jc w:val="center"/>
        <w:rPr>
          <w:rFonts w:ascii="Calibri" w:eastAsia="Times New Roman" w:hAnsi="Calibri" w:cs="Calibri"/>
          <w:b/>
          <w:sz w:val="22"/>
          <w:szCs w:val="22"/>
        </w:rPr>
      </w:pPr>
    </w:p>
    <w:p w14:paraId="33D1DD6F" w14:textId="77777777" w:rsidR="002E1A3F" w:rsidRPr="002E1A3F" w:rsidRDefault="00B00100">
      <w:pPr>
        <w:spacing w:after="120"/>
        <w:jc w:val="center"/>
        <w:rPr>
          <w:rFonts w:ascii="Calibri" w:eastAsia="Times New Roman" w:hAnsi="Calibri" w:cs="Calibri"/>
          <w:b/>
          <w:sz w:val="22"/>
          <w:szCs w:val="22"/>
        </w:rPr>
      </w:pPr>
      <w:r w:rsidRPr="002E1A3F">
        <w:rPr>
          <w:rFonts w:ascii="Calibri" w:eastAsia="Times New Roman" w:hAnsi="Calibri" w:cs="Calibri"/>
          <w:b/>
          <w:sz w:val="22"/>
          <w:szCs w:val="22"/>
        </w:rPr>
        <w:lastRenderedPageBreak/>
        <w:t xml:space="preserve">Table A5.2: </w:t>
      </w:r>
      <w:r w:rsidRPr="002E1A3F">
        <w:rPr>
          <w:rFonts w:ascii="Calibri" w:eastAsia="Times New Roman" w:hAnsi="Calibri" w:cs="Calibri"/>
          <w:b/>
          <w:i/>
          <w:sz w:val="22"/>
          <w:szCs w:val="22"/>
        </w:rPr>
        <w:t xml:space="preserve">The </w:t>
      </w:r>
      <w:r w:rsidR="00014B08">
        <w:rPr>
          <w:rFonts w:ascii="Calibri" w:eastAsia="Times New Roman" w:hAnsi="Calibri" w:cs="Calibri"/>
          <w:b/>
          <w:i/>
          <w:sz w:val="22"/>
          <w:szCs w:val="22"/>
        </w:rPr>
        <w:t>A</w:t>
      </w:r>
      <w:r w:rsidRPr="002E1A3F">
        <w:rPr>
          <w:rFonts w:ascii="Calibri" w:eastAsia="Times New Roman" w:hAnsi="Calibri" w:cs="Calibri"/>
          <w:b/>
          <w:i/>
          <w:sz w:val="22"/>
          <w:szCs w:val="22"/>
        </w:rPr>
        <w:t xml:space="preserve">nnual </w:t>
      </w:r>
      <w:r w:rsidR="00014B08">
        <w:rPr>
          <w:rFonts w:ascii="Calibri" w:eastAsia="Times New Roman" w:hAnsi="Calibri" w:cs="Calibri"/>
          <w:b/>
          <w:i/>
          <w:sz w:val="22"/>
          <w:szCs w:val="22"/>
        </w:rPr>
        <w:t>S</w:t>
      </w:r>
      <w:r w:rsidRPr="002E1A3F">
        <w:rPr>
          <w:rFonts w:ascii="Calibri" w:eastAsia="Times New Roman" w:hAnsi="Calibri" w:cs="Calibri"/>
          <w:b/>
          <w:i/>
          <w:spacing w:val="1"/>
          <w:sz w:val="22"/>
          <w:szCs w:val="22"/>
        </w:rPr>
        <w:t>t</w:t>
      </w:r>
      <w:r w:rsidRPr="002E1A3F">
        <w:rPr>
          <w:rFonts w:ascii="Calibri" w:eastAsia="Times New Roman" w:hAnsi="Calibri" w:cs="Calibri"/>
          <w:b/>
          <w:i/>
          <w:sz w:val="22"/>
          <w:szCs w:val="22"/>
        </w:rPr>
        <w:t>a</w:t>
      </w:r>
      <w:r w:rsidRPr="002E1A3F">
        <w:rPr>
          <w:rFonts w:ascii="Calibri" w:eastAsia="Times New Roman" w:hAnsi="Calibri" w:cs="Calibri"/>
          <w:b/>
          <w:i/>
          <w:spacing w:val="-1"/>
          <w:sz w:val="22"/>
          <w:szCs w:val="22"/>
        </w:rPr>
        <w:t>f</w:t>
      </w:r>
      <w:r w:rsidRPr="002E1A3F">
        <w:rPr>
          <w:rFonts w:ascii="Calibri" w:eastAsia="Times New Roman" w:hAnsi="Calibri" w:cs="Calibri"/>
          <w:b/>
          <w:i/>
          <w:sz w:val="22"/>
          <w:szCs w:val="22"/>
        </w:rPr>
        <w:t>f</w:t>
      </w:r>
      <w:r w:rsidRPr="002E1A3F">
        <w:rPr>
          <w:rFonts w:ascii="Calibri" w:eastAsia="Times New Roman" w:hAnsi="Calibri" w:cs="Calibri"/>
          <w:b/>
          <w:i/>
          <w:spacing w:val="1"/>
          <w:sz w:val="22"/>
          <w:szCs w:val="22"/>
        </w:rPr>
        <w:t xml:space="preserve"> </w:t>
      </w:r>
      <w:r w:rsidR="00014B08">
        <w:rPr>
          <w:rFonts w:ascii="Calibri" w:eastAsia="Times New Roman" w:hAnsi="Calibri" w:cs="Calibri"/>
          <w:b/>
          <w:i/>
          <w:sz w:val="22"/>
          <w:szCs w:val="22"/>
        </w:rPr>
        <w:t>S</w:t>
      </w:r>
      <w:r w:rsidRPr="002E1A3F">
        <w:rPr>
          <w:rFonts w:ascii="Calibri" w:eastAsia="Times New Roman" w:hAnsi="Calibri" w:cs="Calibri"/>
          <w:b/>
          <w:i/>
          <w:spacing w:val="1"/>
          <w:sz w:val="22"/>
          <w:szCs w:val="22"/>
        </w:rPr>
        <w:t>i</w:t>
      </w:r>
      <w:r w:rsidRPr="002E1A3F">
        <w:rPr>
          <w:rFonts w:ascii="Calibri" w:eastAsia="Times New Roman" w:hAnsi="Calibri" w:cs="Calibri"/>
          <w:b/>
          <w:i/>
          <w:spacing w:val="-2"/>
          <w:sz w:val="22"/>
          <w:szCs w:val="22"/>
        </w:rPr>
        <w:t>l</w:t>
      </w:r>
      <w:r w:rsidRPr="002E1A3F">
        <w:rPr>
          <w:rFonts w:ascii="Calibri" w:eastAsia="Times New Roman" w:hAnsi="Calibri" w:cs="Calibri"/>
          <w:b/>
          <w:i/>
          <w:sz w:val="22"/>
          <w:szCs w:val="22"/>
        </w:rPr>
        <w:t>l</w:t>
      </w:r>
      <w:r w:rsidRPr="002E1A3F">
        <w:rPr>
          <w:rFonts w:ascii="Calibri" w:eastAsia="Times New Roman" w:hAnsi="Calibri" w:cs="Calibri"/>
          <w:b/>
          <w:i/>
          <w:spacing w:val="1"/>
          <w:sz w:val="22"/>
          <w:szCs w:val="22"/>
        </w:rPr>
        <w:t xml:space="preserve"> </w:t>
      </w:r>
      <w:r w:rsidR="00014B08">
        <w:rPr>
          <w:rFonts w:ascii="Calibri" w:eastAsia="Times New Roman" w:hAnsi="Calibri" w:cs="Calibri"/>
          <w:b/>
          <w:i/>
          <w:spacing w:val="-4"/>
          <w:sz w:val="22"/>
          <w:szCs w:val="22"/>
        </w:rPr>
        <w:t>M</w:t>
      </w:r>
      <w:r w:rsidRPr="002E1A3F">
        <w:rPr>
          <w:rFonts w:ascii="Calibri" w:eastAsia="Times New Roman" w:hAnsi="Calibri" w:cs="Calibri"/>
          <w:b/>
          <w:i/>
          <w:spacing w:val="1"/>
          <w:sz w:val="22"/>
          <w:szCs w:val="22"/>
        </w:rPr>
        <w:t>i</w:t>
      </w:r>
      <w:r w:rsidRPr="002E1A3F">
        <w:rPr>
          <w:rFonts w:ascii="Calibri" w:eastAsia="Times New Roman" w:hAnsi="Calibri" w:cs="Calibri"/>
          <w:b/>
          <w:i/>
          <w:sz w:val="22"/>
          <w:szCs w:val="22"/>
        </w:rPr>
        <w:t xml:space="preserve">x </w:t>
      </w:r>
      <w:r w:rsidR="00014B08">
        <w:rPr>
          <w:rFonts w:ascii="Calibri" w:eastAsia="Times New Roman" w:hAnsi="Calibri" w:cs="Calibri"/>
          <w:b/>
          <w:i/>
          <w:spacing w:val="1"/>
          <w:sz w:val="22"/>
          <w:szCs w:val="22"/>
        </w:rPr>
        <w:t>R</w:t>
      </w:r>
      <w:r w:rsidRPr="002E1A3F">
        <w:rPr>
          <w:rFonts w:ascii="Calibri" w:eastAsia="Times New Roman" w:hAnsi="Calibri" w:cs="Calibri"/>
          <w:b/>
          <w:i/>
          <w:sz w:val="22"/>
          <w:szCs w:val="22"/>
        </w:rPr>
        <w:t>e</w:t>
      </w:r>
      <w:r w:rsidRPr="002E1A3F">
        <w:rPr>
          <w:rFonts w:ascii="Calibri" w:eastAsia="Times New Roman" w:hAnsi="Calibri" w:cs="Calibri"/>
          <w:b/>
          <w:i/>
          <w:spacing w:val="-2"/>
          <w:sz w:val="22"/>
          <w:szCs w:val="22"/>
        </w:rPr>
        <w:t>q</w:t>
      </w:r>
      <w:r w:rsidRPr="002E1A3F">
        <w:rPr>
          <w:rFonts w:ascii="Calibri" w:eastAsia="Times New Roman" w:hAnsi="Calibri" w:cs="Calibri"/>
          <w:b/>
          <w:i/>
          <w:sz w:val="22"/>
          <w:szCs w:val="22"/>
        </w:rPr>
        <w:t>u</w:t>
      </w:r>
      <w:r w:rsidRPr="002E1A3F">
        <w:rPr>
          <w:rFonts w:ascii="Calibri" w:eastAsia="Times New Roman" w:hAnsi="Calibri" w:cs="Calibri"/>
          <w:b/>
          <w:i/>
          <w:spacing w:val="-1"/>
          <w:sz w:val="22"/>
          <w:szCs w:val="22"/>
        </w:rPr>
        <w:t>i</w:t>
      </w:r>
      <w:r w:rsidRPr="002E1A3F">
        <w:rPr>
          <w:rFonts w:ascii="Calibri" w:eastAsia="Times New Roman" w:hAnsi="Calibri" w:cs="Calibri"/>
          <w:b/>
          <w:i/>
          <w:spacing w:val="1"/>
          <w:sz w:val="22"/>
          <w:szCs w:val="22"/>
        </w:rPr>
        <w:t>r</w:t>
      </w:r>
      <w:r w:rsidRPr="002E1A3F">
        <w:rPr>
          <w:rFonts w:ascii="Calibri" w:eastAsia="Times New Roman" w:hAnsi="Calibri" w:cs="Calibri"/>
          <w:b/>
          <w:i/>
          <w:sz w:val="22"/>
          <w:szCs w:val="22"/>
        </w:rPr>
        <w:t>ed</w:t>
      </w:r>
      <w:r w:rsidRPr="002E1A3F">
        <w:rPr>
          <w:rFonts w:ascii="Calibri" w:eastAsia="Times New Roman" w:hAnsi="Calibri" w:cs="Calibri"/>
          <w:b/>
          <w:spacing w:val="-2"/>
          <w:sz w:val="22"/>
          <w:szCs w:val="22"/>
        </w:rPr>
        <w:t xml:space="preserve"> </w:t>
      </w:r>
    </w:p>
    <w:tbl>
      <w:tblPr>
        <w:tblpPr w:leftFromText="180" w:rightFromText="180" w:vertAnchor="text" w:tblpXSpec="center" w:tblpY="1"/>
        <w:tblOverlap w:val="neve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6"/>
        <w:gridCol w:w="3337"/>
        <w:gridCol w:w="2205"/>
        <w:gridCol w:w="2218"/>
      </w:tblGrid>
      <w:tr w:rsidR="000C3959" w14:paraId="53AA90F2" w14:textId="77777777" w:rsidTr="002E1A3F">
        <w:trPr>
          <w:trHeight w:hRule="exact" w:val="325"/>
        </w:trPr>
        <w:tc>
          <w:tcPr>
            <w:tcW w:w="1856" w:type="dxa"/>
            <w:tcBorders>
              <w:top w:val="single" w:sz="4" w:space="0" w:color="auto"/>
              <w:left w:val="single" w:sz="4" w:space="0" w:color="auto"/>
              <w:bottom w:val="single" w:sz="4" w:space="0" w:color="auto"/>
              <w:right w:val="single" w:sz="4" w:space="0" w:color="auto"/>
            </w:tcBorders>
            <w:shd w:val="clear" w:color="auto" w:fill="D0CECE"/>
          </w:tcPr>
          <w:p w14:paraId="1528B92D" w14:textId="77777777" w:rsidR="002E1A3F" w:rsidRPr="002E1A3F" w:rsidRDefault="00B00100" w:rsidP="008E2709">
            <w:pPr>
              <w:ind w:left="637"/>
              <w:rPr>
                <w:rFonts w:ascii="Calibri" w:eastAsia="Calibri" w:hAnsi="Calibri" w:cs="Times New Roman"/>
                <w:color w:val="auto"/>
                <w:sz w:val="22"/>
                <w:szCs w:val="22"/>
              </w:rPr>
            </w:pPr>
            <w:r w:rsidRPr="002E1A3F">
              <w:rPr>
                <w:rFonts w:ascii="Calibri" w:eastAsia="Calibri" w:hAnsi="Calibri" w:cs="Times New Roman"/>
                <w:b/>
                <w:bCs/>
                <w:color w:val="auto"/>
                <w:spacing w:val="2"/>
                <w:sz w:val="20"/>
                <w:szCs w:val="20"/>
              </w:rPr>
              <w:t>S</w:t>
            </w:r>
            <w:r w:rsidRPr="002E1A3F">
              <w:rPr>
                <w:rFonts w:ascii="Calibri" w:eastAsia="Calibri" w:hAnsi="Calibri" w:cs="Times New Roman"/>
                <w:b/>
                <w:bCs/>
                <w:color w:val="auto"/>
                <w:spacing w:val="-3"/>
                <w:sz w:val="20"/>
                <w:szCs w:val="20"/>
              </w:rPr>
              <w:t>k</w:t>
            </w:r>
            <w:r w:rsidRPr="002E1A3F">
              <w:rPr>
                <w:rFonts w:ascii="Calibri" w:eastAsia="Calibri" w:hAnsi="Calibri" w:cs="Times New Roman"/>
                <w:b/>
                <w:bCs/>
                <w:color w:val="auto"/>
                <w:sz w:val="20"/>
                <w:szCs w:val="20"/>
              </w:rPr>
              <w:t>il</w:t>
            </w:r>
            <w:r w:rsidRPr="002E1A3F">
              <w:rPr>
                <w:rFonts w:ascii="Calibri" w:eastAsia="Calibri" w:hAnsi="Calibri" w:cs="Times New Roman"/>
                <w:b/>
                <w:bCs/>
                <w:color w:val="auto"/>
                <w:spacing w:val="2"/>
                <w:sz w:val="20"/>
                <w:szCs w:val="20"/>
              </w:rPr>
              <w:t>l</w:t>
            </w:r>
            <w:r w:rsidRPr="002E1A3F">
              <w:rPr>
                <w:rFonts w:ascii="Calibri" w:eastAsia="Calibri" w:hAnsi="Calibri" w:cs="Times New Roman"/>
                <w:b/>
                <w:bCs/>
                <w:color w:val="auto"/>
                <w:sz w:val="20"/>
                <w:szCs w:val="20"/>
              </w:rPr>
              <w:t>s</w:t>
            </w:r>
            <w:r w:rsidRPr="002E1A3F">
              <w:rPr>
                <w:rFonts w:ascii="Calibri" w:eastAsia="Calibri" w:hAnsi="Calibri" w:cs="Times New Roman"/>
                <w:b/>
                <w:bCs/>
                <w:color w:val="auto"/>
                <w:spacing w:val="-5"/>
                <w:sz w:val="20"/>
                <w:szCs w:val="20"/>
              </w:rPr>
              <w:t xml:space="preserve"> </w:t>
            </w:r>
            <w:r w:rsidRPr="002E1A3F">
              <w:rPr>
                <w:rFonts w:ascii="Calibri" w:eastAsia="Calibri" w:hAnsi="Calibri" w:cs="Times New Roman"/>
                <w:b/>
                <w:bCs/>
                <w:color w:val="auto"/>
                <w:sz w:val="20"/>
                <w:szCs w:val="20"/>
              </w:rPr>
              <w:t>N</w:t>
            </w:r>
            <w:r w:rsidRPr="002E1A3F">
              <w:rPr>
                <w:rFonts w:ascii="Calibri" w:eastAsia="Calibri" w:hAnsi="Calibri" w:cs="Times New Roman"/>
                <w:b/>
                <w:bCs/>
                <w:color w:val="auto"/>
                <w:spacing w:val="1"/>
                <w:sz w:val="20"/>
                <w:szCs w:val="20"/>
              </w:rPr>
              <w:t>ee</w:t>
            </w:r>
            <w:r w:rsidRPr="002E1A3F">
              <w:rPr>
                <w:rFonts w:ascii="Calibri" w:eastAsia="Calibri" w:hAnsi="Calibri" w:cs="Times New Roman"/>
                <w:b/>
                <w:bCs/>
                <w:color w:val="auto"/>
                <w:sz w:val="20"/>
                <w:szCs w:val="20"/>
              </w:rPr>
              <w:t>d</w:t>
            </w:r>
            <w:r w:rsidRPr="002E1A3F">
              <w:rPr>
                <w:rFonts w:ascii="Calibri" w:eastAsia="Calibri" w:hAnsi="Calibri" w:cs="Times New Roman"/>
                <w:b/>
                <w:bCs/>
                <w:color w:val="auto"/>
                <w:spacing w:val="1"/>
                <w:sz w:val="20"/>
                <w:szCs w:val="20"/>
              </w:rPr>
              <w:t>ed</w:t>
            </w:r>
          </w:p>
        </w:tc>
        <w:tc>
          <w:tcPr>
            <w:tcW w:w="3337" w:type="dxa"/>
            <w:tcBorders>
              <w:left w:val="single" w:sz="4" w:space="0" w:color="auto"/>
            </w:tcBorders>
            <w:shd w:val="clear" w:color="auto" w:fill="D0CECE"/>
          </w:tcPr>
          <w:p w14:paraId="5654C29F" w14:textId="77777777" w:rsidR="002E1A3F" w:rsidRPr="002E1A3F" w:rsidRDefault="00B00100" w:rsidP="008E2709">
            <w:pPr>
              <w:ind w:left="419"/>
              <w:rPr>
                <w:rFonts w:ascii="Calibri" w:eastAsia="Calibri" w:hAnsi="Calibri" w:cs="Times New Roman"/>
                <w:color w:val="auto"/>
                <w:sz w:val="22"/>
                <w:szCs w:val="22"/>
              </w:rPr>
            </w:pPr>
            <w:r w:rsidRPr="002E1A3F">
              <w:rPr>
                <w:rFonts w:ascii="Calibri" w:eastAsia="Calibri" w:hAnsi="Calibri" w:cs="Times New Roman"/>
                <w:b/>
                <w:bCs/>
                <w:color w:val="auto"/>
                <w:sz w:val="20"/>
                <w:szCs w:val="20"/>
              </w:rPr>
              <w:t>N</w:t>
            </w:r>
            <w:r w:rsidRPr="002E1A3F">
              <w:rPr>
                <w:rFonts w:ascii="Calibri" w:eastAsia="Calibri" w:hAnsi="Calibri" w:cs="Times New Roman"/>
                <w:b/>
                <w:bCs/>
                <w:color w:val="auto"/>
                <w:spacing w:val="2"/>
                <w:sz w:val="20"/>
                <w:szCs w:val="20"/>
              </w:rPr>
              <w:t>u</w:t>
            </w:r>
            <w:r w:rsidRPr="002E1A3F">
              <w:rPr>
                <w:rFonts w:ascii="Calibri" w:eastAsia="Calibri" w:hAnsi="Calibri" w:cs="Times New Roman"/>
                <w:b/>
                <w:bCs/>
                <w:color w:val="auto"/>
                <w:spacing w:val="-2"/>
                <w:sz w:val="20"/>
                <w:szCs w:val="20"/>
              </w:rPr>
              <w:t>m</w:t>
            </w:r>
            <w:r w:rsidRPr="002E1A3F">
              <w:rPr>
                <w:rFonts w:ascii="Calibri" w:eastAsia="Calibri" w:hAnsi="Calibri" w:cs="Times New Roman"/>
                <w:b/>
                <w:bCs/>
                <w:color w:val="auto"/>
                <w:sz w:val="20"/>
                <w:szCs w:val="20"/>
              </w:rPr>
              <w:t>b</w:t>
            </w:r>
            <w:r w:rsidRPr="002E1A3F">
              <w:rPr>
                <w:rFonts w:ascii="Calibri" w:eastAsia="Calibri" w:hAnsi="Calibri" w:cs="Times New Roman"/>
                <w:b/>
                <w:bCs/>
                <w:color w:val="auto"/>
                <w:spacing w:val="1"/>
                <w:sz w:val="20"/>
                <w:szCs w:val="20"/>
              </w:rPr>
              <w:t>e</w:t>
            </w:r>
            <w:r w:rsidRPr="002E1A3F">
              <w:rPr>
                <w:rFonts w:ascii="Calibri" w:eastAsia="Calibri" w:hAnsi="Calibri" w:cs="Times New Roman"/>
                <w:b/>
                <w:bCs/>
                <w:color w:val="auto"/>
                <w:sz w:val="20"/>
                <w:szCs w:val="20"/>
              </w:rPr>
              <w:t>r</w:t>
            </w:r>
            <w:r w:rsidRPr="002E1A3F">
              <w:rPr>
                <w:rFonts w:ascii="Calibri" w:eastAsia="Calibri" w:hAnsi="Calibri" w:cs="Times New Roman"/>
                <w:b/>
                <w:bCs/>
                <w:color w:val="auto"/>
                <w:spacing w:val="-6"/>
                <w:sz w:val="20"/>
                <w:szCs w:val="20"/>
              </w:rPr>
              <w:t xml:space="preserve"> </w:t>
            </w:r>
            <w:r w:rsidRPr="002E1A3F">
              <w:rPr>
                <w:rFonts w:ascii="Calibri" w:eastAsia="Calibri" w:hAnsi="Calibri" w:cs="Times New Roman"/>
                <w:b/>
                <w:bCs/>
                <w:color w:val="auto"/>
                <w:spacing w:val="1"/>
                <w:sz w:val="20"/>
                <w:szCs w:val="20"/>
              </w:rPr>
              <w:t>o</w:t>
            </w:r>
            <w:r w:rsidRPr="002E1A3F">
              <w:rPr>
                <w:rFonts w:ascii="Calibri" w:eastAsia="Calibri" w:hAnsi="Calibri" w:cs="Times New Roman"/>
                <w:b/>
                <w:bCs/>
                <w:color w:val="auto"/>
                <w:sz w:val="20"/>
                <w:szCs w:val="20"/>
              </w:rPr>
              <w:t>f</w:t>
            </w:r>
            <w:r w:rsidRPr="002E1A3F">
              <w:rPr>
                <w:rFonts w:ascii="Calibri" w:eastAsia="Calibri" w:hAnsi="Calibri" w:cs="Times New Roman"/>
                <w:b/>
                <w:bCs/>
                <w:color w:val="auto"/>
                <w:spacing w:val="-1"/>
                <w:sz w:val="20"/>
                <w:szCs w:val="20"/>
              </w:rPr>
              <w:t xml:space="preserve"> </w:t>
            </w:r>
            <w:r w:rsidRPr="002E1A3F">
              <w:rPr>
                <w:rFonts w:ascii="Calibri" w:eastAsia="Calibri" w:hAnsi="Calibri" w:cs="Times New Roman"/>
                <w:b/>
                <w:bCs/>
                <w:color w:val="auto"/>
                <w:sz w:val="20"/>
                <w:szCs w:val="20"/>
              </w:rPr>
              <w:t>S</w:t>
            </w:r>
            <w:r w:rsidRPr="002E1A3F">
              <w:rPr>
                <w:rFonts w:ascii="Calibri" w:eastAsia="Calibri" w:hAnsi="Calibri" w:cs="Times New Roman"/>
                <w:b/>
                <w:bCs/>
                <w:color w:val="auto"/>
                <w:spacing w:val="1"/>
                <w:sz w:val="20"/>
                <w:szCs w:val="20"/>
              </w:rPr>
              <w:t>taf</w:t>
            </w:r>
            <w:r w:rsidRPr="002E1A3F">
              <w:rPr>
                <w:rFonts w:ascii="Calibri" w:eastAsia="Calibri" w:hAnsi="Calibri" w:cs="Times New Roman"/>
                <w:b/>
                <w:bCs/>
                <w:color w:val="auto"/>
                <w:sz w:val="20"/>
                <w:szCs w:val="20"/>
              </w:rPr>
              <w:t>f</w:t>
            </w:r>
            <w:r w:rsidRPr="002E1A3F">
              <w:rPr>
                <w:rFonts w:ascii="Calibri" w:eastAsia="Calibri" w:hAnsi="Calibri" w:cs="Times New Roman"/>
                <w:b/>
                <w:bCs/>
                <w:color w:val="auto"/>
                <w:spacing w:val="-3"/>
                <w:sz w:val="20"/>
                <w:szCs w:val="20"/>
              </w:rPr>
              <w:t xml:space="preserve"> </w:t>
            </w:r>
            <w:r w:rsidRPr="002E1A3F">
              <w:rPr>
                <w:rFonts w:ascii="Calibri" w:eastAsia="Calibri" w:hAnsi="Calibri" w:cs="Times New Roman"/>
                <w:b/>
                <w:bCs/>
                <w:color w:val="auto"/>
                <w:sz w:val="20"/>
                <w:szCs w:val="20"/>
              </w:rPr>
              <w:t>W</w:t>
            </w:r>
            <w:r w:rsidRPr="002E1A3F">
              <w:rPr>
                <w:rFonts w:ascii="Calibri" w:eastAsia="Calibri" w:hAnsi="Calibri" w:cs="Times New Roman"/>
                <w:b/>
                <w:bCs/>
                <w:color w:val="auto"/>
                <w:spacing w:val="1"/>
                <w:sz w:val="20"/>
                <w:szCs w:val="20"/>
              </w:rPr>
              <w:t>ee</w:t>
            </w:r>
            <w:r w:rsidRPr="002E1A3F">
              <w:rPr>
                <w:rFonts w:ascii="Calibri" w:eastAsia="Calibri" w:hAnsi="Calibri" w:cs="Times New Roman"/>
                <w:b/>
                <w:bCs/>
                <w:color w:val="auto"/>
                <w:sz w:val="20"/>
                <w:szCs w:val="20"/>
              </w:rPr>
              <w:t xml:space="preserve">ks (SWs) </w:t>
            </w:r>
          </w:p>
        </w:tc>
        <w:tc>
          <w:tcPr>
            <w:tcW w:w="2205" w:type="dxa"/>
            <w:shd w:val="clear" w:color="auto" w:fill="D0CECE"/>
          </w:tcPr>
          <w:p w14:paraId="0CBB2E59" w14:textId="77777777" w:rsidR="002E1A3F" w:rsidRPr="002E1A3F" w:rsidRDefault="00B00100" w:rsidP="008E2709">
            <w:pPr>
              <w:ind w:left="401"/>
              <w:rPr>
                <w:rFonts w:ascii="Calibri" w:eastAsia="Calibri" w:hAnsi="Calibri" w:cs="Times New Roman"/>
                <w:color w:val="auto"/>
                <w:sz w:val="22"/>
                <w:szCs w:val="22"/>
              </w:rPr>
            </w:pPr>
            <w:r w:rsidRPr="002E1A3F">
              <w:rPr>
                <w:rFonts w:ascii="Calibri" w:eastAsia="Calibri" w:hAnsi="Calibri" w:cs="Times New Roman"/>
                <w:b/>
                <w:bCs/>
                <w:color w:val="auto"/>
                <w:sz w:val="20"/>
                <w:szCs w:val="20"/>
              </w:rPr>
              <w:t>N</w:t>
            </w:r>
            <w:r w:rsidRPr="002E1A3F">
              <w:rPr>
                <w:rFonts w:ascii="Calibri" w:eastAsia="Calibri" w:hAnsi="Calibri" w:cs="Times New Roman"/>
                <w:b/>
                <w:bCs/>
                <w:color w:val="auto"/>
                <w:spacing w:val="2"/>
                <w:sz w:val="20"/>
                <w:szCs w:val="20"/>
              </w:rPr>
              <w:t>u</w:t>
            </w:r>
            <w:r w:rsidRPr="002E1A3F">
              <w:rPr>
                <w:rFonts w:ascii="Calibri" w:eastAsia="Calibri" w:hAnsi="Calibri" w:cs="Times New Roman"/>
                <w:b/>
                <w:bCs/>
                <w:color w:val="auto"/>
                <w:spacing w:val="-2"/>
                <w:sz w:val="20"/>
                <w:szCs w:val="20"/>
              </w:rPr>
              <w:t>m</w:t>
            </w:r>
            <w:r w:rsidRPr="002E1A3F">
              <w:rPr>
                <w:rFonts w:ascii="Calibri" w:eastAsia="Calibri" w:hAnsi="Calibri" w:cs="Times New Roman"/>
                <w:b/>
                <w:bCs/>
                <w:color w:val="auto"/>
                <w:sz w:val="20"/>
                <w:szCs w:val="20"/>
              </w:rPr>
              <w:t>ber</w:t>
            </w:r>
            <w:r w:rsidRPr="002E1A3F">
              <w:rPr>
                <w:rFonts w:ascii="Calibri" w:eastAsia="Calibri" w:hAnsi="Calibri" w:cs="Times New Roman"/>
                <w:b/>
                <w:bCs/>
                <w:color w:val="auto"/>
                <w:spacing w:val="-6"/>
                <w:sz w:val="20"/>
                <w:szCs w:val="20"/>
              </w:rPr>
              <w:t xml:space="preserve"> </w:t>
            </w:r>
            <w:r w:rsidRPr="002E1A3F">
              <w:rPr>
                <w:rFonts w:ascii="Calibri" w:eastAsia="Calibri" w:hAnsi="Calibri" w:cs="Times New Roman"/>
                <w:b/>
                <w:bCs/>
                <w:color w:val="auto"/>
                <w:spacing w:val="1"/>
                <w:sz w:val="20"/>
                <w:szCs w:val="20"/>
              </w:rPr>
              <w:t>o</w:t>
            </w:r>
            <w:r w:rsidRPr="002E1A3F">
              <w:rPr>
                <w:rFonts w:ascii="Calibri" w:eastAsia="Calibri" w:hAnsi="Calibri" w:cs="Times New Roman"/>
                <w:b/>
                <w:bCs/>
                <w:color w:val="auto"/>
                <w:sz w:val="20"/>
                <w:szCs w:val="20"/>
              </w:rPr>
              <w:t xml:space="preserve">f </w:t>
            </w:r>
            <w:r w:rsidRPr="002E1A3F">
              <w:rPr>
                <w:rFonts w:ascii="Calibri" w:eastAsia="Calibri" w:hAnsi="Calibri" w:cs="Times New Roman"/>
                <w:b/>
                <w:bCs/>
                <w:color w:val="auto"/>
                <w:spacing w:val="-1"/>
                <w:sz w:val="20"/>
                <w:szCs w:val="20"/>
              </w:rPr>
              <w:t>T</w:t>
            </w:r>
            <w:r w:rsidRPr="002E1A3F">
              <w:rPr>
                <w:rFonts w:ascii="Calibri" w:eastAsia="Calibri" w:hAnsi="Calibri" w:cs="Times New Roman"/>
                <w:b/>
                <w:bCs/>
                <w:color w:val="auto"/>
                <w:spacing w:val="1"/>
                <w:sz w:val="20"/>
                <w:szCs w:val="20"/>
              </w:rPr>
              <w:t>r</w:t>
            </w:r>
            <w:r w:rsidRPr="002E1A3F">
              <w:rPr>
                <w:rFonts w:ascii="Calibri" w:eastAsia="Calibri" w:hAnsi="Calibri" w:cs="Times New Roman"/>
                <w:b/>
                <w:bCs/>
                <w:color w:val="auto"/>
                <w:sz w:val="20"/>
                <w:szCs w:val="20"/>
              </w:rPr>
              <w:t>i</w:t>
            </w:r>
            <w:r w:rsidRPr="002E1A3F">
              <w:rPr>
                <w:rFonts w:ascii="Calibri" w:eastAsia="Calibri" w:hAnsi="Calibri" w:cs="Times New Roman"/>
                <w:b/>
                <w:bCs/>
                <w:color w:val="auto"/>
                <w:spacing w:val="2"/>
                <w:sz w:val="20"/>
                <w:szCs w:val="20"/>
              </w:rPr>
              <w:t>p</w:t>
            </w:r>
            <w:r w:rsidRPr="002E1A3F">
              <w:rPr>
                <w:rFonts w:ascii="Calibri" w:eastAsia="Calibri" w:hAnsi="Calibri" w:cs="Times New Roman"/>
                <w:b/>
                <w:bCs/>
                <w:color w:val="auto"/>
                <w:sz w:val="20"/>
                <w:szCs w:val="20"/>
              </w:rPr>
              <w:t>s</w:t>
            </w:r>
          </w:p>
        </w:tc>
        <w:tc>
          <w:tcPr>
            <w:tcW w:w="2218" w:type="dxa"/>
            <w:shd w:val="clear" w:color="auto" w:fill="D0CECE"/>
          </w:tcPr>
          <w:p w14:paraId="03EDC4FB" w14:textId="77777777" w:rsidR="002E1A3F" w:rsidRPr="002E1A3F" w:rsidRDefault="00B00100" w:rsidP="008E2709">
            <w:pPr>
              <w:ind w:left="670"/>
              <w:rPr>
                <w:rFonts w:ascii="Calibri" w:eastAsia="Calibri" w:hAnsi="Calibri" w:cs="Times New Roman"/>
                <w:color w:val="auto"/>
                <w:sz w:val="22"/>
                <w:szCs w:val="22"/>
              </w:rPr>
            </w:pPr>
            <w:r w:rsidRPr="002E1A3F">
              <w:rPr>
                <w:rFonts w:ascii="Calibri" w:eastAsia="Calibri" w:hAnsi="Calibri" w:cs="Times New Roman"/>
                <w:b/>
                <w:bCs/>
                <w:color w:val="auto"/>
                <w:sz w:val="20"/>
                <w:szCs w:val="20"/>
              </w:rPr>
              <w:t>C</w:t>
            </w:r>
            <w:r w:rsidRPr="002E1A3F">
              <w:rPr>
                <w:rFonts w:ascii="Calibri" w:eastAsia="Calibri" w:hAnsi="Calibri" w:cs="Times New Roman"/>
                <w:b/>
                <w:bCs/>
                <w:color w:val="auto"/>
                <w:spacing w:val="4"/>
                <w:sz w:val="20"/>
                <w:szCs w:val="20"/>
              </w:rPr>
              <w:t>o</w:t>
            </w:r>
            <w:r w:rsidRPr="002E1A3F">
              <w:rPr>
                <w:rFonts w:ascii="Calibri" w:eastAsia="Calibri" w:hAnsi="Calibri" w:cs="Times New Roman"/>
                <w:b/>
                <w:bCs/>
                <w:color w:val="auto"/>
                <w:sz w:val="20"/>
                <w:szCs w:val="20"/>
              </w:rPr>
              <w:t>m</w:t>
            </w:r>
            <w:r w:rsidRPr="002E1A3F">
              <w:rPr>
                <w:rFonts w:ascii="Calibri" w:eastAsia="Calibri" w:hAnsi="Calibri" w:cs="Times New Roman"/>
                <w:b/>
                <w:bCs/>
                <w:color w:val="auto"/>
                <w:spacing w:val="-2"/>
                <w:sz w:val="20"/>
                <w:szCs w:val="20"/>
              </w:rPr>
              <w:t>m</w:t>
            </w:r>
            <w:r w:rsidRPr="002E1A3F">
              <w:rPr>
                <w:rFonts w:ascii="Calibri" w:eastAsia="Calibri" w:hAnsi="Calibri" w:cs="Times New Roman"/>
                <w:b/>
                <w:bCs/>
                <w:color w:val="auto"/>
                <w:spacing w:val="1"/>
                <w:sz w:val="20"/>
                <w:szCs w:val="20"/>
              </w:rPr>
              <w:t>e</w:t>
            </w:r>
            <w:r w:rsidRPr="002E1A3F">
              <w:rPr>
                <w:rFonts w:ascii="Calibri" w:eastAsia="Calibri" w:hAnsi="Calibri" w:cs="Times New Roman"/>
                <w:b/>
                <w:bCs/>
                <w:color w:val="auto"/>
                <w:sz w:val="20"/>
                <w:szCs w:val="20"/>
              </w:rPr>
              <w:t>n</w:t>
            </w:r>
            <w:r w:rsidRPr="002E1A3F">
              <w:rPr>
                <w:rFonts w:ascii="Calibri" w:eastAsia="Calibri" w:hAnsi="Calibri" w:cs="Times New Roman"/>
                <w:b/>
                <w:bCs/>
                <w:color w:val="auto"/>
                <w:spacing w:val="1"/>
                <w:sz w:val="20"/>
                <w:szCs w:val="20"/>
              </w:rPr>
              <w:t>t</w:t>
            </w:r>
            <w:r w:rsidRPr="002E1A3F">
              <w:rPr>
                <w:rFonts w:ascii="Calibri" w:eastAsia="Calibri" w:hAnsi="Calibri" w:cs="Times New Roman"/>
                <w:b/>
                <w:bCs/>
                <w:color w:val="auto"/>
                <w:sz w:val="20"/>
                <w:szCs w:val="20"/>
              </w:rPr>
              <w:t>s</w:t>
            </w:r>
          </w:p>
        </w:tc>
      </w:tr>
      <w:tr w:rsidR="000C3959" w14:paraId="0105BE1F" w14:textId="77777777" w:rsidTr="008E2709">
        <w:trPr>
          <w:trHeight w:hRule="exact" w:val="491"/>
        </w:trPr>
        <w:tc>
          <w:tcPr>
            <w:tcW w:w="1856" w:type="dxa"/>
            <w:tcBorders>
              <w:top w:val="single" w:sz="4" w:space="0" w:color="auto"/>
              <w:left w:val="single" w:sz="4" w:space="0" w:color="auto"/>
              <w:bottom w:val="single" w:sz="4" w:space="0" w:color="auto"/>
              <w:right w:val="single" w:sz="4" w:space="0" w:color="auto"/>
            </w:tcBorders>
          </w:tcPr>
          <w:p w14:paraId="518783DB"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O</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ati</w:t>
            </w:r>
            <w:r w:rsidRPr="002E1A3F">
              <w:rPr>
                <w:rFonts w:ascii="Calibri" w:eastAsia="Calibri" w:hAnsi="Calibri" w:cs="Times New Roman"/>
                <w:color w:val="auto"/>
                <w:spacing w:val="1"/>
                <w:sz w:val="20"/>
                <w:szCs w:val="20"/>
              </w:rPr>
              <w:t>o</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9"/>
                <w:sz w:val="20"/>
                <w:szCs w:val="20"/>
              </w:rPr>
              <w:t xml:space="preserve"> </w:t>
            </w:r>
          </w:p>
        </w:tc>
        <w:tc>
          <w:tcPr>
            <w:tcW w:w="3337" w:type="dxa"/>
            <w:tcBorders>
              <w:left w:val="single" w:sz="4" w:space="0" w:color="auto"/>
            </w:tcBorders>
          </w:tcPr>
          <w:p w14:paraId="56DA50A2"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8</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al</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y</w:t>
            </w:r>
          </w:p>
        </w:tc>
        <w:tc>
          <w:tcPr>
            <w:tcW w:w="2205" w:type="dxa"/>
          </w:tcPr>
          <w:p w14:paraId="10543C28"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p>
        </w:tc>
        <w:tc>
          <w:tcPr>
            <w:tcW w:w="2218" w:type="dxa"/>
          </w:tcPr>
          <w:p w14:paraId="0A949430"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Headquarters and 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21D26D6F" w14:textId="77777777" w:rsidTr="008E2709">
        <w:trPr>
          <w:trHeight w:hRule="exact" w:val="266"/>
        </w:trPr>
        <w:tc>
          <w:tcPr>
            <w:tcW w:w="1856" w:type="dxa"/>
            <w:tcBorders>
              <w:top w:val="single" w:sz="4" w:space="0" w:color="auto"/>
              <w:left w:val="single" w:sz="4" w:space="0" w:color="auto"/>
              <w:bottom w:val="single" w:sz="4" w:space="0" w:color="auto"/>
              <w:right w:val="single" w:sz="4" w:space="0" w:color="auto"/>
            </w:tcBorders>
          </w:tcPr>
          <w:p w14:paraId="545B6614" w14:textId="77777777" w:rsidR="002E1A3F" w:rsidRPr="002E1A3F" w:rsidRDefault="00B00100" w:rsidP="008E2709">
            <w:pPr>
              <w:ind w:left="105"/>
              <w:rPr>
                <w:rFonts w:ascii="Calibri" w:eastAsia="Calibri" w:hAnsi="Calibri" w:cs="Times New Roman"/>
                <w:color w:val="auto"/>
                <w:spacing w:val="1"/>
                <w:sz w:val="20"/>
                <w:szCs w:val="20"/>
              </w:rPr>
            </w:pPr>
            <w:r w:rsidRPr="002E1A3F">
              <w:rPr>
                <w:rFonts w:ascii="Calibri" w:eastAsia="Calibri" w:hAnsi="Calibri" w:cs="Times New Roman"/>
                <w:color w:val="auto"/>
                <w:spacing w:val="1"/>
                <w:sz w:val="20"/>
                <w:szCs w:val="20"/>
              </w:rPr>
              <w:t xml:space="preserve">Higher Education </w:t>
            </w:r>
          </w:p>
        </w:tc>
        <w:tc>
          <w:tcPr>
            <w:tcW w:w="3337" w:type="dxa"/>
            <w:tcBorders>
              <w:left w:val="single" w:sz="4" w:space="0" w:color="auto"/>
            </w:tcBorders>
          </w:tcPr>
          <w:p w14:paraId="5167FDA9"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8</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al</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y</w:t>
            </w:r>
          </w:p>
        </w:tc>
        <w:tc>
          <w:tcPr>
            <w:tcW w:w="2205" w:type="dxa"/>
          </w:tcPr>
          <w:p w14:paraId="1D7B0D05"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3"/>
                <w:sz w:val="20"/>
                <w:szCs w:val="20"/>
              </w:rPr>
              <w:t>T</w:t>
            </w:r>
            <w:r w:rsidRPr="002E1A3F">
              <w:rPr>
                <w:rFonts w:ascii="Calibri" w:eastAsia="Calibri" w:hAnsi="Calibri" w:cs="Times New Roman"/>
                <w:color w:val="auto"/>
                <w:spacing w:val="-5"/>
                <w:sz w:val="20"/>
                <w:szCs w:val="20"/>
              </w:rPr>
              <w:t>w</w:t>
            </w:r>
            <w:r w:rsidRPr="002E1A3F">
              <w:rPr>
                <w:rFonts w:ascii="Calibri" w:eastAsia="Calibri" w:hAnsi="Calibri" w:cs="Times New Roman"/>
                <w:color w:val="auto"/>
                <w:sz w:val="20"/>
                <w:szCs w:val="20"/>
              </w:rPr>
              <w:t>o</w:t>
            </w:r>
          </w:p>
        </w:tc>
        <w:tc>
          <w:tcPr>
            <w:tcW w:w="2218" w:type="dxa"/>
          </w:tcPr>
          <w:p w14:paraId="14AF3D61"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Externally</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6A5D6EC9" w14:textId="77777777" w:rsidTr="008E2709">
        <w:trPr>
          <w:trHeight w:hRule="exact" w:val="257"/>
        </w:trPr>
        <w:tc>
          <w:tcPr>
            <w:tcW w:w="1856" w:type="dxa"/>
            <w:tcBorders>
              <w:top w:val="single" w:sz="4" w:space="0" w:color="auto"/>
              <w:left w:val="single" w:sz="4" w:space="0" w:color="auto"/>
              <w:bottom w:val="single" w:sz="4" w:space="0" w:color="auto"/>
              <w:right w:val="single" w:sz="4" w:space="0" w:color="auto"/>
            </w:tcBorders>
          </w:tcPr>
          <w:p w14:paraId="20BD01D5"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M</w:t>
            </w:r>
            <w:r w:rsidRPr="002E1A3F">
              <w:rPr>
                <w:rFonts w:ascii="Calibri" w:eastAsia="Calibri" w:hAnsi="Calibri" w:cs="Times New Roman"/>
                <w:color w:val="auto"/>
                <w:spacing w:val="-1"/>
                <w:sz w:val="20"/>
                <w:szCs w:val="20"/>
              </w:rPr>
              <w:t>&amp;</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4"/>
                <w:sz w:val="20"/>
                <w:szCs w:val="20"/>
              </w:rPr>
              <w:t xml:space="preserve"> </w:t>
            </w:r>
          </w:p>
        </w:tc>
        <w:tc>
          <w:tcPr>
            <w:tcW w:w="3337" w:type="dxa"/>
            <w:tcBorders>
              <w:left w:val="single" w:sz="4" w:space="0" w:color="auto"/>
            </w:tcBorders>
          </w:tcPr>
          <w:p w14:paraId="0DFC1F4D"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4</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SW</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nnu</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2"/>
                <w:sz w:val="20"/>
                <w:szCs w:val="20"/>
              </w:rPr>
              <w:t>ll</w:t>
            </w:r>
            <w:r w:rsidRPr="002E1A3F">
              <w:rPr>
                <w:rFonts w:ascii="Calibri" w:eastAsia="Calibri" w:hAnsi="Calibri" w:cs="Times New Roman"/>
                <w:color w:val="auto"/>
                <w:sz w:val="20"/>
                <w:szCs w:val="20"/>
              </w:rPr>
              <w:t>y</w:t>
            </w:r>
          </w:p>
        </w:tc>
        <w:tc>
          <w:tcPr>
            <w:tcW w:w="2205" w:type="dxa"/>
          </w:tcPr>
          <w:p w14:paraId="1C497510"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p>
        </w:tc>
        <w:tc>
          <w:tcPr>
            <w:tcW w:w="2218" w:type="dxa"/>
          </w:tcPr>
          <w:p w14:paraId="491CA11B"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6DD24744" w14:textId="77777777" w:rsidTr="008E2709">
        <w:trPr>
          <w:trHeight w:hRule="exact" w:val="275"/>
        </w:trPr>
        <w:tc>
          <w:tcPr>
            <w:tcW w:w="1856" w:type="dxa"/>
            <w:tcBorders>
              <w:top w:val="single" w:sz="4" w:space="0" w:color="auto"/>
              <w:left w:val="single" w:sz="4" w:space="0" w:color="auto"/>
              <w:bottom w:val="single" w:sz="4" w:space="0" w:color="auto"/>
              <w:right w:val="single" w:sz="4" w:space="0" w:color="auto"/>
            </w:tcBorders>
          </w:tcPr>
          <w:p w14:paraId="1D6FF707"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2"/>
                <w:sz w:val="20"/>
                <w:szCs w:val="20"/>
              </w:rPr>
              <w:t>P</w:t>
            </w:r>
            <w:r w:rsidRPr="002E1A3F">
              <w:rPr>
                <w:rFonts w:ascii="Calibri" w:eastAsia="Calibri" w:hAnsi="Calibri" w:cs="Times New Roman"/>
                <w:color w:val="auto"/>
                <w:spacing w:val="1"/>
                <w:sz w:val="20"/>
                <w:szCs w:val="20"/>
              </w:rPr>
              <w:t>ro</w:t>
            </w:r>
            <w:r w:rsidRPr="002E1A3F">
              <w:rPr>
                <w:rFonts w:ascii="Calibri" w:eastAsia="Calibri" w:hAnsi="Calibri" w:cs="Times New Roman"/>
                <w:color w:val="auto"/>
                <w:sz w:val="20"/>
                <w:szCs w:val="20"/>
              </w:rPr>
              <w:t>c</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4"/>
                <w:sz w:val="20"/>
                <w:szCs w:val="20"/>
              </w:rPr>
              <w:t>m</w:t>
            </w:r>
            <w:r w:rsidRPr="002E1A3F">
              <w:rPr>
                <w:rFonts w:ascii="Calibri" w:eastAsia="Calibri" w:hAnsi="Calibri" w:cs="Times New Roman"/>
                <w:color w:val="auto"/>
                <w:spacing w:val="3"/>
                <w:sz w:val="20"/>
                <w:szCs w:val="20"/>
              </w:rPr>
              <w:t>e</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p>
        </w:tc>
        <w:tc>
          <w:tcPr>
            <w:tcW w:w="3337" w:type="dxa"/>
            <w:tcBorders>
              <w:left w:val="single" w:sz="4" w:space="0" w:color="auto"/>
            </w:tcBorders>
          </w:tcPr>
          <w:p w14:paraId="6B64917F"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3</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al</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y</w:t>
            </w:r>
          </w:p>
        </w:tc>
        <w:tc>
          <w:tcPr>
            <w:tcW w:w="2205" w:type="dxa"/>
          </w:tcPr>
          <w:p w14:paraId="0C2E99B2"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p>
        </w:tc>
        <w:tc>
          <w:tcPr>
            <w:tcW w:w="2218" w:type="dxa"/>
          </w:tcPr>
          <w:p w14:paraId="72CAEC25"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335A252B" w14:textId="77777777" w:rsidTr="008E2709">
        <w:trPr>
          <w:trHeight w:hRule="exact" w:val="275"/>
        </w:trPr>
        <w:tc>
          <w:tcPr>
            <w:tcW w:w="1856" w:type="dxa"/>
            <w:tcBorders>
              <w:top w:val="single" w:sz="4" w:space="0" w:color="auto"/>
              <w:left w:val="single" w:sz="4" w:space="0" w:color="auto"/>
              <w:bottom w:val="single" w:sz="4" w:space="0" w:color="auto"/>
              <w:right w:val="single" w:sz="4" w:space="0" w:color="auto"/>
            </w:tcBorders>
          </w:tcPr>
          <w:p w14:paraId="3704F769"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S</w:t>
            </w:r>
            <w:r w:rsidRPr="002E1A3F">
              <w:rPr>
                <w:rFonts w:ascii="Calibri" w:eastAsia="Calibri" w:hAnsi="Calibri" w:cs="Times New Roman"/>
                <w:color w:val="auto"/>
                <w:spacing w:val="1"/>
                <w:sz w:val="20"/>
                <w:szCs w:val="20"/>
              </w:rPr>
              <w:t>o</w:t>
            </w:r>
            <w:r w:rsidRPr="002E1A3F">
              <w:rPr>
                <w:rFonts w:ascii="Calibri" w:eastAsia="Calibri" w:hAnsi="Calibri" w:cs="Times New Roman"/>
                <w:color w:val="auto"/>
                <w:sz w:val="20"/>
                <w:szCs w:val="20"/>
              </w:rPr>
              <w:t>cial</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1"/>
                <w:sz w:val="20"/>
                <w:szCs w:val="20"/>
              </w:rPr>
              <w:t>afeguards</w:t>
            </w:r>
          </w:p>
        </w:tc>
        <w:tc>
          <w:tcPr>
            <w:tcW w:w="3337" w:type="dxa"/>
            <w:tcBorders>
              <w:left w:val="single" w:sz="4" w:space="0" w:color="auto"/>
            </w:tcBorders>
          </w:tcPr>
          <w:p w14:paraId="54944CC9" w14:textId="77777777" w:rsidR="002E1A3F" w:rsidRPr="002E1A3F" w:rsidRDefault="00B00100" w:rsidP="008E2709">
            <w:pPr>
              <w:ind w:left="105"/>
              <w:rPr>
                <w:rFonts w:ascii="Calibri" w:eastAsia="Calibri" w:hAnsi="Calibri" w:cs="Times New Roman"/>
                <w:color w:val="auto"/>
                <w:sz w:val="22"/>
                <w:szCs w:val="22"/>
              </w:rPr>
            </w:pPr>
            <w:r>
              <w:rPr>
                <w:rFonts w:ascii="Calibri" w:eastAsia="Calibri" w:hAnsi="Calibri" w:cs="Times New Roman"/>
                <w:color w:val="auto"/>
                <w:sz w:val="20"/>
                <w:szCs w:val="20"/>
              </w:rPr>
              <w:t>3</w:t>
            </w:r>
            <w:r w:rsidRPr="002E1A3F">
              <w:rPr>
                <w:rFonts w:ascii="Calibri" w:eastAsia="Calibri" w:hAnsi="Calibri" w:cs="Times New Roman"/>
                <w:color w:val="auto"/>
                <w:spacing w:val="1"/>
                <w:sz w:val="20"/>
                <w:szCs w:val="20"/>
              </w:rPr>
              <w:t xml:space="preserve"> </w:t>
            </w:r>
            <w:r w:rsidR="00F65677" w:rsidRPr="002E1A3F">
              <w:rPr>
                <w:rFonts w:ascii="Calibri" w:eastAsia="Calibri" w:hAnsi="Calibri" w:cs="Times New Roman"/>
                <w:color w:val="auto"/>
                <w:sz w:val="20"/>
                <w:szCs w:val="20"/>
              </w:rPr>
              <w:t>S</w:t>
            </w:r>
            <w:r w:rsidR="00F65677" w:rsidRPr="002E1A3F">
              <w:rPr>
                <w:rFonts w:ascii="Calibri" w:eastAsia="Calibri" w:hAnsi="Calibri" w:cs="Times New Roman"/>
                <w:color w:val="auto"/>
                <w:spacing w:val="2"/>
                <w:sz w:val="20"/>
                <w:szCs w:val="20"/>
              </w:rPr>
              <w:t>W</w:t>
            </w:r>
            <w:r w:rsidR="00F65677" w:rsidRPr="002E1A3F">
              <w:rPr>
                <w:rFonts w:ascii="Calibri" w:eastAsia="Calibri" w:hAnsi="Calibri" w:cs="Times New Roman"/>
                <w:color w:val="auto"/>
                <w:sz w:val="20"/>
                <w:szCs w:val="20"/>
              </w:rPr>
              <w:t>s</w:t>
            </w:r>
            <w:r w:rsidR="00F65677" w:rsidRPr="002E1A3F">
              <w:rPr>
                <w:rFonts w:ascii="Calibri" w:eastAsia="Calibri" w:hAnsi="Calibri" w:cs="Times New Roman"/>
                <w:color w:val="auto"/>
                <w:spacing w:val="-4"/>
                <w:sz w:val="20"/>
                <w:szCs w:val="20"/>
              </w:rPr>
              <w:t xml:space="preserve"> </w:t>
            </w:r>
            <w:r w:rsidR="00F65677" w:rsidRPr="002E1A3F">
              <w:rPr>
                <w:rFonts w:ascii="Calibri" w:eastAsia="Calibri" w:hAnsi="Calibri" w:cs="Times New Roman"/>
                <w:color w:val="auto"/>
                <w:sz w:val="20"/>
                <w:szCs w:val="20"/>
              </w:rPr>
              <w:t>a</w:t>
            </w:r>
            <w:r w:rsidR="00F65677" w:rsidRPr="002E1A3F">
              <w:rPr>
                <w:rFonts w:ascii="Calibri" w:eastAsia="Calibri" w:hAnsi="Calibri" w:cs="Times New Roman"/>
                <w:color w:val="auto"/>
                <w:spacing w:val="-1"/>
                <w:sz w:val="20"/>
                <w:szCs w:val="20"/>
              </w:rPr>
              <w:t>n</w:t>
            </w:r>
            <w:r w:rsidR="00F65677" w:rsidRPr="002E1A3F">
              <w:rPr>
                <w:rFonts w:ascii="Calibri" w:eastAsia="Calibri" w:hAnsi="Calibri" w:cs="Times New Roman"/>
                <w:color w:val="auto"/>
                <w:spacing w:val="1"/>
                <w:sz w:val="20"/>
                <w:szCs w:val="20"/>
              </w:rPr>
              <w:t>n</w:t>
            </w:r>
            <w:r w:rsidR="00F65677" w:rsidRPr="002E1A3F">
              <w:rPr>
                <w:rFonts w:ascii="Calibri" w:eastAsia="Calibri" w:hAnsi="Calibri" w:cs="Times New Roman"/>
                <w:color w:val="auto"/>
                <w:spacing w:val="-1"/>
                <w:sz w:val="20"/>
                <w:szCs w:val="20"/>
              </w:rPr>
              <w:t>u</w:t>
            </w:r>
            <w:r w:rsidR="00F65677" w:rsidRPr="002E1A3F">
              <w:rPr>
                <w:rFonts w:ascii="Calibri" w:eastAsia="Calibri" w:hAnsi="Calibri" w:cs="Times New Roman"/>
                <w:color w:val="auto"/>
                <w:sz w:val="20"/>
                <w:szCs w:val="20"/>
              </w:rPr>
              <w:t>al</w:t>
            </w:r>
            <w:r w:rsidR="00F65677" w:rsidRPr="002E1A3F">
              <w:rPr>
                <w:rFonts w:ascii="Calibri" w:eastAsia="Calibri" w:hAnsi="Calibri" w:cs="Times New Roman"/>
                <w:color w:val="auto"/>
                <w:spacing w:val="2"/>
                <w:sz w:val="20"/>
                <w:szCs w:val="20"/>
              </w:rPr>
              <w:t>l</w:t>
            </w:r>
            <w:r w:rsidR="00F65677" w:rsidRPr="002E1A3F">
              <w:rPr>
                <w:rFonts w:ascii="Calibri" w:eastAsia="Calibri" w:hAnsi="Calibri" w:cs="Times New Roman"/>
                <w:color w:val="auto"/>
                <w:sz w:val="20"/>
                <w:szCs w:val="20"/>
              </w:rPr>
              <w:t>y</w:t>
            </w:r>
          </w:p>
        </w:tc>
        <w:tc>
          <w:tcPr>
            <w:tcW w:w="2205" w:type="dxa"/>
          </w:tcPr>
          <w:p w14:paraId="5852AC76"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w:t>
            </w:r>
          </w:p>
        </w:tc>
        <w:tc>
          <w:tcPr>
            <w:tcW w:w="2218" w:type="dxa"/>
          </w:tcPr>
          <w:p w14:paraId="76AF04DA"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1AF00E3C" w14:textId="77777777" w:rsidTr="008E2709">
        <w:trPr>
          <w:trHeight w:hRule="exact" w:val="356"/>
        </w:trPr>
        <w:tc>
          <w:tcPr>
            <w:tcW w:w="1856" w:type="dxa"/>
            <w:tcBorders>
              <w:top w:val="single" w:sz="4" w:space="0" w:color="auto"/>
              <w:left w:val="single" w:sz="4" w:space="0" w:color="auto"/>
              <w:bottom w:val="single" w:sz="4" w:space="0" w:color="auto"/>
              <w:right w:val="single" w:sz="4" w:space="0" w:color="auto"/>
            </w:tcBorders>
          </w:tcPr>
          <w:p w14:paraId="2450B3C5"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E</w:t>
            </w:r>
            <w:r w:rsidRPr="002E1A3F">
              <w:rPr>
                <w:rFonts w:ascii="Calibri" w:eastAsia="Calibri" w:hAnsi="Calibri" w:cs="Times New Roman"/>
                <w:color w:val="auto"/>
                <w:spacing w:val="-1"/>
                <w:sz w:val="20"/>
                <w:szCs w:val="20"/>
              </w:rPr>
              <w:t>nv</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ron</w:t>
            </w:r>
            <w:r w:rsidRPr="002E1A3F">
              <w:rPr>
                <w:rFonts w:ascii="Calibri" w:eastAsia="Calibri" w:hAnsi="Calibri" w:cs="Times New Roman"/>
                <w:color w:val="auto"/>
                <w:spacing w:val="-1"/>
                <w:sz w:val="20"/>
                <w:szCs w:val="20"/>
              </w:rPr>
              <w:t>m</w:t>
            </w:r>
            <w:r w:rsidRPr="002E1A3F">
              <w:rPr>
                <w:rFonts w:ascii="Calibri" w:eastAsia="Calibri" w:hAnsi="Calibri" w:cs="Times New Roman"/>
                <w:color w:val="auto"/>
                <w:spacing w:val="3"/>
                <w:sz w:val="20"/>
                <w:szCs w:val="20"/>
              </w:rPr>
              <w:t>e</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0"/>
                <w:sz w:val="20"/>
                <w:szCs w:val="20"/>
              </w:rPr>
              <w:t xml:space="preserve"> </w:t>
            </w:r>
          </w:p>
        </w:tc>
        <w:tc>
          <w:tcPr>
            <w:tcW w:w="3337" w:type="dxa"/>
            <w:tcBorders>
              <w:left w:val="single" w:sz="4" w:space="0" w:color="auto"/>
            </w:tcBorders>
          </w:tcPr>
          <w:p w14:paraId="470D5B8A" w14:textId="77777777" w:rsidR="002E1A3F" w:rsidRPr="002E1A3F" w:rsidRDefault="00B00100" w:rsidP="008E2709">
            <w:pPr>
              <w:ind w:left="105"/>
              <w:rPr>
                <w:rFonts w:ascii="Calibri" w:eastAsia="Calibri" w:hAnsi="Calibri" w:cs="Times New Roman"/>
                <w:color w:val="auto"/>
                <w:sz w:val="22"/>
                <w:szCs w:val="22"/>
              </w:rPr>
            </w:pPr>
            <w:r>
              <w:rPr>
                <w:rFonts w:ascii="Calibri" w:eastAsia="Calibri" w:hAnsi="Calibri" w:cs="Times New Roman"/>
                <w:color w:val="auto"/>
                <w:sz w:val="20"/>
                <w:szCs w:val="20"/>
              </w:rPr>
              <w:t>3</w:t>
            </w:r>
            <w:r w:rsidRPr="002E1A3F">
              <w:rPr>
                <w:rFonts w:ascii="Calibri" w:eastAsia="Calibri" w:hAnsi="Calibri" w:cs="Times New Roman"/>
                <w:color w:val="auto"/>
                <w:spacing w:val="1"/>
                <w:sz w:val="20"/>
                <w:szCs w:val="20"/>
              </w:rPr>
              <w:t xml:space="preserve"> </w:t>
            </w:r>
            <w:r w:rsidR="00F65677" w:rsidRPr="002E1A3F">
              <w:rPr>
                <w:rFonts w:ascii="Calibri" w:eastAsia="Calibri" w:hAnsi="Calibri" w:cs="Times New Roman"/>
                <w:color w:val="auto"/>
                <w:sz w:val="20"/>
                <w:szCs w:val="20"/>
              </w:rPr>
              <w:t>SW</w:t>
            </w:r>
            <w:r w:rsidR="00F65677" w:rsidRPr="002E1A3F">
              <w:rPr>
                <w:rFonts w:ascii="Calibri" w:eastAsia="Calibri" w:hAnsi="Calibri" w:cs="Times New Roman"/>
                <w:color w:val="auto"/>
                <w:spacing w:val="-1"/>
                <w:sz w:val="20"/>
                <w:szCs w:val="20"/>
              </w:rPr>
              <w:t xml:space="preserve"> </w:t>
            </w:r>
            <w:r w:rsidR="00F65677" w:rsidRPr="002E1A3F">
              <w:rPr>
                <w:rFonts w:ascii="Calibri" w:eastAsia="Calibri" w:hAnsi="Calibri" w:cs="Times New Roman"/>
                <w:color w:val="auto"/>
                <w:sz w:val="20"/>
                <w:szCs w:val="20"/>
              </w:rPr>
              <w:t>a</w:t>
            </w:r>
            <w:r w:rsidR="00F65677" w:rsidRPr="002E1A3F">
              <w:rPr>
                <w:rFonts w:ascii="Calibri" w:eastAsia="Calibri" w:hAnsi="Calibri" w:cs="Times New Roman"/>
                <w:color w:val="auto"/>
                <w:spacing w:val="-1"/>
                <w:sz w:val="20"/>
                <w:szCs w:val="20"/>
              </w:rPr>
              <w:t>nnu</w:t>
            </w:r>
            <w:r w:rsidR="00F65677" w:rsidRPr="002E1A3F">
              <w:rPr>
                <w:rFonts w:ascii="Calibri" w:eastAsia="Calibri" w:hAnsi="Calibri" w:cs="Times New Roman"/>
                <w:color w:val="auto"/>
                <w:sz w:val="20"/>
                <w:szCs w:val="20"/>
              </w:rPr>
              <w:t>a</w:t>
            </w:r>
            <w:r w:rsidR="00F65677" w:rsidRPr="002E1A3F">
              <w:rPr>
                <w:rFonts w:ascii="Calibri" w:eastAsia="Calibri" w:hAnsi="Calibri" w:cs="Times New Roman"/>
                <w:color w:val="auto"/>
                <w:spacing w:val="2"/>
                <w:sz w:val="20"/>
                <w:szCs w:val="20"/>
              </w:rPr>
              <w:t>ll</w:t>
            </w:r>
            <w:r w:rsidR="00F65677" w:rsidRPr="002E1A3F">
              <w:rPr>
                <w:rFonts w:ascii="Calibri" w:eastAsia="Calibri" w:hAnsi="Calibri" w:cs="Times New Roman"/>
                <w:color w:val="auto"/>
                <w:sz w:val="20"/>
                <w:szCs w:val="20"/>
              </w:rPr>
              <w:t>y</w:t>
            </w:r>
          </w:p>
        </w:tc>
        <w:tc>
          <w:tcPr>
            <w:tcW w:w="2205" w:type="dxa"/>
          </w:tcPr>
          <w:p w14:paraId="667DA834"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p>
        </w:tc>
        <w:tc>
          <w:tcPr>
            <w:tcW w:w="2218" w:type="dxa"/>
          </w:tcPr>
          <w:p w14:paraId="7DAAC261"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580D7A62" w14:textId="77777777" w:rsidTr="008E2709">
        <w:trPr>
          <w:trHeight w:hRule="exact" w:val="527"/>
        </w:trPr>
        <w:tc>
          <w:tcPr>
            <w:tcW w:w="1856" w:type="dxa"/>
            <w:tcBorders>
              <w:top w:val="single" w:sz="4" w:space="0" w:color="auto"/>
              <w:left w:val="single" w:sz="4" w:space="0" w:color="auto"/>
              <w:bottom w:val="single" w:sz="4" w:space="0" w:color="auto"/>
              <w:right w:val="single" w:sz="4" w:space="0" w:color="auto"/>
            </w:tcBorders>
          </w:tcPr>
          <w:p w14:paraId="065EC52E" w14:textId="77777777" w:rsidR="002E1A3F" w:rsidRPr="002E1A3F" w:rsidRDefault="00B00100" w:rsidP="008E2709">
            <w:pPr>
              <w:ind w:left="105"/>
              <w:rPr>
                <w:rFonts w:ascii="Calibri" w:eastAsia="Calibri" w:hAnsi="Calibri" w:cs="Times New Roman"/>
                <w:color w:val="auto"/>
                <w:sz w:val="20"/>
                <w:szCs w:val="20"/>
              </w:rPr>
            </w:pPr>
            <w:r w:rsidRPr="002E1A3F">
              <w:rPr>
                <w:rFonts w:ascii="Calibri" w:eastAsia="Calibri" w:hAnsi="Calibri" w:cs="Times New Roman"/>
                <w:color w:val="auto"/>
                <w:sz w:val="20"/>
                <w:szCs w:val="20"/>
              </w:rPr>
              <w:t xml:space="preserve">Infrastructure </w:t>
            </w:r>
          </w:p>
        </w:tc>
        <w:tc>
          <w:tcPr>
            <w:tcW w:w="3337" w:type="dxa"/>
            <w:tcBorders>
              <w:left w:val="single" w:sz="4" w:space="0" w:color="auto"/>
            </w:tcBorders>
          </w:tcPr>
          <w:p w14:paraId="7CBF1DB8" w14:textId="77777777" w:rsidR="002E1A3F" w:rsidRPr="002E1A3F" w:rsidRDefault="00B00100" w:rsidP="008E2709">
            <w:pPr>
              <w:ind w:left="105"/>
              <w:rPr>
                <w:rFonts w:ascii="Calibri" w:eastAsia="Calibri" w:hAnsi="Calibri" w:cs="Times New Roman"/>
                <w:color w:val="auto"/>
                <w:sz w:val="20"/>
                <w:szCs w:val="20"/>
              </w:rPr>
            </w:pPr>
            <w:r w:rsidRPr="002E1A3F">
              <w:rPr>
                <w:rFonts w:ascii="Calibri" w:eastAsia="Calibri" w:hAnsi="Calibri" w:cs="Times New Roman"/>
                <w:color w:val="auto"/>
                <w:sz w:val="20"/>
                <w:szCs w:val="20"/>
              </w:rPr>
              <w:t>2 SW annually</w:t>
            </w:r>
          </w:p>
        </w:tc>
        <w:tc>
          <w:tcPr>
            <w:tcW w:w="2205" w:type="dxa"/>
          </w:tcPr>
          <w:p w14:paraId="4AE41BE5" w14:textId="77777777" w:rsidR="002E1A3F" w:rsidRPr="002E1A3F" w:rsidRDefault="00B00100" w:rsidP="008E2709">
            <w:pPr>
              <w:ind w:left="105"/>
              <w:rPr>
                <w:rFonts w:ascii="Calibri" w:eastAsia="Calibri" w:hAnsi="Calibri" w:cs="Times New Roman"/>
                <w:color w:val="auto"/>
                <w:sz w:val="20"/>
                <w:szCs w:val="20"/>
              </w:rPr>
            </w:pPr>
            <w:r w:rsidRPr="002E1A3F">
              <w:rPr>
                <w:rFonts w:ascii="Calibri" w:eastAsia="Calibri" w:hAnsi="Calibri" w:cs="Times New Roman"/>
                <w:color w:val="auto"/>
                <w:sz w:val="20"/>
                <w:szCs w:val="20"/>
              </w:rPr>
              <w:t>Field trips as required</w:t>
            </w:r>
          </w:p>
        </w:tc>
        <w:tc>
          <w:tcPr>
            <w:tcW w:w="2218" w:type="dxa"/>
          </w:tcPr>
          <w:p w14:paraId="2C0F0A5E" w14:textId="77777777" w:rsidR="002E1A3F" w:rsidRPr="002E1A3F" w:rsidRDefault="00B00100" w:rsidP="008E2709">
            <w:pPr>
              <w:ind w:left="105"/>
              <w:rPr>
                <w:rFonts w:ascii="Calibri" w:eastAsia="Calibri" w:hAnsi="Calibri" w:cs="Times New Roman"/>
                <w:color w:val="auto"/>
                <w:spacing w:val="-1"/>
                <w:sz w:val="20"/>
                <w:szCs w:val="20"/>
              </w:rPr>
            </w:pPr>
            <w:r w:rsidRPr="002E1A3F">
              <w:rPr>
                <w:rFonts w:ascii="Calibri" w:eastAsia="Calibri" w:hAnsi="Calibri" w:cs="Times New Roman"/>
                <w:color w:val="auto"/>
                <w:spacing w:val="-1"/>
                <w:sz w:val="20"/>
                <w:szCs w:val="20"/>
              </w:rPr>
              <w:t>Headquarters/Regionally based</w:t>
            </w:r>
          </w:p>
        </w:tc>
      </w:tr>
      <w:tr w:rsidR="000C3959" w14:paraId="3A4394B3" w14:textId="77777777" w:rsidTr="008E2709">
        <w:trPr>
          <w:trHeight w:hRule="exact" w:val="293"/>
        </w:trPr>
        <w:tc>
          <w:tcPr>
            <w:tcW w:w="1856" w:type="dxa"/>
            <w:tcBorders>
              <w:top w:val="single" w:sz="4" w:space="0" w:color="auto"/>
              <w:left w:val="single" w:sz="4" w:space="0" w:color="auto"/>
              <w:bottom w:val="single" w:sz="4" w:space="0" w:color="auto"/>
              <w:right w:val="single" w:sz="4" w:space="0" w:color="auto"/>
            </w:tcBorders>
          </w:tcPr>
          <w:p w14:paraId="181CF153"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FM</w:t>
            </w:r>
            <w:r w:rsidRPr="002E1A3F">
              <w:rPr>
                <w:rFonts w:ascii="Calibri" w:eastAsia="Calibri" w:hAnsi="Calibri" w:cs="Times New Roman"/>
                <w:color w:val="auto"/>
                <w:spacing w:val="-2"/>
                <w:sz w:val="20"/>
                <w:szCs w:val="20"/>
              </w:rPr>
              <w:t xml:space="preserve"> </w:t>
            </w:r>
          </w:p>
        </w:tc>
        <w:tc>
          <w:tcPr>
            <w:tcW w:w="3337" w:type="dxa"/>
            <w:tcBorders>
              <w:left w:val="single" w:sz="4" w:space="0" w:color="auto"/>
            </w:tcBorders>
          </w:tcPr>
          <w:p w14:paraId="2962A9F6"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6</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al</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y</w:t>
            </w:r>
          </w:p>
        </w:tc>
        <w:tc>
          <w:tcPr>
            <w:tcW w:w="2205" w:type="dxa"/>
          </w:tcPr>
          <w:p w14:paraId="491F0DAB"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Fiel</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p</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z w:val="20"/>
                <w:szCs w:val="20"/>
              </w:rPr>
              <w:t>as</w:t>
            </w:r>
            <w:r w:rsidRPr="002E1A3F">
              <w:rPr>
                <w:rFonts w:ascii="Calibri" w:eastAsia="Calibri" w:hAnsi="Calibri" w:cs="Times New Roman"/>
                <w:color w:val="auto"/>
                <w:spacing w:val="-2"/>
                <w:sz w:val="20"/>
                <w:szCs w:val="20"/>
              </w:rPr>
              <w:t xml:space="preserve"> </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q</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d.</w:t>
            </w:r>
          </w:p>
        </w:tc>
        <w:tc>
          <w:tcPr>
            <w:tcW w:w="2218" w:type="dxa"/>
          </w:tcPr>
          <w:p w14:paraId="475C4804"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C</w:t>
            </w:r>
            <w:r w:rsidRPr="002E1A3F">
              <w:rPr>
                <w:rFonts w:ascii="Calibri" w:eastAsia="Calibri" w:hAnsi="Calibri" w:cs="Times New Roman"/>
                <w:color w:val="auto"/>
                <w:spacing w:val="1"/>
                <w:sz w:val="20"/>
                <w:szCs w:val="20"/>
              </w:rPr>
              <w:t>ou</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3"/>
                <w:sz w:val="20"/>
                <w:szCs w:val="20"/>
              </w:rPr>
              <w:t>r</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10"/>
                <w:sz w:val="20"/>
                <w:szCs w:val="20"/>
              </w:rPr>
              <w:t xml:space="preserve"> </w:t>
            </w:r>
            <w:r w:rsidRPr="002E1A3F">
              <w:rPr>
                <w:rFonts w:ascii="Calibri" w:eastAsia="Calibri" w:hAnsi="Calibri" w:cs="Times New Roman"/>
                <w:color w:val="auto"/>
                <w:spacing w:val="1"/>
                <w:sz w:val="20"/>
                <w:szCs w:val="20"/>
              </w:rPr>
              <w:t>of</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ice</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b</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ed</w:t>
            </w:r>
          </w:p>
        </w:tc>
      </w:tr>
      <w:tr w:rsidR="000C3959" w14:paraId="28D0CDAC" w14:textId="77777777" w:rsidTr="008E2709">
        <w:trPr>
          <w:trHeight w:hRule="exact" w:val="545"/>
        </w:trPr>
        <w:tc>
          <w:tcPr>
            <w:tcW w:w="1856" w:type="dxa"/>
            <w:tcBorders>
              <w:top w:val="single" w:sz="4" w:space="0" w:color="auto"/>
              <w:left w:val="single" w:sz="4" w:space="0" w:color="auto"/>
              <w:bottom w:val="single" w:sz="4" w:space="0" w:color="auto"/>
              <w:right w:val="single" w:sz="4" w:space="0" w:color="auto"/>
            </w:tcBorders>
          </w:tcPr>
          <w:p w14:paraId="4DAC694C"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3"/>
                <w:sz w:val="20"/>
                <w:szCs w:val="20"/>
              </w:rPr>
              <w:t>T</w:t>
            </w:r>
            <w:r w:rsidRPr="002E1A3F">
              <w:rPr>
                <w:rFonts w:ascii="Calibri" w:eastAsia="Calibri" w:hAnsi="Calibri" w:cs="Times New Roman"/>
                <w:color w:val="auto"/>
                <w:sz w:val="20"/>
                <w:szCs w:val="20"/>
              </w:rPr>
              <w:t>a</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k</w:t>
            </w:r>
            <w:r w:rsidRPr="002E1A3F">
              <w:rPr>
                <w:rFonts w:ascii="Calibri" w:eastAsia="Calibri" w:hAnsi="Calibri" w:cs="Times New Roman"/>
                <w:color w:val="auto"/>
                <w:spacing w:val="-5"/>
                <w:sz w:val="20"/>
                <w:szCs w:val="20"/>
              </w:rPr>
              <w:t xml:space="preserve"> </w:t>
            </w:r>
            <w:r w:rsidRPr="002E1A3F">
              <w:rPr>
                <w:rFonts w:ascii="Calibri" w:eastAsia="Calibri" w:hAnsi="Calibri" w:cs="Times New Roman"/>
                <w:color w:val="auto"/>
                <w:spacing w:val="3"/>
                <w:sz w:val="20"/>
                <w:szCs w:val="20"/>
              </w:rPr>
              <w:t>T</w:t>
            </w:r>
            <w:r w:rsidRPr="002E1A3F">
              <w:rPr>
                <w:rFonts w:ascii="Calibri" w:eastAsia="Calibri" w:hAnsi="Calibri" w:cs="Times New Roman"/>
                <w:color w:val="auto"/>
                <w:sz w:val="20"/>
                <w:szCs w:val="20"/>
              </w:rPr>
              <w:t>eam</w:t>
            </w:r>
            <w:r w:rsidRPr="002E1A3F">
              <w:rPr>
                <w:rFonts w:ascii="Calibri" w:eastAsia="Calibri" w:hAnsi="Calibri" w:cs="Times New Roman"/>
                <w:color w:val="auto"/>
                <w:spacing w:val="-8"/>
                <w:sz w:val="20"/>
                <w:szCs w:val="20"/>
              </w:rPr>
              <w:t xml:space="preserve"> </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ea</w:t>
            </w:r>
            <w:r w:rsidRPr="002E1A3F">
              <w:rPr>
                <w:rFonts w:ascii="Calibri" w:eastAsia="Calibri" w:hAnsi="Calibri" w:cs="Times New Roman"/>
                <w:color w:val="auto"/>
                <w:spacing w:val="1"/>
                <w:sz w:val="20"/>
                <w:szCs w:val="20"/>
              </w:rPr>
              <w:t>d</w:t>
            </w:r>
            <w:r w:rsidRPr="002E1A3F">
              <w:rPr>
                <w:rFonts w:ascii="Calibri" w:eastAsia="Calibri" w:hAnsi="Calibri" w:cs="Times New Roman"/>
                <w:color w:val="auto"/>
                <w:sz w:val="20"/>
                <w:szCs w:val="20"/>
              </w:rPr>
              <w:t>ers</w:t>
            </w:r>
          </w:p>
        </w:tc>
        <w:tc>
          <w:tcPr>
            <w:tcW w:w="3337" w:type="dxa"/>
            <w:tcBorders>
              <w:left w:val="single" w:sz="4" w:space="0" w:color="auto"/>
            </w:tcBorders>
          </w:tcPr>
          <w:p w14:paraId="6A507361" w14:textId="77777777" w:rsidR="002E1A3F" w:rsidRPr="002E1A3F" w:rsidRDefault="00B00100" w:rsidP="008E2709">
            <w:pPr>
              <w:ind w:left="105" w:right="180"/>
              <w:rPr>
                <w:rFonts w:ascii="Calibri" w:eastAsia="Calibri" w:hAnsi="Calibri" w:cs="Times New Roman"/>
                <w:color w:val="auto"/>
                <w:sz w:val="22"/>
                <w:szCs w:val="22"/>
              </w:rPr>
            </w:pPr>
            <w:r w:rsidRPr="002E1A3F">
              <w:rPr>
                <w:rFonts w:ascii="Calibri" w:eastAsia="Calibri" w:hAnsi="Calibri" w:cs="Times New Roman"/>
                <w:color w:val="auto"/>
                <w:spacing w:val="1"/>
                <w:sz w:val="20"/>
                <w:szCs w:val="20"/>
              </w:rPr>
              <w:t>1</w:t>
            </w:r>
            <w:r w:rsidRPr="002E1A3F">
              <w:rPr>
                <w:rFonts w:ascii="Calibri" w:eastAsia="Calibri" w:hAnsi="Calibri" w:cs="Times New Roman"/>
                <w:color w:val="auto"/>
                <w:sz w:val="20"/>
                <w:szCs w:val="20"/>
              </w:rPr>
              <w:t>5 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f</w:t>
            </w:r>
            <w:r w:rsidRPr="002E1A3F">
              <w:rPr>
                <w:rFonts w:ascii="Calibri" w:eastAsia="Calibri" w:hAnsi="Calibri" w:cs="Times New Roman"/>
                <w:color w:val="auto"/>
                <w:sz w:val="20"/>
                <w:szCs w:val="20"/>
              </w:rPr>
              <w:t>i</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pacing w:val="-1"/>
                <w:sz w:val="20"/>
                <w:szCs w:val="20"/>
              </w:rPr>
              <w:t>s</w:t>
            </w:r>
            <w:r w:rsidRPr="002E1A3F">
              <w:rPr>
                <w:rFonts w:ascii="Calibri" w:eastAsia="Calibri" w:hAnsi="Calibri" w:cs="Times New Roman"/>
                <w:color w:val="auto"/>
                <w:sz w:val="20"/>
                <w:szCs w:val="20"/>
              </w:rPr>
              <w:t xml:space="preserve">t </w:t>
            </w:r>
            <w:r w:rsidRPr="002E1A3F">
              <w:rPr>
                <w:rFonts w:ascii="Calibri" w:eastAsia="Calibri" w:hAnsi="Calibri" w:cs="Times New Roman"/>
                <w:color w:val="auto"/>
                <w:spacing w:val="-4"/>
                <w:sz w:val="20"/>
                <w:szCs w:val="20"/>
              </w:rPr>
              <w:t>y</w:t>
            </w:r>
            <w:r w:rsidRPr="002E1A3F">
              <w:rPr>
                <w:rFonts w:ascii="Calibri" w:eastAsia="Calibri" w:hAnsi="Calibri" w:cs="Times New Roman"/>
                <w:color w:val="auto"/>
                <w:sz w:val="20"/>
                <w:szCs w:val="20"/>
              </w:rPr>
              <w:t>ea</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w:t>
            </w:r>
            <w:r w:rsidRPr="002E1A3F">
              <w:rPr>
                <w:rFonts w:ascii="Calibri" w:eastAsia="Calibri" w:hAnsi="Calibri" w:cs="Times New Roman"/>
                <w:color w:val="auto"/>
                <w:spacing w:val="-3"/>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h</w:t>
            </w:r>
            <w:r w:rsidRPr="002E1A3F">
              <w:rPr>
                <w:rFonts w:ascii="Calibri" w:eastAsia="Calibri" w:hAnsi="Calibri" w:cs="Times New Roman"/>
                <w:color w:val="auto"/>
                <w:spacing w:val="3"/>
                <w:sz w:val="20"/>
                <w:szCs w:val="20"/>
              </w:rPr>
              <w:t>e</w:t>
            </w:r>
            <w:r w:rsidRPr="002E1A3F">
              <w:rPr>
                <w:rFonts w:ascii="Calibri" w:eastAsia="Calibri" w:hAnsi="Calibri" w:cs="Times New Roman"/>
                <w:color w:val="auto"/>
                <w:sz w:val="20"/>
                <w:szCs w:val="20"/>
              </w:rPr>
              <w:t>n</w:t>
            </w:r>
            <w:r w:rsidRPr="002E1A3F">
              <w:rPr>
                <w:rFonts w:ascii="Calibri" w:eastAsia="Calibri" w:hAnsi="Calibri" w:cs="Times New Roman"/>
                <w:color w:val="auto"/>
                <w:spacing w:val="-4"/>
                <w:sz w:val="20"/>
                <w:szCs w:val="20"/>
              </w:rPr>
              <w:t xml:space="preserve"> </w:t>
            </w:r>
            <w:r w:rsidRPr="002E1A3F">
              <w:rPr>
                <w:rFonts w:ascii="Calibri" w:eastAsia="Calibri" w:hAnsi="Calibri" w:cs="Times New Roman"/>
                <w:color w:val="auto"/>
                <w:spacing w:val="1"/>
                <w:sz w:val="20"/>
                <w:szCs w:val="20"/>
              </w:rPr>
              <w:t>1</w:t>
            </w:r>
            <w:r w:rsidRPr="002E1A3F">
              <w:rPr>
                <w:rFonts w:ascii="Calibri" w:eastAsia="Calibri" w:hAnsi="Calibri" w:cs="Times New Roman"/>
                <w:color w:val="auto"/>
                <w:sz w:val="20"/>
                <w:szCs w:val="20"/>
              </w:rPr>
              <w:t>2 S</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z w:val="20"/>
                <w:szCs w:val="20"/>
              </w:rPr>
              <w:t>s a</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pacing w:val="-1"/>
                <w:sz w:val="20"/>
                <w:szCs w:val="20"/>
              </w:rPr>
              <w:t>u</w:t>
            </w:r>
            <w:r w:rsidRPr="002E1A3F">
              <w:rPr>
                <w:rFonts w:ascii="Calibri" w:eastAsia="Calibri" w:hAnsi="Calibri" w:cs="Times New Roman"/>
                <w:color w:val="auto"/>
                <w:sz w:val="20"/>
                <w:szCs w:val="20"/>
              </w:rPr>
              <w:t>al</w:t>
            </w:r>
            <w:r w:rsidRPr="002E1A3F">
              <w:rPr>
                <w:rFonts w:ascii="Calibri" w:eastAsia="Calibri" w:hAnsi="Calibri" w:cs="Times New Roman"/>
                <w:color w:val="auto"/>
                <w:spacing w:val="2"/>
                <w:sz w:val="20"/>
                <w:szCs w:val="20"/>
              </w:rPr>
              <w:t>l</w:t>
            </w:r>
            <w:r w:rsidRPr="002E1A3F">
              <w:rPr>
                <w:rFonts w:ascii="Calibri" w:eastAsia="Calibri" w:hAnsi="Calibri" w:cs="Times New Roman"/>
                <w:color w:val="auto"/>
                <w:sz w:val="20"/>
                <w:szCs w:val="20"/>
              </w:rPr>
              <w:t>y</w:t>
            </w:r>
            <w:r w:rsidRPr="002E1A3F">
              <w:rPr>
                <w:rFonts w:ascii="Calibri" w:eastAsia="Calibri" w:hAnsi="Calibri" w:cs="Times New Roman"/>
                <w:color w:val="auto"/>
                <w:spacing w:val="-8"/>
                <w:sz w:val="20"/>
                <w:szCs w:val="20"/>
              </w:rPr>
              <w:t xml:space="preserve"> </w:t>
            </w:r>
            <w:r w:rsidRPr="002E1A3F">
              <w:rPr>
                <w:rFonts w:ascii="Calibri" w:eastAsia="Calibri" w:hAnsi="Calibri" w:cs="Times New Roman"/>
                <w:color w:val="auto"/>
                <w:spacing w:val="2"/>
                <w:sz w:val="20"/>
                <w:szCs w:val="20"/>
              </w:rPr>
              <w:t>i</w:t>
            </w:r>
            <w:r w:rsidRPr="002E1A3F">
              <w:rPr>
                <w:rFonts w:ascii="Calibri" w:eastAsia="Calibri" w:hAnsi="Calibri" w:cs="Times New Roman"/>
                <w:color w:val="auto"/>
                <w:sz w:val="20"/>
                <w:szCs w:val="20"/>
              </w:rPr>
              <w:t>n</w:t>
            </w:r>
            <w:r w:rsidRPr="002E1A3F">
              <w:rPr>
                <w:rFonts w:ascii="Calibri" w:eastAsia="Calibri" w:hAnsi="Calibri" w:cs="Times New Roman"/>
                <w:color w:val="auto"/>
                <w:spacing w:val="-3"/>
                <w:sz w:val="20"/>
                <w:szCs w:val="20"/>
              </w:rPr>
              <w:t xml:space="preserve"> </w:t>
            </w:r>
            <w:r w:rsidRPr="002E1A3F">
              <w:rPr>
                <w:rFonts w:ascii="Calibri" w:eastAsia="Calibri" w:hAnsi="Calibri" w:cs="Times New Roman"/>
                <w:color w:val="auto"/>
                <w:sz w:val="20"/>
                <w:szCs w:val="20"/>
              </w:rPr>
              <w:t>t</w:t>
            </w:r>
            <w:r w:rsidRPr="002E1A3F">
              <w:rPr>
                <w:rFonts w:ascii="Calibri" w:eastAsia="Calibri" w:hAnsi="Calibri" w:cs="Times New Roman"/>
                <w:color w:val="auto"/>
                <w:spacing w:val="-1"/>
                <w:sz w:val="20"/>
                <w:szCs w:val="20"/>
              </w:rPr>
              <w:t>h</w:t>
            </w:r>
            <w:r w:rsidRPr="002E1A3F">
              <w:rPr>
                <w:rFonts w:ascii="Calibri" w:eastAsia="Calibri" w:hAnsi="Calibri" w:cs="Times New Roman"/>
                <w:color w:val="auto"/>
                <w:sz w:val="20"/>
                <w:szCs w:val="20"/>
              </w:rPr>
              <w:t>e</w:t>
            </w:r>
            <w:r w:rsidRPr="002E1A3F">
              <w:rPr>
                <w:rFonts w:ascii="Calibri" w:eastAsia="Calibri" w:hAnsi="Calibri" w:cs="Times New Roman"/>
                <w:color w:val="auto"/>
                <w:spacing w:val="1"/>
                <w:sz w:val="20"/>
                <w:szCs w:val="20"/>
              </w:rPr>
              <w:t xml:space="preserve"> </w:t>
            </w:r>
            <w:r w:rsidRPr="002E1A3F">
              <w:rPr>
                <w:rFonts w:ascii="Calibri" w:eastAsia="Calibri" w:hAnsi="Calibri" w:cs="Times New Roman"/>
                <w:color w:val="auto"/>
                <w:spacing w:val="-2"/>
                <w:sz w:val="20"/>
                <w:szCs w:val="20"/>
              </w:rPr>
              <w:t>f</w:t>
            </w:r>
            <w:r w:rsidRPr="002E1A3F">
              <w:rPr>
                <w:rFonts w:ascii="Calibri" w:eastAsia="Calibri" w:hAnsi="Calibri" w:cs="Times New Roman"/>
                <w:color w:val="auto"/>
                <w:spacing w:val="1"/>
                <w:sz w:val="20"/>
                <w:szCs w:val="20"/>
              </w:rPr>
              <w:t>o</w:t>
            </w:r>
            <w:r w:rsidRPr="002E1A3F">
              <w:rPr>
                <w:rFonts w:ascii="Calibri" w:eastAsia="Calibri" w:hAnsi="Calibri" w:cs="Times New Roman"/>
                <w:color w:val="auto"/>
                <w:sz w:val="20"/>
                <w:szCs w:val="20"/>
              </w:rPr>
              <w:t>ll</w:t>
            </w:r>
            <w:r w:rsidRPr="002E1A3F">
              <w:rPr>
                <w:rFonts w:ascii="Calibri" w:eastAsia="Calibri" w:hAnsi="Calibri" w:cs="Times New Roman"/>
                <w:color w:val="auto"/>
                <w:spacing w:val="4"/>
                <w:sz w:val="20"/>
                <w:szCs w:val="20"/>
              </w:rPr>
              <w:t>o</w:t>
            </w:r>
            <w:r w:rsidRPr="002E1A3F">
              <w:rPr>
                <w:rFonts w:ascii="Calibri" w:eastAsia="Calibri" w:hAnsi="Calibri" w:cs="Times New Roman"/>
                <w:color w:val="auto"/>
                <w:spacing w:val="-2"/>
                <w:sz w:val="20"/>
                <w:szCs w:val="20"/>
              </w:rPr>
              <w:t>w</w:t>
            </w:r>
            <w:r w:rsidRPr="002E1A3F">
              <w:rPr>
                <w:rFonts w:ascii="Calibri" w:eastAsia="Calibri" w:hAnsi="Calibri" w:cs="Times New Roman"/>
                <w:color w:val="auto"/>
                <w:spacing w:val="2"/>
                <w:sz w:val="20"/>
                <w:szCs w:val="20"/>
              </w:rPr>
              <w:t>i</w:t>
            </w:r>
            <w:r w:rsidRPr="002E1A3F">
              <w:rPr>
                <w:rFonts w:ascii="Calibri" w:eastAsia="Calibri" w:hAnsi="Calibri" w:cs="Times New Roman"/>
                <w:color w:val="auto"/>
                <w:spacing w:val="-1"/>
                <w:sz w:val="20"/>
                <w:szCs w:val="20"/>
              </w:rPr>
              <w:t>n</w:t>
            </w:r>
            <w:r w:rsidRPr="002E1A3F">
              <w:rPr>
                <w:rFonts w:ascii="Calibri" w:eastAsia="Calibri" w:hAnsi="Calibri" w:cs="Times New Roman"/>
                <w:color w:val="auto"/>
                <w:sz w:val="20"/>
                <w:szCs w:val="20"/>
              </w:rPr>
              <w:t>g</w:t>
            </w:r>
            <w:r w:rsidRPr="002E1A3F">
              <w:rPr>
                <w:rFonts w:ascii="Calibri" w:eastAsia="Calibri" w:hAnsi="Calibri" w:cs="Times New Roman"/>
                <w:color w:val="auto"/>
                <w:spacing w:val="-6"/>
                <w:sz w:val="20"/>
                <w:szCs w:val="20"/>
              </w:rPr>
              <w:t xml:space="preserve"> </w:t>
            </w:r>
            <w:r w:rsidRPr="002E1A3F">
              <w:rPr>
                <w:rFonts w:ascii="Calibri" w:eastAsia="Calibri" w:hAnsi="Calibri" w:cs="Times New Roman"/>
                <w:color w:val="auto"/>
                <w:spacing w:val="-1"/>
                <w:sz w:val="20"/>
                <w:szCs w:val="20"/>
              </w:rPr>
              <w:t>y</w:t>
            </w:r>
            <w:r w:rsidRPr="002E1A3F">
              <w:rPr>
                <w:rFonts w:ascii="Calibri" w:eastAsia="Calibri" w:hAnsi="Calibri" w:cs="Times New Roman"/>
                <w:color w:val="auto"/>
                <w:sz w:val="20"/>
                <w:szCs w:val="20"/>
              </w:rPr>
              <w:t>ea</w:t>
            </w:r>
            <w:r w:rsidRPr="002E1A3F">
              <w:rPr>
                <w:rFonts w:ascii="Calibri" w:eastAsia="Calibri" w:hAnsi="Calibri" w:cs="Times New Roman"/>
                <w:color w:val="auto"/>
                <w:spacing w:val="1"/>
                <w:sz w:val="20"/>
                <w:szCs w:val="20"/>
              </w:rPr>
              <w:t>r</w:t>
            </w:r>
            <w:r w:rsidRPr="002E1A3F">
              <w:rPr>
                <w:rFonts w:ascii="Calibri" w:eastAsia="Calibri" w:hAnsi="Calibri" w:cs="Times New Roman"/>
                <w:color w:val="auto"/>
                <w:sz w:val="20"/>
                <w:szCs w:val="20"/>
              </w:rPr>
              <w:t>s</w:t>
            </w:r>
          </w:p>
        </w:tc>
        <w:tc>
          <w:tcPr>
            <w:tcW w:w="2205" w:type="dxa"/>
          </w:tcPr>
          <w:p w14:paraId="2B674A39"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pacing w:val="3"/>
                <w:sz w:val="20"/>
                <w:szCs w:val="20"/>
              </w:rPr>
              <w:t>Field trips as required</w:t>
            </w:r>
          </w:p>
        </w:tc>
        <w:tc>
          <w:tcPr>
            <w:tcW w:w="2218" w:type="dxa"/>
          </w:tcPr>
          <w:p w14:paraId="34973B75" w14:textId="77777777" w:rsidR="002E1A3F" w:rsidRPr="002E1A3F" w:rsidRDefault="00B00100" w:rsidP="008E2709">
            <w:pPr>
              <w:ind w:left="105"/>
              <w:rPr>
                <w:rFonts w:ascii="Calibri" w:eastAsia="Calibri" w:hAnsi="Calibri" w:cs="Times New Roman"/>
                <w:color w:val="auto"/>
                <w:sz w:val="22"/>
                <w:szCs w:val="22"/>
              </w:rPr>
            </w:pPr>
            <w:r w:rsidRPr="002E1A3F">
              <w:rPr>
                <w:rFonts w:ascii="Calibri" w:eastAsia="Calibri" w:hAnsi="Calibri" w:cs="Times New Roman"/>
                <w:color w:val="auto"/>
                <w:sz w:val="20"/>
                <w:szCs w:val="20"/>
              </w:rPr>
              <w:t>Headquarters Based</w:t>
            </w:r>
          </w:p>
        </w:tc>
      </w:tr>
    </w:tbl>
    <w:p w14:paraId="6D6F14FA" w14:textId="77777777" w:rsidR="002E1A3F" w:rsidRPr="002E1A3F" w:rsidRDefault="002E1A3F">
      <w:pPr>
        <w:spacing w:after="120"/>
        <w:ind w:left="519"/>
        <w:jc w:val="both"/>
        <w:rPr>
          <w:rFonts w:ascii="Calibri" w:eastAsia="Times New Roman" w:hAnsi="Calibri" w:cs="Calibri"/>
          <w:sz w:val="22"/>
          <w:szCs w:val="22"/>
        </w:rPr>
        <w:sectPr w:rsidR="002E1A3F" w:rsidRPr="002E1A3F" w:rsidSect="0037713F">
          <w:pgSz w:w="12240" w:h="15840"/>
          <w:pgMar w:top="1440" w:right="1440" w:bottom="1440" w:left="1440" w:header="720" w:footer="720" w:gutter="0"/>
          <w:cols w:space="720"/>
          <w:docGrid w:linePitch="360"/>
        </w:sectPr>
      </w:pPr>
    </w:p>
    <w:tbl>
      <w:tblPr>
        <w:tblW w:w="13932" w:type="dxa"/>
        <w:tblInd w:w="-882" w:type="dxa"/>
        <w:shd w:val="clear" w:color="auto" w:fill="F2F7FC"/>
        <w:tblLayout w:type="fixed"/>
        <w:tblLook w:val="04A0" w:firstRow="1" w:lastRow="0" w:firstColumn="1" w:lastColumn="0" w:noHBand="0" w:noVBand="1"/>
      </w:tblPr>
      <w:tblGrid>
        <w:gridCol w:w="1195"/>
        <w:gridCol w:w="2339"/>
        <w:gridCol w:w="2622"/>
        <w:gridCol w:w="2389"/>
        <w:gridCol w:w="2572"/>
        <w:gridCol w:w="2132"/>
        <w:gridCol w:w="683"/>
      </w:tblGrid>
      <w:tr w:rsidR="000C3959" w14:paraId="4FBAB862" w14:textId="77777777" w:rsidTr="007B0BAB">
        <w:trPr>
          <w:gridAfter w:val="1"/>
          <w:wAfter w:w="683" w:type="dxa"/>
          <w:trHeight w:val="432"/>
        </w:trPr>
        <w:tc>
          <w:tcPr>
            <w:tcW w:w="13249" w:type="dxa"/>
            <w:gridSpan w:val="6"/>
            <w:shd w:val="clear" w:color="auto" w:fill="F2F7FC"/>
            <w:vAlign w:val="center"/>
          </w:tcPr>
          <w:p w14:paraId="59849E53" w14:textId="7D70431D" w:rsidR="00E57DDC" w:rsidRPr="002E1A3F" w:rsidRDefault="00B00100" w:rsidP="004B61CC">
            <w:pPr>
              <w:keepNext/>
              <w:keepLines/>
              <w:widowControl/>
              <w:autoSpaceDE/>
              <w:autoSpaceDN/>
              <w:adjustRightInd/>
              <w:spacing w:before="40"/>
              <w:ind w:left="324" w:right="-462"/>
              <w:jc w:val="center"/>
              <w:outlineLvl w:val="3"/>
              <w:rPr>
                <w:rFonts w:ascii="Calibri" w:eastAsia="Times New Roman" w:hAnsi="Calibri" w:cs="Times New Roman"/>
                <w:b/>
                <w:iCs/>
                <w:color w:val="auto"/>
                <w:sz w:val="22"/>
                <w:szCs w:val="22"/>
              </w:rPr>
            </w:pPr>
            <w:bookmarkStart w:id="460" w:name="_Toc22655933"/>
            <w:bookmarkStart w:id="461" w:name="_Toc256000160"/>
            <w:bookmarkStart w:id="462" w:name="_Toc256000131"/>
            <w:bookmarkStart w:id="463" w:name="_Toc256000101"/>
            <w:bookmarkStart w:id="464" w:name="_Toc256000069"/>
            <w:bookmarkStart w:id="465" w:name="_Toc256000038"/>
            <w:bookmarkStart w:id="466" w:name="_Toc23779859"/>
            <w:bookmarkStart w:id="467" w:name="_Toc23866075"/>
            <w:bookmarkStart w:id="468" w:name="_Toc23930686"/>
            <w:r w:rsidRPr="002E1A3F">
              <w:rPr>
                <w:rFonts w:ascii="Calibri" w:eastAsia="Times New Roman" w:hAnsi="Calibri" w:cs="Times New Roman"/>
                <w:b/>
                <w:iCs/>
                <w:color w:val="auto"/>
                <w:sz w:val="22"/>
                <w:szCs w:val="22"/>
              </w:rPr>
              <w:lastRenderedPageBreak/>
              <w:t>ANNEX 6: Thematic Area</w:t>
            </w:r>
            <w:r w:rsidR="00BA62A1">
              <w:rPr>
                <w:rFonts w:ascii="Calibri" w:eastAsia="Times New Roman" w:hAnsi="Calibri" w:cs="Times New Roman"/>
                <w:b/>
                <w:iCs/>
                <w:color w:val="auto"/>
                <w:sz w:val="22"/>
                <w:szCs w:val="22"/>
              </w:rPr>
              <w:t>s</w:t>
            </w:r>
            <w:r w:rsidR="0056468E">
              <w:rPr>
                <w:rFonts w:ascii="Calibri" w:eastAsia="Times New Roman" w:hAnsi="Calibri" w:cs="Times New Roman"/>
                <w:b/>
                <w:iCs/>
                <w:color w:val="auto"/>
                <w:sz w:val="22"/>
                <w:szCs w:val="22"/>
              </w:rPr>
              <w:t xml:space="preserve"> for</w:t>
            </w:r>
            <w:r w:rsidRPr="002E1A3F">
              <w:rPr>
                <w:rFonts w:ascii="Calibri" w:eastAsia="Times New Roman" w:hAnsi="Calibri" w:cs="Times New Roman"/>
                <w:b/>
                <w:iCs/>
                <w:color w:val="auto"/>
                <w:sz w:val="22"/>
                <w:szCs w:val="22"/>
              </w:rPr>
              <w:t xml:space="preserve"> First and Second ACE Impact</w:t>
            </w:r>
            <w:bookmarkEnd w:id="460"/>
            <w:r w:rsidR="00942500">
              <w:rPr>
                <w:rFonts w:ascii="Calibri" w:eastAsia="Times New Roman" w:hAnsi="Calibri" w:cs="Times New Roman"/>
                <w:b/>
                <w:iCs/>
                <w:color w:val="auto"/>
                <w:sz w:val="22"/>
                <w:szCs w:val="22"/>
              </w:rPr>
              <w:t xml:space="preserve"> </w:t>
            </w:r>
            <w:r w:rsidR="005B759C">
              <w:rPr>
                <w:rFonts w:ascii="Calibri" w:eastAsia="Times New Roman" w:hAnsi="Calibri" w:cs="Times New Roman"/>
                <w:b/>
                <w:iCs/>
                <w:color w:val="auto"/>
                <w:sz w:val="22"/>
                <w:szCs w:val="22"/>
              </w:rPr>
              <w:t>Projects</w:t>
            </w:r>
            <w:bookmarkEnd w:id="461"/>
            <w:bookmarkEnd w:id="462"/>
            <w:bookmarkEnd w:id="463"/>
            <w:bookmarkEnd w:id="464"/>
            <w:bookmarkEnd w:id="465"/>
            <w:bookmarkEnd w:id="466"/>
            <w:bookmarkEnd w:id="467"/>
            <w:bookmarkEnd w:id="468"/>
          </w:p>
        </w:tc>
      </w:tr>
      <w:tr w:rsidR="000C3959" w14:paraId="30E44C86"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5"/>
          <w:tblHeader/>
          <w:jc w:val="center"/>
        </w:trPr>
        <w:tc>
          <w:tcPr>
            <w:tcW w:w="1195" w:type="dxa"/>
            <w:shd w:val="clear" w:color="auto" w:fill="D0CECE"/>
            <w:vAlign w:val="center"/>
          </w:tcPr>
          <w:p w14:paraId="49406676" w14:textId="77777777" w:rsidR="00E57DDC" w:rsidRPr="002E1A3F" w:rsidRDefault="00B00100" w:rsidP="004B61CC">
            <w:pPr>
              <w:widowControl/>
              <w:autoSpaceDE/>
              <w:autoSpaceDN/>
              <w:adjustRightInd/>
              <w:spacing w:after="12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Project</w:t>
            </w:r>
          </w:p>
        </w:tc>
        <w:tc>
          <w:tcPr>
            <w:tcW w:w="2339" w:type="dxa"/>
            <w:shd w:val="clear" w:color="auto" w:fill="D0CECE"/>
            <w:vAlign w:val="center"/>
          </w:tcPr>
          <w:p w14:paraId="46A7950F"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STEM</w:t>
            </w:r>
          </w:p>
        </w:tc>
        <w:tc>
          <w:tcPr>
            <w:tcW w:w="2622" w:type="dxa"/>
            <w:shd w:val="clear" w:color="auto" w:fill="D0CECE"/>
            <w:vAlign w:val="center"/>
          </w:tcPr>
          <w:p w14:paraId="260E3246"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Agriculture</w:t>
            </w:r>
          </w:p>
        </w:tc>
        <w:tc>
          <w:tcPr>
            <w:tcW w:w="2389" w:type="dxa"/>
            <w:shd w:val="clear" w:color="auto" w:fill="D0CECE"/>
            <w:vAlign w:val="center"/>
          </w:tcPr>
          <w:p w14:paraId="09AB6865"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Health</w:t>
            </w:r>
          </w:p>
        </w:tc>
        <w:tc>
          <w:tcPr>
            <w:tcW w:w="2572" w:type="dxa"/>
            <w:shd w:val="clear" w:color="auto" w:fill="D0CECE"/>
            <w:vAlign w:val="center"/>
          </w:tcPr>
          <w:p w14:paraId="0FD0B0AD"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Environment </w:t>
            </w:r>
          </w:p>
          <w:p w14:paraId="5416A959"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(part of STEM)</w:t>
            </w:r>
          </w:p>
        </w:tc>
        <w:tc>
          <w:tcPr>
            <w:tcW w:w="2815" w:type="dxa"/>
            <w:gridSpan w:val="2"/>
            <w:shd w:val="clear" w:color="auto" w:fill="D0CECE"/>
            <w:vAlign w:val="center"/>
          </w:tcPr>
          <w:p w14:paraId="046BA6A2"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Applied Social Sciences/Education</w:t>
            </w:r>
          </w:p>
        </w:tc>
      </w:tr>
      <w:tr w:rsidR="000C3959" w14:paraId="0EAC3664"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jc w:val="center"/>
        </w:trPr>
        <w:tc>
          <w:tcPr>
            <w:tcW w:w="1195" w:type="dxa"/>
            <w:vMerge w:val="restart"/>
            <w:shd w:val="clear" w:color="auto" w:fill="auto"/>
            <w:vAlign w:val="center"/>
          </w:tcPr>
          <w:p w14:paraId="415888F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7C8A84B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6911D098"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6B7C43F0"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 xml:space="preserve">First and Second ACE Impact </w:t>
            </w:r>
          </w:p>
          <w:p w14:paraId="19473D89" w14:textId="77777777" w:rsidR="00E57DDC" w:rsidRPr="00126CD2"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126CD2">
              <w:rPr>
                <w:rFonts w:ascii="Calibri" w:eastAsia="Calibri" w:hAnsi="Calibri" w:cs="Times New Roman"/>
                <w:color w:val="auto"/>
                <w:sz w:val="18"/>
                <w:szCs w:val="18"/>
              </w:rPr>
              <w:t>(</w:t>
            </w:r>
            <w:r w:rsidR="00275FC7" w:rsidRPr="00126CD2">
              <w:rPr>
                <w:rFonts w:ascii="Calibri" w:eastAsia="Times New Roman" w:hAnsi="Calibri" w:cs="Times New Roman"/>
                <w:iCs/>
                <w:color w:val="auto"/>
                <w:sz w:val="18"/>
                <w:szCs w:val="18"/>
              </w:rPr>
              <w:t>*including AFD funded centers in C</w:t>
            </w:r>
            <w:r w:rsidR="00B04A2E">
              <w:rPr>
                <w:rFonts w:ascii="Calibri" w:eastAsia="Times New Roman" w:hAnsi="Calibri" w:cs="Calibri"/>
                <w:iCs/>
                <w:color w:val="auto"/>
                <w:sz w:val="18"/>
                <w:szCs w:val="18"/>
              </w:rPr>
              <w:t>ô</w:t>
            </w:r>
            <w:r w:rsidR="00275FC7" w:rsidRPr="00126CD2">
              <w:rPr>
                <w:rFonts w:ascii="Calibri" w:eastAsia="Times New Roman" w:hAnsi="Calibri" w:cs="Times New Roman"/>
                <w:iCs/>
                <w:color w:val="auto"/>
                <w:sz w:val="18"/>
                <w:szCs w:val="18"/>
              </w:rPr>
              <w:t>te d’Ivoire)</w:t>
            </w:r>
          </w:p>
          <w:p w14:paraId="5D10613F"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586F9BBB"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4CB639B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05D0E0B9"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3949D85F"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60FE931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215CFC39"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0744D2A7"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76521021"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4541BC6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05E64D9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6F3B1881"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p w14:paraId="492802B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1EFD68C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lastRenderedPageBreak/>
              <w:t>ACE :</w:t>
            </w:r>
            <w:r w:rsidR="00A70515" w:rsidRPr="002E1A3F">
              <w:rPr>
                <w:rFonts w:ascii="Calibri" w:eastAsia="Calibri" w:hAnsi="Calibri" w:cs="Calibri"/>
                <w:color w:val="auto"/>
                <w:sz w:val="18"/>
                <w:szCs w:val="18"/>
                <w:lang w:val="fr-FR"/>
              </w:rPr>
              <w:t xml:space="preserve"> Mathematical Sciences, Computer Science and Applications</w:t>
            </w:r>
          </w:p>
        </w:tc>
        <w:tc>
          <w:tcPr>
            <w:tcW w:w="2622" w:type="dxa"/>
            <w:vAlign w:val="center"/>
          </w:tcPr>
          <w:p w14:paraId="7AA9272D"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Pr>
                <w:rFonts w:ascii="Calibri" w:eastAsia="Calibri" w:hAnsi="Calibri" w:cs="Calibri"/>
                <w:color w:val="auto"/>
                <w:sz w:val="18"/>
                <w:szCs w:val="18"/>
              </w:rPr>
              <w:t>*</w:t>
            </w:r>
            <w:r w:rsidRPr="002E1A3F">
              <w:rPr>
                <w:rFonts w:ascii="Calibri" w:eastAsia="Calibri" w:hAnsi="Calibri" w:cs="Calibri"/>
                <w:color w:val="auto"/>
                <w:sz w:val="18"/>
                <w:szCs w:val="18"/>
              </w:rPr>
              <w:t>ACE: Climate Change, Biodiversity and Sustainable Agriculture</w:t>
            </w:r>
          </w:p>
        </w:tc>
        <w:tc>
          <w:tcPr>
            <w:tcW w:w="2389" w:type="dxa"/>
            <w:vAlign w:val="center"/>
          </w:tcPr>
          <w:p w14:paraId="4650F2D7"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Cell Biology of Infectious and Non-Communicable Diseases</w:t>
            </w:r>
          </w:p>
        </w:tc>
        <w:tc>
          <w:tcPr>
            <w:tcW w:w="2572" w:type="dxa"/>
            <w:vAlign w:val="center"/>
          </w:tcPr>
          <w:p w14:paraId="2A8107E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Regional Water and Environmental Sanitation</w:t>
            </w:r>
          </w:p>
        </w:tc>
        <w:tc>
          <w:tcPr>
            <w:tcW w:w="2815" w:type="dxa"/>
            <w:gridSpan w:val="2"/>
            <w:vAlign w:val="center"/>
          </w:tcPr>
          <w:p w14:paraId="331A2FE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Pr>
                <w:rFonts w:ascii="Calibri" w:eastAsia="Calibri" w:hAnsi="Calibri" w:cs="Calibri"/>
                <w:color w:val="auto"/>
                <w:sz w:val="18"/>
                <w:szCs w:val="18"/>
              </w:rPr>
              <w:t>*</w:t>
            </w:r>
            <w:r w:rsidRPr="002E1A3F">
              <w:rPr>
                <w:rFonts w:ascii="Calibri" w:eastAsia="Calibri" w:hAnsi="Calibri" w:cs="Calibri"/>
                <w:color w:val="auto"/>
                <w:sz w:val="18"/>
                <w:szCs w:val="18"/>
              </w:rPr>
              <w:t>ACE: Statistics and Quantitative Economics</w:t>
            </w:r>
          </w:p>
        </w:tc>
      </w:tr>
      <w:tr w:rsidR="000C3959" w14:paraId="1F97AD47"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65"/>
          <w:jc w:val="center"/>
        </w:trPr>
        <w:tc>
          <w:tcPr>
            <w:tcW w:w="1195" w:type="dxa"/>
            <w:vMerge/>
            <w:shd w:val="clear" w:color="auto" w:fill="auto"/>
            <w:vAlign w:val="center"/>
          </w:tcPr>
          <w:p w14:paraId="7FAF57C4"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4C6F850"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Pr>
                <w:rFonts w:ascii="Calibri" w:eastAsia="Calibri" w:hAnsi="Calibri" w:cs="Calibri"/>
                <w:color w:val="auto"/>
                <w:sz w:val="18"/>
                <w:szCs w:val="18"/>
              </w:rPr>
              <w:t>*</w:t>
            </w:r>
            <w:r w:rsidRPr="002E1A3F">
              <w:rPr>
                <w:rFonts w:ascii="Calibri" w:eastAsia="Calibri" w:hAnsi="Calibri" w:cs="Calibri"/>
                <w:color w:val="auto"/>
                <w:sz w:val="18"/>
                <w:szCs w:val="18"/>
              </w:rPr>
              <w:t>ACE: Mines and Mining Environment</w:t>
            </w:r>
          </w:p>
        </w:tc>
        <w:tc>
          <w:tcPr>
            <w:tcW w:w="2622" w:type="dxa"/>
            <w:vAlign w:val="center"/>
          </w:tcPr>
          <w:p w14:paraId="6030BD2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Dryland Agriculture</w:t>
            </w:r>
          </w:p>
        </w:tc>
        <w:tc>
          <w:tcPr>
            <w:tcW w:w="2389" w:type="dxa"/>
            <w:vAlign w:val="center"/>
          </w:tcPr>
          <w:p w14:paraId="48D53B7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Genomics of Infectious Diseases</w:t>
            </w:r>
          </w:p>
        </w:tc>
        <w:tc>
          <w:tcPr>
            <w:tcW w:w="2572" w:type="dxa"/>
            <w:vAlign w:val="center"/>
          </w:tcPr>
          <w:p w14:paraId="375703D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Innovation and Transformations in STEM Education</w:t>
            </w:r>
          </w:p>
        </w:tc>
        <w:tc>
          <w:tcPr>
            <w:tcW w:w="2815" w:type="dxa"/>
            <w:gridSpan w:val="2"/>
            <w:vAlign w:val="center"/>
          </w:tcPr>
          <w:p w14:paraId="203B577A"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Innovation and Transformations in STEM Education</w:t>
            </w:r>
          </w:p>
        </w:tc>
      </w:tr>
      <w:tr w:rsidR="000C3959" w14:paraId="41472512"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18DF3AF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46E6A63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ICT-Driven Knowledge Park</w:t>
            </w:r>
          </w:p>
        </w:tc>
        <w:tc>
          <w:tcPr>
            <w:tcW w:w="2622" w:type="dxa"/>
            <w:vAlign w:val="center"/>
          </w:tcPr>
          <w:p w14:paraId="19848A6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Food Technology and Research</w:t>
            </w:r>
          </w:p>
        </w:tc>
        <w:tc>
          <w:tcPr>
            <w:tcW w:w="2389" w:type="dxa"/>
            <w:vAlign w:val="center"/>
          </w:tcPr>
          <w:p w14:paraId="0CBEE1F2"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Neglected Tropical Diseases and Forensic Biotechnology</w:t>
            </w:r>
          </w:p>
        </w:tc>
        <w:tc>
          <w:tcPr>
            <w:tcW w:w="2572" w:type="dxa"/>
            <w:vMerge w:val="restart"/>
            <w:vAlign w:val="center"/>
          </w:tcPr>
          <w:p w14:paraId="11EEC7CD"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Calibri"/>
                <w:color w:val="auto"/>
                <w:sz w:val="18"/>
                <w:szCs w:val="18"/>
              </w:rPr>
              <w:t>ACE: Training and Research in Water Science and Technology, Energy and the Environment in West and Central Africa</w:t>
            </w:r>
          </w:p>
        </w:tc>
        <w:tc>
          <w:tcPr>
            <w:tcW w:w="2815" w:type="dxa"/>
            <w:gridSpan w:val="2"/>
            <w:vAlign w:val="center"/>
          </w:tcPr>
          <w:p w14:paraId="1073B082"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Sustainable Cities in Africa</w:t>
            </w:r>
          </w:p>
        </w:tc>
      </w:tr>
      <w:tr w:rsidR="000C3959" w14:paraId="44E620EF"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48"/>
          <w:jc w:val="center"/>
        </w:trPr>
        <w:tc>
          <w:tcPr>
            <w:tcW w:w="1195" w:type="dxa"/>
            <w:vMerge/>
            <w:shd w:val="clear" w:color="auto" w:fill="auto"/>
            <w:vAlign w:val="center"/>
          </w:tcPr>
          <w:p w14:paraId="61660611"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2203B4E9"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Oilfield Chemicals Research</w:t>
            </w:r>
          </w:p>
        </w:tc>
        <w:tc>
          <w:tcPr>
            <w:tcW w:w="2622" w:type="dxa"/>
            <w:vAlign w:val="center"/>
          </w:tcPr>
          <w:p w14:paraId="0340165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Poultry Sciences</w:t>
            </w:r>
          </w:p>
        </w:tc>
        <w:tc>
          <w:tcPr>
            <w:tcW w:w="2389" w:type="dxa"/>
            <w:vAlign w:val="center"/>
          </w:tcPr>
          <w:p w14:paraId="4CA64E04"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Reproductive Health Innovation</w:t>
            </w:r>
          </w:p>
        </w:tc>
        <w:tc>
          <w:tcPr>
            <w:tcW w:w="2572" w:type="dxa"/>
            <w:vMerge/>
            <w:vAlign w:val="center"/>
          </w:tcPr>
          <w:p w14:paraId="230BC8B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Align w:val="center"/>
          </w:tcPr>
          <w:p w14:paraId="161F2BF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Emerging Center: Innovative Teaching/Learning of Mathematics and the Sciences for SSA</w:t>
            </w:r>
          </w:p>
        </w:tc>
      </w:tr>
      <w:tr w:rsidR="000C3959" w14:paraId="37D8CEB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4B8A3CE0"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114E453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Mathematics, Computer Science and ICT</w:t>
            </w:r>
          </w:p>
        </w:tc>
        <w:tc>
          <w:tcPr>
            <w:tcW w:w="2622" w:type="dxa"/>
            <w:vAlign w:val="center"/>
          </w:tcPr>
          <w:p w14:paraId="02C29279"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Pastoral Productions: Meat, Milk, Leather and Skins</w:t>
            </w:r>
          </w:p>
        </w:tc>
        <w:tc>
          <w:tcPr>
            <w:tcW w:w="2389" w:type="dxa"/>
            <w:vAlign w:val="center"/>
          </w:tcPr>
          <w:p w14:paraId="7D79DB9C"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Maternal and Infant Health</w:t>
            </w:r>
          </w:p>
        </w:tc>
        <w:tc>
          <w:tcPr>
            <w:tcW w:w="2572" w:type="dxa"/>
            <w:vMerge w:val="restart"/>
            <w:vAlign w:val="center"/>
          </w:tcPr>
          <w:p w14:paraId="46EADD98"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Water and Sanitation</w:t>
            </w:r>
          </w:p>
        </w:tc>
        <w:tc>
          <w:tcPr>
            <w:tcW w:w="2815" w:type="dxa"/>
            <w:gridSpan w:val="2"/>
            <w:vMerge w:val="restart"/>
            <w:vAlign w:val="center"/>
          </w:tcPr>
          <w:p w14:paraId="3B43EC9B"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2556AE2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137F75F0"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1BDC2CCA"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Regional Transport Research</w:t>
            </w:r>
          </w:p>
        </w:tc>
        <w:tc>
          <w:tcPr>
            <w:tcW w:w="2622" w:type="dxa"/>
            <w:vAlign w:val="center"/>
          </w:tcPr>
          <w:p w14:paraId="68AF087D" w14:textId="77777777" w:rsidR="00E57DDC" w:rsidRPr="002E1A3F" w:rsidRDefault="00B00100" w:rsidP="004B61CC">
            <w:pPr>
              <w:widowControl/>
              <w:autoSpaceDE/>
              <w:autoSpaceDN/>
              <w:adjustRightInd/>
              <w:spacing w:after="160" w:line="259" w:lineRule="auto"/>
              <w:ind w:right="113"/>
              <w:jc w:val="center"/>
              <w:rPr>
                <w:rFonts w:ascii="Calibri" w:eastAsia="Calibri" w:hAnsi="Calibri" w:cs="Calibri"/>
                <w:color w:val="auto"/>
                <w:sz w:val="18"/>
                <w:szCs w:val="18"/>
              </w:rPr>
            </w:pPr>
            <w:r w:rsidRPr="002E1A3F">
              <w:rPr>
                <w:rFonts w:ascii="Calibri" w:eastAsia="Calibri" w:hAnsi="Calibri" w:cs="Calibri"/>
                <w:color w:val="auto"/>
                <w:sz w:val="18"/>
                <w:szCs w:val="18"/>
              </w:rPr>
              <w:t>ACE: Agriculture for Food and Nutrition Security</w:t>
            </w:r>
          </w:p>
          <w:p w14:paraId="1DE58BB6"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Calibri"/>
                <w:color w:val="auto"/>
                <w:sz w:val="18"/>
                <w:szCs w:val="18"/>
              </w:rPr>
            </w:pPr>
          </w:p>
        </w:tc>
        <w:tc>
          <w:tcPr>
            <w:tcW w:w="2389" w:type="dxa"/>
            <w:vAlign w:val="center"/>
          </w:tcPr>
          <w:p w14:paraId="0A2D98F7"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Training, Research and Expertise in Drug Sciences</w:t>
            </w:r>
          </w:p>
        </w:tc>
        <w:tc>
          <w:tcPr>
            <w:tcW w:w="2572" w:type="dxa"/>
            <w:vMerge/>
            <w:vAlign w:val="center"/>
          </w:tcPr>
          <w:p w14:paraId="1251F90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6DCB24FB"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200C4262"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09645A34"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69E5214E"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Water, Irrigation and Sustainable Agriculture</w:t>
            </w:r>
          </w:p>
        </w:tc>
        <w:tc>
          <w:tcPr>
            <w:tcW w:w="2622" w:type="dxa"/>
            <w:vAlign w:val="center"/>
          </w:tcPr>
          <w:p w14:paraId="163B91D1" w14:textId="77777777" w:rsidR="00E57DDC" w:rsidRPr="002E1A3F" w:rsidRDefault="00B00100" w:rsidP="004B61CC">
            <w:pPr>
              <w:widowControl/>
              <w:autoSpaceDE/>
              <w:autoSpaceDN/>
              <w:adjustRightInd/>
              <w:spacing w:after="160" w:line="259" w:lineRule="auto"/>
              <w:ind w:right="113"/>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Crop Improvement</w:t>
            </w:r>
          </w:p>
          <w:p w14:paraId="0655C8A9" w14:textId="77777777" w:rsidR="00E57DDC" w:rsidRPr="002E1A3F" w:rsidRDefault="00E57DDC" w:rsidP="004B61CC">
            <w:pPr>
              <w:widowControl/>
              <w:autoSpaceDE/>
              <w:autoSpaceDN/>
              <w:adjustRightInd/>
              <w:spacing w:after="160" w:line="259" w:lineRule="auto"/>
              <w:ind w:right="113"/>
              <w:jc w:val="center"/>
              <w:rPr>
                <w:rFonts w:ascii="Calibri" w:eastAsia="Calibri" w:hAnsi="Calibri" w:cs="Calibri"/>
                <w:color w:val="auto"/>
                <w:sz w:val="18"/>
                <w:szCs w:val="18"/>
              </w:rPr>
            </w:pPr>
          </w:p>
        </w:tc>
        <w:tc>
          <w:tcPr>
            <w:tcW w:w="2389" w:type="dxa"/>
            <w:vAlign w:val="center"/>
          </w:tcPr>
          <w:p w14:paraId="23FFA4A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Bio-technological Innovation for the Elimination of Vector- Borne Diseases</w:t>
            </w:r>
          </w:p>
        </w:tc>
        <w:tc>
          <w:tcPr>
            <w:tcW w:w="2572" w:type="dxa"/>
            <w:vMerge w:val="restart"/>
            <w:vAlign w:val="center"/>
          </w:tcPr>
          <w:p w14:paraId="215D8446"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Pr>
                <w:rFonts w:ascii="Calibri" w:eastAsia="Calibri" w:hAnsi="Calibri" w:cs="Calibri"/>
                <w:color w:val="auto"/>
                <w:sz w:val="18"/>
                <w:szCs w:val="18"/>
              </w:rPr>
              <w:t>*</w:t>
            </w:r>
            <w:r w:rsidRPr="002E1A3F">
              <w:rPr>
                <w:rFonts w:ascii="Calibri" w:eastAsia="Calibri" w:hAnsi="Calibri" w:cs="Calibri"/>
                <w:color w:val="auto"/>
                <w:sz w:val="18"/>
                <w:szCs w:val="18"/>
              </w:rPr>
              <w:t>ACE: Valorization of Waste Products with High Value Added</w:t>
            </w:r>
          </w:p>
        </w:tc>
        <w:tc>
          <w:tcPr>
            <w:tcW w:w="2815" w:type="dxa"/>
            <w:gridSpan w:val="2"/>
            <w:vMerge w:val="restart"/>
            <w:vAlign w:val="center"/>
          </w:tcPr>
          <w:p w14:paraId="1BA83BD6"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40ECB8AB"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115B6194"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79BB122D"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Technology Enhanced Learning</w:t>
            </w:r>
          </w:p>
        </w:tc>
        <w:tc>
          <w:tcPr>
            <w:tcW w:w="2622" w:type="dxa"/>
            <w:vAlign w:val="center"/>
          </w:tcPr>
          <w:p w14:paraId="18B53705"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Calibri"/>
                <w:color w:val="auto"/>
                <w:sz w:val="18"/>
                <w:szCs w:val="18"/>
              </w:rPr>
            </w:pPr>
          </w:p>
        </w:tc>
        <w:tc>
          <w:tcPr>
            <w:tcW w:w="2389" w:type="dxa"/>
            <w:vAlign w:val="center"/>
          </w:tcPr>
          <w:p w14:paraId="7B0C793A"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572" w:type="dxa"/>
            <w:vMerge/>
            <w:vAlign w:val="center"/>
          </w:tcPr>
          <w:p w14:paraId="2893B20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4521E8C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163E7B7F"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54755AC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35294CC8" w14:textId="77777777" w:rsidR="00E57DDC" w:rsidRPr="002E1A3F" w:rsidRDefault="00B00100" w:rsidP="004B61CC">
            <w:pPr>
              <w:widowControl/>
              <w:autoSpaceDE/>
              <w:autoSpaceDN/>
              <w:adjustRightInd/>
              <w:spacing w:after="160" w:line="259" w:lineRule="auto"/>
              <w:ind w:right="113"/>
              <w:jc w:val="center"/>
              <w:rPr>
                <w:rFonts w:ascii="Calibri" w:eastAsia="Calibri" w:hAnsi="Calibri" w:cs="Calibri"/>
                <w:color w:val="auto"/>
                <w:sz w:val="18"/>
                <w:szCs w:val="18"/>
              </w:rPr>
            </w:pPr>
            <w:r w:rsidRPr="002E1A3F">
              <w:rPr>
                <w:rFonts w:ascii="Calibri" w:eastAsia="Calibri" w:hAnsi="Calibri" w:cs="Calibri"/>
                <w:color w:val="auto"/>
                <w:sz w:val="18"/>
                <w:szCs w:val="18"/>
              </w:rPr>
              <w:t>ACE: Applied Informatics and Communication</w:t>
            </w:r>
          </w:p>
        </w:tc>
        <w:tc>
          <w:tcPr>
            <w:tcW w:w="2622" w:type="dxa"/>
            <w:vAlign w:val="center"/>
          </w:tcPr>
          <w:p w14:paraId="0C735420" w14:textId="77777777" w:rsidR="00E57DDC" w:rsidRPr="002E1A3F" w:rsidRDefault="00E57DDC" w:rsidP="004B61CC">
            <w:pPr>
              <w:widowControl/>
              <w:autoSpaceDE/>
              <w:autoSpaceDN/>
              <w:adjustRightInd/>
              <w:spacing w:after="160" w:line="259" w:lineRule="auto"/>
              <w:ind w:right="113"/>
              <w:jc w:val="center"/>
              <w:rPr>
                <w:rFonts w:ascii="Calibri" w:eastAsia="Calibri" w:hAnsi="Calibri" w:cs="Calibri"/>
                <w:color w:val="auto"/>
                <w:sz w:val="18"/>
                <w:szCs w:val="18"/>
              </w:rPr>
            </w:pPr>
          </w:p>
        </w:tc>
        <w:tc>
          <w:tcPr>
            <w:tcW w:w="2389" w:type="dxa"/>
            <w:vAlign w:val="center"/>
          </w:tcPr>
          <w:p w14:paraId="3F6EFD5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Genetic Medicine</w:t>
            </w:r>
          </w:p>
        </w:tc>
        <w:tc>
          <w:tcPr>
            <w:tcW w:w="2572" w:type="dxa"/>
            <w:vMerge w:val="restart"/>
            <w:vAlign w:val="center"/>
          </w:tcPr>
          <w:p w14:paraId="1FF97814"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Calibri"/>
                <w:color w:val="auto"/>
                <w:sz w:val="18"/>
                <w:szCs w:val="18"/>
              </w:rPr>
              <w:t>ACE: Energy and Environmental Sustainability</w:t>
            </w:r>
          </w:p>
        </w:tc>
        <w:tc>
          <w:tcPr>
            <w:tcW w:w="2815" w:type="dxa"/>
            <w:gridSpan w:val="2"/>
            <w:vMerge w:val="restart"/>
            <w:vAlign w:val="center"/>
          </w:tcPr>
          <w:p w14:paraId="408054B5"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6ABF3044"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7614858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C52CC4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New Pedagogy in Engineering Education</w:t>
            </w:r>
          </w:p>
        </w:tc>
        <w:tc>
          <w:tcPr>
            <w:tcW w:w="2622" w:type="dxa"/>
            <w:vAlign w:val="center"/>
          </w:tcPr>
          <w:p w14:paraId="5F73A9F7"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Times New Roman"/>
                <w:color w:val="auto"/>
                <w:sz w:val="18"/>
                <w:szCs w:val="18"/>
              </w:rPr>
            </w:pPr>
          </w:p>
        </w:tc>
        <w:tc>
          <w:tcPr>
            <w:tcW w:w="2389" w:type="dxa"/>
            <w:vAlign w:val="center"/>
          </w:tcPr>
          <w:p w14:paraId="734C5154"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Prevention and Control of Communicable Diseases</w:t>
            </w:r>
          </w:p>
        </w:tc>
        <w:tc>
          <w:tcPr>
            <w:tcW w:w="2572" w:type="dxa"/>
            <w:vMerge/>
            <w:vAlign w:val="center"/>
          </w:tcPr>
          <w:p w14:paraId="51D8F33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0AF8180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31AB92B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43AB8B7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27129AF1"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Sustainable Power and Energy Development</w:t>
            </w:r>
          </w:p>
        </w:tc>
        <w:tc>
          <w:tcPr>
            <w:tcW w:w="2622" w:type="dxa"/>
            <w:vAlign w:val="center"/>
          </w:tcPr>
          <w:p w14:paraId="0FCEDE4E"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Calibri"/>
                <w:color w:val="auto"/>
                <w:sz w:val="18"/>
                <w:szCs w:val="18"/>
              </w:rPr>
            </w:pPr>
          </w:p>
        </w:tc>
        <w:tc>
          <w:tcPr>
            <w:tcW w:w="2389" w:type="dxa"/>
            <w:vAlign w:val="center"/>
          </w:tcPr>
          <w:p w14:paraId="0E33062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Public Health and Toxicological Research</w:t>
            </w:r>
          </w:p>
        </w:tc>
        <w:tc>
          <w:tcPr>
            <w:tcW w:w="2572" w:type="dxa"/>
            <w:vMerge w:val="restart"/>
            <w:vAlign w:val="center"/>
          </w:tcPr>
          <w:p w14:paraId="567F6892"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Coastal Resilience</w:t>
            </w:r>
          </w:p>
        </w:tc>
        <w:tc>
          <w:tcPr>
            <w:tcW w:w="2815" w:type="dxa"/>
            <w:gridSpan w:val="2"/>
            <w:vMerge w:val="restart"/>
            <w:vAlign w:val="center"/>
          </w:tcPr>
          <w:p w14:paraId="70DB8C8B"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1FA37801"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1E28C88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1DA0DC0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Future Energies and Electrochemical Systems</w:t>
            </w:r>
          </w:p>
        </w:tc>
        <w:tc>
          <w:tcPr>
            <w:tcW w:w="2622" w:type="dxa"/>
            <w:vAlign w:val="center"/>
          </w:tcPr>
          <w:p w14:paraId="3F259FE1"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Calibri"/>
                <w:color w:val="auto"/>
                <w:sz w:val="18"/>
                <w:szCs w:val="18"/>
              </w:rPr>
            </w:pPr>
          </w:p>
        </w:tc>
        <w:tc>
          <w:tcPr>
            <w:tcW w:w="2389" w:type="dxa"/>
            <w:vAlign w:val="center"/>
          </w:tcPr>
          <w:p w14:paraId="21736271"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Population Health and Policy</w:t>
            </w:r>
          </w:p>
        </w:tc>
        <w:tc>
          <w:tcPr>
            <w:tcW w:w="2572" w:type="dxa"/>
            <w:vMerge/>
            <w:vAlign w:val="center"/>
          </w:tcPr>
          <w:p w14:paraId="62944B8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6E21BED9"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614C69B3"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5D3F8AD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69BF2B9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lang w:val="fr-FR"/>
              </w:rPr>
              <w:t>ACE :</w:t>
            </w:r>
            <w:r w:rsidR="00A70515" w:rsidRPr="002E1A3F">
              <w:rPr>
                <w:rFonts w:ascii="Calibri" w:eastAsia="Calibri" w:hAnsi="Calibri" w:cs="Calibri"/>
                <w:color w:val="auto"/>
                <w:sz w:val="18"/>
                <w:szCs w:val="18"/>
                <w:lang w:val="fr-FR"/>
              </w:rPr>
              <w:t xml:space="preserve"> Control of Electricity</w:t>
            </w:r>
          </w:p>
        </w:tc>
        <w:tc>
          <w:tcPr>
            <w:tcW w:w="2622" w:type="dxa"/>
            <w:vMerge w:val="restart"/>
            <w:textDirection w:val="btLr"/>
            <w:vAlign w:val="center"/>
          </w:tcPr>
          <w:p w14:paraId="65F7D129"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Calibri"/>
                <w:color w:val="auto"/>
                <w:sz w:val="18"/>
                <w:szCs w:val="18"/>
              </w:rPr>
            </w:pPr>
          </w:p>
        </w:tc>
        <w:tc>
          <w:tcPr>
            <w:tcW w:w="2389" w:type="dxa"/>
            <w:vAlign w:val="center"/>
          </w:tcPr>
          <w:p w14:paraId="6F20108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Mycotoxin and Food Safety</w:t>
            </w:r>
          </w:p>
        </w:tc>
        <w:tc>
          <w:tcPr>
            <w:tcW w:w="2572" w:type="dxa"/>
            <w:vMerge w:val="restart"/>
            <w:vAlign w:val="center"/>
          </w:tcPr>
          <w:p w14:paraId="3C26BD78"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Calibri"/>
                <w:color w:val="auto"/>
                <w:sz w:val="18"/>
                <w:szCs w:val="18"/>
                <w:lang w:val="fr-FR"/>
              </w:rPr>
              <w:t>ACE : Environment and Health</w:t>
            </w:r>
          </w:p>
        </w:tc>
        <w:tc>
          <w:tcPr>
            <w:tcW w:w="2815" w:type="dxa"/>
            <w:gridSpan w:val="2"/>
            <w:vMerge w:val="restart"/>
            <w:vAlign w:val="center"/>
          </w:tcPr>
          <w:p w14:paraId="353F87E0"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60F70AC2"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4B7FE340"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43DE552"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Emerging Center: Logistics and Transport</w:t>
            </w:r>
          </w:p>
        </w:tc>
        <w:tc>
          <w:tcPr>
            <w:tcW w:w="2622" w:type="dxa"/>
            <w:vMerge/>
            <w:textDirection w:val="btLr"/>
            <w:vAlign w:val="center"/>
          </w:tcPr>
          <w:p w14:paraId="559330D0"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Times New Roman"/>
                <w:color w:val="auto"/>
                <w:sz w:val="18"/>
                <w:szCs w:val="18"/>
              </w:rPr>
            </w:pPr>
          </w:p>
        </w:tc>
        <w:tc>
          <w:tcPr>
            <w:tcW w:w="2389" w:type="dxa"/>
            <w:vAlign w:val="center"/>
          </w:tcPr>
          <w:p w14:paraId="0AC473F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 Drug Research, Herbal Medicine Development and Regulatory Science</w:t>
            </w:r>
          </w:p>
        </w:tc>
        <w:tc>
          <w:tcPr>
            <w:tcW w:w="2572" w:type="dxa"/>
            <w:vMerge/>
            <w:vAlign w:val="center"/>
          </w:tcPr>
          <w:p w14:paraId="2DA2248C"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4060E9D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293CC2F9"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29"/>
          <w:jc w:val="center"/>
        </w:trPr>
        <w:tc>
          <w:tcPr>
            <w:tcW w:w="1195" w:type="dxa"/>
            <w:vMerge/>
            <w:shd w:val="clear" w:color="auto" w:fill="auto"/>
            <w:vAlign w:val="center"/>
          </w:tcPr>
          <w:p w14:paraId="00649CC8"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2EDF5224"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Emerging Center: Mines and Societies</w:t>
            </w:r>
          </w:p>
        </w:tc>
        <w:tc>
          <w:tcPr>
            <w:tcW w:w="2622" w:type="dxa"/>
            <w:vMerge w:val="restart"/>
            <w:textDirection w:val="btLr"/>
            <w:vAlign w:val="center"/>
          </w:tcPr>
          <w:p w14:paraId="485EEC5F"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Times New Roman"/>
                <w:color w:val="auto"/>
                <w:sz w:val="18"/>
                <w:szCs w:val="18"/>
              </w:rPr>
            </w:pPr>
          </w:p>
        </w:tc>
        <w:tc>
          <w:tcPr>
            <w:tcW w:w="2389" w:type="dxa"/>
            <w:vMerge w:val="restart"/>
            <w:vAlign w:val="center"/>
          </w:tcPr>
          <w:p w14:paraId="7C9ED0B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572" w:type="dxa"/>
            <w:vMerge w:val="restart"/>
            <w:vAlign w:val="center"/>
          </w:tcPr>
          <w:p w14:paraId="73B95B3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restart"/>
            <w:vAlign w:val="center"/>
          </w:tcPr>
          <w:p w14:paraId="28ED0DF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63890689"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jc w:val="center"/>
        </w:trPr>
        <w:tc>
          <w:tcPr>
            <w:tcW w:w="1195" w:type="dxa"/>
            <w:vMerge/>
            <w:shd w:val="clear" w:color="auto" w:fill="auto"/>
            <w:vAlign w:val="center"/>
          </w:tcPr>
          <w:p w14:paraId="1B109DEE"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6787744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 xml:space="preserve">Emerging </w:t>
            </w:r>
            <w:r w:rsidR="004249EE" w:rsidRPr="002E1A3F">
              <w:rPr>
                <w:rFonts w:ascii="Calibri" w:eastAsia="Calibri" w:hAnsi="Calibri" w:cs="Calibri"/>
                <w:color w:val="auto"/>
                <w:sz w:val="18"/>
                <w:szCs w:val="18"/>
                <w:lang w:val="fr-FR"/>
              </w:rPr>
              <w:t>Center :</w:t>
            </w:r>
            <w:r w:rsidRPr="002E1A3F">
              <w:rPr>
                <w:rFonts w:ascii="Calibri" w:eastAsia="Calibri" w:hAnsi="Calibri" w:cs="Calibri"/>
                <w:color w:val="auto"/>
                <w:sz w:val="18"/>
                <w:szCs w:val="18"/>
                <w:lang w:val="fr-FR"/>
              </w:rPr>
              <w:t xml:space="preserve"> Mining Environment</w:t>
            </w:r>
          </w:p>
        </w:tc>
        <w:tc>
          <w:tcPr>
            <w:tcW w:w="2622" w:type="dxa"/>
            <w:vMerge/>
            <w:textDirection w:val="btLr"/>
            <w:vAlign w:val="center"/>
          </w:tcPr>
          <w:p w14:paraId="52847FD7"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Times New Roman"/>
                <w:color w:val="auto"/>
                <w:sz w:val="18"/>
                <w:szCs w:val="18"/>
              </w:rPr>
            </w:pPr>
          </w:p>
        </w:tc>
        <w:tc>
          <w:tcPr>
            <w:tcW w:w="2389" w:type="dxa"/>
            <w:vMerge/>
            <w:vAlign w:val="center"/>
          </w:tcPr>
          <w:p w14:paraId="40292FD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572" w:type="dxa"/>
            <w:vMerge/>
            <w:vAlign w:val="center"/>
          </w:tcPr>
          <w:p w14:paraId="071D826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121FA85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4ED813AD"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
          <w:jc w:val="center"/>
        </w:trPr>
        <w:tc>
          <w:tcPr>
            <w:tcW w:w="1195" w:type="dxa"/>
            <w:vMerge/>
            <w:shd w:val="clear" w:color="auto" w:fill="auto"/>
            <w:vAlign w:val="center"/>
          </w:tcPr>
          <w:p w14:paraId="1ACCB12E"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39B5EB6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Emerging Center: Science, Technology and Engineering for Entrepreneurship</w:t>
            </w:r>
          </w:p>
        </w:tc>
        <w:tc>
          <w:tcPr>
            <w:tcW w:w="2622" w:type="dxa"/>
            <w:vMerge/>
            <w:textDirection w:val="btLr"/>
            <w:vAlign w:val="center"/>
          </w:tcPr>
          <w:p w14:paraId="1314C961" w14:textId="77777777" w:rsidR="00E57DDC" w:rsidRPr="002E1A3F" w:rsidRDefault="00E57DDC" w:rsidP="004B61CC">
            <w:pPr>
              <w:widowControl/>
              <w:autoSpaceDE/>
              <w:autoSpaceDN/>
              <w:adjustRightInd/>
              <w:spacing w:after="160" w:line="259" w:lineRule="auto"/>
              <w:ind w:left="113" w:right="113"/>
              <w:jc w:val="center"/>
              <w:rPr>
                <w:rFonts w:ascii="Calibri" w:eastAsia="Calibri" w:hAnsi="Calibri" w:cs="Times New Roman"/>
                <w:color w:val="auto"/>
                <w:sz w:val="18"/>
                <w:szCs w:val="18"/>
              </w:rPr>
            </w:pPr>
          </w:p>
        </w:tc>
        <w:tc>
          <w:tcPr>
            <w:tcW w:w="2389" w:type="dxa"/>
            <w:vMerge/>
            <w:vAlign w:val="center"/>
          </w:tcPr>
          <w:p w14:paraId="1F7E447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572" w:type="dxa"/>
            <w:vMerge/>
            <w:vAlign w:val="center"/>
          </w:tcPr>
          <w:p w14:paraId="4A16365E"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Merge/>
            <w:vAlign w:val="center"/>
          </w:tcPr>
          <w:p w14:paraId="51308E8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55AADAF6" w14:textId="77777777" w:rsidTr="00126CD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13932" w:type="dxa"/>
            <w:gridSpan w:val="7"/>
            <w:shd w:val="clear" w:color="auto" w:fill="000000" w:themeFill="text1"/>
            <w:vAlign w:val="center"/>
          </w:tcPr>
          <w:p w14:paraId="5277B6C1" w14:textId="77777777" w:rsidR="007B0BAB" w:rsidRPr="00126CD2" w:rsidRDefault="007B0BAB"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rsidRPr="006C70A5" w14:paraId="415CA9D8"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51"/>
          <w:jc w:val="center"/>
        </w:trPr>
        <w:tc>
          <w:tcPr>
            <w:tcW w:w="1195" w:type="dxa"/>
            <w:vMerge w:val="restart"/>
            <w:vAlign w:val="center"/>
          </w:tcPr>
          <w:p w14:paraId="169EE8D6"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lastRenderedPageBreak/>
              <w:t>ACE I</w:t>
            </w:r>
          </w:p>
          <w:p w14:paraId="69570892"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4AF0B709"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Pr>
                <w:rFonts w:ascii="Calibri" w:eastAsia="Calibri" w:hAnsi="Calibri" w:cs="Calibri"/>
                <w:color w:val="auto"/>
                <w:sz w:val="18"/>
                <w:szCs w:val="18"/>
                <w:lang w:val="fr-FR"/>
              </w:rPr>
              <w:t>CEA-</w:t>
            </w:r>
            <w:r w:rsidR="004249EE">
              <w:rPr>
                <w:rFonts w:ascii="Calibri" w:eastAsia="Calibri" w:hAnsi="Calibri" w:cs="Calibri"/>
                <w:color w:val="auto"/>
                <w:sz w:val="18"/>
                <w:szCs w:val="18"/>
                <w:lang w:val="fr-FR"/>
              </w:rPr>
              <w:t>SMIA</w:t>
            </w:r>
            <w:r w:rsidR="004249EE" w:rsidRPr="002E1A3F">
              <w:rPr>
                <w:rFonts w:ascii="Calibri" w:eastAsia="Calibri" w:hAnsi="Calibri" w:cs="Calibri"/>
                <w:color w:val="auto"/>
                <w:sz w:val="18"/>
                <w:szCs w:val="18"/>
                <w:lang w:val="fr-FR"/>
              </w:rPr>
              <w:t xml:space="preserve"> :</w:t>
            </w:r>
            <w:r w:rsidR="00F65677" w:rsidRPr="002E1A3F">
              <w:rPr>
                <w:rFonts w:ascii="Calibri" w:eastAsia="Calibri" w:hAnsi="Calibri" w:cs="Calibri"/>
                <w:color w:val="auto"/>
                <w:sz w:val="18"/>
                <w:szCs w:val="18"/>
                <w:lang w:val="fr-FR"/>
              </w:rPr>
              <w:t xml:space="preserve">  Center d’Excellence Africain en Sciences Mathématiques</w:t>
            </w:r>
            <w:r w:rsidR="00BE0950">
              <w:rPr>
                <w:rFonts w:ascii="Calibri" w:eastAsia="Calibri" w:hAnsi="Calibri" w:cs="Calibri"/>
                <w:color w:val="auto"/>
                <w:sz w:val="18"/>
                <w:szCs w:val="18"/>
                <w:lang w:val="fr-FR"/>
              </w:rPr>
              <w:t>, Informatique</w:t>
            </w:r>
            <w:r w:rsidR="00F65677" w:rsidRPr="002E1A3F">
              <w:rPr>
                <w:rFonts w:ascii="Calibri" w:eastAsia="Calibri" w:hAnsi="Calibri" w:cs="Calibri"/>
                <w:color w:val="auto"/>
                <w:sz w:val="18"/>
                <w:szCs w:val="18"/>
                <w:lang w:val="fr-FR"/>
              </w:rPr>
              <w:t xml:space="preserve"> et Applications</w:t>
            </w:r>
          </w:p>
        </w:tc>
        <w:tc>
          <w:tcPr>
            <w:tcW w:w="2622" w:type="dxa"/>
            <w:vAlign w:val="center"/>
          </w:tcPr>
          <w:p w14:paraId="0FAAA0A0" w14:textId="77777777" w:rsidR="00E57DDC" w:rsidRPr="002E1A3F" w:rsidRDefault="00B00100" w:rsidP="004B61CC">
            <w:pPr>
              <w:widowControl/>
              <w:autoSpaceDE/>
              <w:autoSpaceDN/>
              <w:adjustRightInd/>
              <w:spacing w:after="160" w:line="259" w:lineRule="auto"/>
              <w:jc w:val="center"/>
              <w:rPr>
                <w:rFonts w:ascii="Calibri" w:eastAsia="Swiss721BT-LightCondensed" w:hAnsi="Calibri" w:cs="Calibri"/>
                <w:color w:val="auto"/>
                <w:sz w:val="18"/>
                <w:szCs w:val="18"/>
              </w:rPr>
            </w:pPr>
            <w:r w:rsidRPr="002E1A3F">
              <w:rPr>
                <w:rFonts w:ascii="Calibri" w:eastAsia="Calibri" w:hAnsi="Calibri" w:cs="Calibri"/>
                <w:color w:val="auto"/>
                <w:sz w:val="18"/>
                <w:szCs w:val="18"/>
              </w:rPr>
              <w:t xml:space="preserve">WACCI-ACE:  </w:t>
            </w:r>
            <w:r w:rsidRPr="002E1A3F">
              <w:rPr>
                <w:rFonts w:ascii="Calibri" w:eastAsia="Swiss721BT-LightCondensed" w:hAnsi="Calibri" w:cs="Calibri"/>
                <w:color w:val="auto"/>
                <w:sz w:val="18"/>
                <w:szCs w:val="18"/>
              </w:rPr>
              <w:t>African Center of Excellence for Training Plant Breeders, Seed Scientists and</w:t>
            </w:r>
          </w:p>
          <w:p w14:paraId="1FE0D120"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Swiss721BT-LightCondensed" w:hAnsi="Calibri" w:cs="Calibri"/>
                <w:color w:val="auto"/>
                <w:sz w:val="18"/>
                <w:szCs w:val="18"/>
              </w:rPr>
              <w:t>Technologists</w:t>
            </w:r>
          </w:p>
        </w:tc>
        <w:tc>
          <w:tcPr>
            <w:tcW w:w="2389" w:type="dxa"/>
            <w:vAlign w:val="center"/>
          </w:tcPr>
          <w:p w14:paraId="0EC3788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WACCBIP: </w:t>
            </w:r>
            <w:r w:rsidRPr="002E1A3F">
              <w:rPr>
                <w:rFonts w:ascii="Calibri" w:eastAsia="Swiss721BT-LightCondensed" w:hAnsi="Calibri" w:cs="Calibri"/>
                <w:color w:val="auto"/>
                <w:sz w:val="18"/>
                <w:szCs w:val="18"/>
              </w:rPr>
              <w:t>West African Center for Cell Biology of Infectious Pathogens</w:t>
            </w:r>
          </w:p>
        </w:tc>
        <w:tc>
          <w:tcPr>
            <w:tcW w:w="2572" w:type="dxa"/>
            <w:vAlign w:val="center"/>
          </w:tcPr>
          <w:p w14:paraId="7BF41DA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CEA-2</w:t>
            </w:r>
            <w:r w:rsidR="004249EE" w:rsidRPr="002E1A3F">
              <w:rPr>
                <w:rFonts w:ascii="Calibri" w:eastAsia="Calibri" w:hAnsi="Calibri" w:cs="Calibri"/>
                <w:color w:val="auto"/>
                <w:sz w:val="18"/>
                <w:szCs w:val="18"/>
                <w:lang w:val="fr-FR"/>
              </w:rPr>
              <w:t>iE :</w:t>
            </w:r>
            <w:r w:rsidRPr="002E1A3F">
              <w:rPr>
                <w:rFonts w:ascii="Calibri" w:eastAsia="Calibri" w:hAnsi="Calibri" w:cs="Calibri"/>
                <w:color w:val="auto"/>
                <w:sz w:val="18"/>
                <w:szCs w:val="18"/>
                <w:lang w:val="fr-FR"/>
              </w:rPr>
              <w:t xml:space="preserve">  Center d’Excellence pour la formation et la recherche en Sciences et Technologies de l’Eau, l’Energie et l’Environnement</w:t>
            </w:r>
          </w:p>
        </w:tc>
        <w:tc>
          <w:tcPr>
            <w:tcW w:w="2815" w:type="dxa"/>
            <w:gridSpan w:val="2"/>
            <w:vAlign w:val="center"/>
          </w:tcPr>
          <w:p w14:paraId="5F224923"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lang w:val="fr-FR"/>
              </w:rPr>
            </w:pPr>
          </w:p>
        </w:tc>
      </w:tr>
      <w:tr w:rsidR="000C3959" w14:paraId="421AE193"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57"/>
          <w:jc w:val="center"/>
        </w:trPr>
        <w:tc>
          <w:tcPr>
            <w:tcW w:w="1195" w:type="dxa"/>
            <w:vMerge/>
            <w:vAlign w:val="center"/>
          </w:tcPr>
          <w:p w14:paraId="1AEC8D0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lang w:val="fr-FR"/>
              </w:rPr>
            </w:pPr>
          </w:p>
        </w:tc>
        <w:tc>
          <w:tcPr>
            <w:tcW w:w="2339" w:type="dxa"/>
            <w:vAlign w:val="center"/>
          </w:tcPr>
          <w:p w14:paraId="7FEBED6E"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CETIC :</w:t>
            </w:r>
            <w:r w:rsidR="00A70515" w:rsidRPr="002E1A3F">
              <w:rPr>
                <w:rFonts w:ascii="Calibri" w:eastAsia="Calibri" w:hAnsi="Calibri" w:cs="Calibri"/>
                <w:color w:val="auto"/>
                <w:sz w:val="18"/>
                <w:szCs w:val="18"/>
                <w:lang w:val="fr-FR"/>
              </w:rPr>
              <w:t xml:space="preserve">  </w:t>
            </w:r>
            <w:r w:rsidR="00A70515" w:rsidRPr="002E1A3F">
              <w:rPr>
                <w:rFonts w:ascii="Calibri" w:eastAsia="Swiss721BT-LightCondensed" w:hAnsi="Calibri" w:cs="Calibri"/>
                <w:color w:val="auto"/>
                <w:sz w:val="18"/>
                <w:szCs w:val="18"/>
                <w:lang w:val="fr-FR"/>
              </w:rPr>
              <w:t>Center d'Excellence Africain en Technologies de l'Information et de la Communication</w:t>
            </w:r>
          </w:p>
        </w:tc>
        <w:tc>
          <w:tcPr>
            <w:tcW w:w="2622" w:type="dxa"/>
            <w:vAlign w:val="center"/>
          </w:tcPr>
          <w:p w14:paraId="1900A0A1"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CEADESE: </w:t>
            </w:r>
            <w:r w:rsidRPr="002E1A3F">
              <w:rPr>
                <w:rFonts w:ascii="Calibri" w:eastAsia="Swiss721BT-LightCondensed" w:hAnsi="Calibri" w:cs="Calibri"/>
                <w:color w:val="auto"/>
                <w:sz w:val="18"/>
                <w:szCs w:val="18"/>
              </w:rPr>
              <w:t>Center of Excellence in Agricultural Development and Sustainable Environment</w:t>
            </w:r>
          </w:p>
        </w:tc>
        <w:tc>
          <w:tcPr>
            <w:tcW w:w="2389" w:type="dxa"/>
            <w:vAlign w:val="center"/>
          </w:tcPr>
          <w:p w14:paraId="481F0A2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ACEGID:  </w:t>
            </w:r>
            <w:r w:rsidRPr="002E1A3F">
              <w:rPr>
                <w:rFonts w:ascii="Calibri" w:eastAsia="Swiss721BT-LightCondensed" w:hAnsi="Calibri" w:cs="Calibri"/>
                <w:color w:val="auto"/>
                <w:sz w:val="18"/>
                <w:szCs w:val="18"/>
              </w:rPr>
              <w:t>African Center of Excellence for Genomics of Infectious Diseases</w:t>
            </w:r>
          </w:p>
        </w:tc>
        <w:tc>
          <w:tcPr>
            <w:tcW w:w="2572" w:type="dxa"/>
            <w:vAlign w:val="center"/>
          </w:tcPr>
          <w:p w14:paraId="69D4F61F" w14:textId="77777777" w:rsidR="00E57DDC" w:rsidRPr="002E1A3F" w:rsidRDefault="00B00100" w:rsidP="004B61CC">
            <w:pPr>
              <w:widowControl/>
              <w:autoSpaceDE/>
              <w:autoSpaceDN/>
              <w:adjustRightInd/>
              <w:spacing w:after="160" w:line="259" w:lineRule="auto"/>
              <w:jc w:val="center"/>
              <w:rPr>
                <w:rFonts w:ascii="Calibri" w:eastAsia="Swiss721BT-LightCondensed" w:hAnsi="Calibri" w:cs="Calibri"/>
                <w:color w:val="auto"/>
                <w:sz w:val="18"/>
                <w:szCs w:val="18"/>
                <w:lang w:val="fr-FR"/>
              </w:rPr>
            </w:pPr>
            <w:r w:rsidRPr="002E1A3F">
              <w:rPr>
                <w:rFonts w:ascii="Calibri" w:eastAsia="Swiss721BT-LightCondensed" w:hAnsi="Calibri" w:cs="Calibri"/>
                <w:color w:val="auto"/>
                <w:sz w:val="18"/>
                <w:szCs w:val="18"/>
                <w:lang w:val="fr-FR"/>
              </w:rPr>
              <w:t>(CEA-CCBAD</w:t>
            </w:r>
            <w:r w:rsidR="004249EE" w:rsidRPr="002E1A3F">
              <w:rPr>
                <w:rFonts w:ascii="Calibri" w:eastAsia="Swiss721BT-LightCondensed" w:hAnsi="Calibri" w:cs="Calibri"/>
                <w:color w:val="auto"/>
                <w:sz w:val="18"/>
                <w:szCs w:val="18"/>
                <w:lang w:val="fr-FR"/>
              </w:rPr>
              <w:t>) :</w:t>
            </w:r>
            <w:r w:rsidRPr="002E1A3F">
              <w:rPr>
                <w:rFonts w:ascii="Calibri" w:eastAsia="Swiss721BT-LightCondensed" w:hAnsi="Calibri" w:cs="Calibri"/>
                <w:color w:val="auto"/>
                <w:sz w:val="18"/>
                <w:szCs w:val="18"/>
                <w:lang w:val="fr-FR"/>
              </w:rPr>
              <w:t xml:space="preserve"> Center d'Excellence Africain sur le Changement Climatique, la Biodiversité et l'Agriculture</w:t>
            </w:r>
          </w:p>
          <w:p w14:paraId="29F2E472"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Swiss721BT-LightCondensed" w:hAnsi="Calibri" w:cs="Calibri"/>
                <w:color w:val="auto"/>
                <w:sz w:val="18"/>
                <w:szCs w:val="18"/>
              </w:rPr>
              <w:t>Durable</w:t>
            </w:r>
          </w:p>
        </w:tc>
        <w:tc>
          <w:tcPr>
            <w:tcW w:w="2815" w:type="dxa"/>
            <w:gridSpan w:val="2"/>
            <w:vAlign w:val="center"/>
          </w:tcPr>
          <w:p w14:paraId="6632B371" w14:textId="77777777" w:rsidR="00E57DDC" w:rsidRPr="002E1A3F" w:rsidRDefault="00E57DDC" w:rsidP="004B61CC">
            <w:pPr>
              <w:widowControl/>
              <w:autoSpaceDE/>
              <w:autoSpaceDN/>
              <w:adjustRightInd/>
              <w:spacing w:after="160" w:line="259" w:lineRule="auto"/>
              <w:jc w:val="center"/>
              <w:rPr>
                <w:rFonts w:ascii="Calibri" w:eastAsia="Swiss721BT-LightCondensed" w:hAnsi="Calibri" w:cs="Calibri"/>
                <w:color w:val="auto"/>
                <w:sz w:val="18"/>
                <w:szCs w:val="18"/>
              </w:rPr>
            </w:pPr>
          </w:p>
        </w:tc>
      </w:tr>
      <w:tr w:rsidR="000C3959" w14:paraId="34BE00F6"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9"/>
          <w:jc w:val="center"/>
        </w:trPr>
        <w:tc>
          <w:tcPr>
            <w:tcW w:w="1195" w:type="dxa"/>
            <w:vMerge/>
            <w:vAlign w:val="center"/>
          </w:tcPr>
          <w:p w14:paraId="1C4C90FB"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4062B91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Swiss721BT-LightCondensed" w:hAnsi="Calibri" w:cs="Calibri"/>
                <w:color w:val="auto"/>
                <w:sz w:val="18"/>
                <w:szCs w:val="18"/>
                <w:lang w:val="fr-FR"/>
              </w:rPr>
              <w:t xml:space="preserve">CEA </w:t>
            </w:r>
            <w:r w:rsidR="004249EE" w:rsidRPr="002E1A3F">
              <w:rPr>
                <w:rFonts w:ascii="Calibri" w:eastAsia="Swiss721BT-LightCondensed" w:hAnsi="Calibri" w:cs="Calibri"/>
                <w:color w:val="auto"/>
                <w:sz w:val="18"/>
                <w:szCs w:val="18"/>
                <w:lang w:val="fr-FR"/>
              </w:rPr>
              <w:t>MEM :</w:t>
            </w:r>
            <w:r w:rsidRPr="002E1A3F">
              <w:rPr>
                <w:rFonts w:ascii="Calibri" w:eastAsia="Swiss721BT-LightCondensed" w:hAnsi="Calibri" w:cs="Calibri"/>
                <w:color w:val="auto"/>
                <w:sz w:val="18"/>
                <w:szCs w:val="18"/>
                <w:lang w:val="fr-FR"/>
              </w:rPr>
              <w:t xml:space="preserve">  Center d'Excellence Africain Mines et Environnement Minier</w:t>
            </w:r>
          </w:p>
        </w:tc>
        <w:tc>
          <w:tcPr>
            <w:tcW w:w="2622" w:type="dxa"/>
            <w:vAlign w:val="center"/>
          </w:tcPr>
          <w:p w14:paraId="26635AE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CDA:  </w:t>
            </w:r>
            <w:r w:rsidRPr="002E1A3F">
              <w:rPr>
                <w:rFonts w:ascii="Calibri" w:eastAsia="Swiss721BT-LightCondensed" w:hAnsi="Calibri" w:cs="Calibri"/>
                <w:color w:val="auto"/>
                <w:sz w:val="18"/>
                <w:szCs w:val="18"/>
              </w:rPr>
              <w:t>Center for Dryland Agriculture</w:t>
            </w:r>
          </w:p>
        </w:tc>
        <w:tc>
          <w:tcPr>
            <w:tcW w:w="2389" w:type="dxa"/>
            <w:vAlign w:val="center"/>
          </w:tcPr>
          <w:p w14:paraId="4CA34EEC"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ACEPRD:  </w:t>
            </w:r>
            <w:r w:rsidRPr="002E1A3F">
              <w:rPr>
                <w:rFonts w:ascii="Calibri" w:eastAsia="Swiss721BT-LightCondensed" w:hAnsi="Calibri" w:cs="Calibri"/>
                <w:color w:val="auto"/>
                <w:sz w:val="18"/>
                <w:szCs w:val="18"/>
              </w:rPr>
              <w:t>African Center of Excellence in Phytomedicine R&amp;D</w:t>
            </w:r>
          </w:p>
        </w:tc>
        <w:tc>
          <w:tcPr>
            <w:tcW w:w="2572" w:type="dxa"/>
            <w:vAlign w:val="center"/>
          </w:tcPr>
          <w:p w14:paraId="30178901"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RWESCK:  </w:t>
            </w:r>
            <w:r w:rsidRPr="002E1A3F">
              <w:rPr>
                <w:rFonts w:ascii="Calibri" w:eastAsia="Swiss721BT-LightCondensed" w:hAnsi="Calibri" w:cs="Calibri"/>
                <w:color w:val="auto"/>
                <w:sz w:val="18"/>
                <w:szCs w:val="18"/>
              </w:rPr>
              <w:t>Regional Water and Environmental Sanitation Center Kumasi</w:t>
            </w:r>
          </w:p>
        </w:tc>
        <w:tc>
          <w:tcPr>
            <w:tcW w:w="2815" w:type="dxa"/>
            <w:gridSpan w:val="2"/>
            <w:vAlign w:val="center"/>
          </w:tcPr>
          <w:p w14:paraId="11EFB9F7"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02AD86F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jc w:val="center"/>
        </w:trPr>
        <w:tc>
          <w:tcPr>
            <w:tcW w:w="1195" w:type="dxa"/>
            <w:vMerge/>
            <w:vAlign w:val="center"/>
          </w:tcPr>
          <w:p w14:paraId="7837BB19"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D11B734"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ENSEA :</w:t>
            </w:r>
            <w:r w:rsidR="00A70515" w:rsidRPr="002E1A3F">
              <w:rPr>
                <w:rFonts w:ascii="Calibri" w:eastAsia="Calibri" w:hAnsi="Calibri" w:cs="Calibri"/>
                <w:color w:val="auto"/>
                <w:sz w:val="18"/>
                <w:szCs w:val="18"/>
                <w:lang w:val="fr-FR"/>
              </w:rPr>
              <w:t xml:space="preserve">  </w:t>
            </w:r>
            <w:r w:rsidR="00A70515" w:rsidRPr="002E1A3F">
              <w:rPr>
                <w:rFonts w:ascii="Calibri" w:eastAsia="Swiss721BT-LightCondensed" w:hAnsi="Calibri" w:cs="Calibri"/>
                <w:color w:val="auto"/>
                <w:sz w:val="18"/>
                <w:szCs w:val="18"/>
                <w:lang w:val="fr-FR"/>
              </w:rPr>
              <w:t>Ecole Nationale Supérieure De Statistique Et D'économie Appliquée</w:t>
            </w:r>
          </w:p>
        </w:tc>
        <w:tc>
          <w:tcPr>
            <w:tcW w:w="2622" w:type="dxa"/>
            <w:vAlign w:val="center"/>
          </w:tcPr>
          <w:p w14:paraId="7BAE08F3"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CEFTER:  Center for Food Technology and Research</w:t>
            </w:r>
          </w:p>
        </w:tc>
        <w:tc>
          <w:tcPr>
            <w:tcW w:w="2389" w:type="dxa"/>
            <w:vAlign w:val="center"/>
          </w:tcPr>
          <w:p w14:paraId="5E9A41E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CERHI:  </w:t>
            </w:r>
            <w:r w:rsidRPr="002E1A3F">
              <w:rPr>
                <w:rFonts w:ascii="Calibri" w:eastAsia="Swiss721BT-LightCondensed" w:hAnsi="Calibri" w:cs="Calibri"/>
                <w:color w:val="auto"/>
                <w:sz w:val="18"/>
                <w:szCs w:val="18"/>
              </w:rPr>
              <w:t>Center of Excellence in Reproductive Health Innovation</w:t>
            </w:r>
          </w:p>
        </w:tc>
        <w:tc>
          <w:tcPr>
            <w:tcW w:w="2572" w:type="dxa"/>
            <w:vAlign w:val="center"/>
          </w:tcPr>
          <w:p w14:paraId="5EDFC716"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49E5745A"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4C08B6E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45"/>
          <w:jc w:val="center"/>
        </w:trPr>
        <w:tc>
          <w:tcPr>
            <w:tcW w:w="1195" w:type="dxa"/>
            <w:vMerge/>
            <w:vAlign w:val="center"/>
          </w:tcPr>
          <w:p w14:paraId="561FD5F9"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1E60914C"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CEFOR:  </w:t>
            </w:r>
            <w:r w:rsidRPr="002E1A3F">
              <w:rPr>
                <w:rFonts w:ascii="Calibri" w:eastAsia="Swiss721BT-LightCondensed" w:hAnsi="Calibri" w:cs="Calibri"/>
                <w:color w:val="auto"/>
                <w:sz w:val="18"/>
                <w:szCs w:val="18"/>
              </w:rPr>
              <w:t>Center of Excellence in Oil Fields Chemical Research</w:t>
            </w:r>
          </w:p>
        </w:tc>
        <w:tc>
          <w:tcPr>
            <w:tcW w:w="2622" w:type="dxa"/>
            <w:vAlign w:val="center"/>
          </w:tcPr>
          <w:p w14:paraId="79B2C0E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CERSA :</w:t>
            </w:r>
            <w:r w:rsidR="00A70515" w:rsidRPr="002E1A3F">
              <w:rPr>
                <w:rFonts w:ascii="Calibri" w:eastAsia="Calibri" w:hAnsi="Calibri" w:cs="Calibri"/>
                <w:color w:val="auto"/>
                <w:sz w:val="18"/>
                <w:szCs w:val="18"/>
                <w:lang w:val="fr-FR"/>
              </w:rPr>
              <w:t xml:space="preserve">  </w:t>
            </w:r>
            <w:r w:rsidR="00A70515" w:rsidRPr="002E1A3F">
              <w:rPr>
                <w:rFonts w:ascii="Calibri" w:eastAsia="Swiss721BT-LightCondensed" w:hAnsi="Calibri" w:cs="Calibri"/>
                <w:color w:val="auto"/>
                <w:sz w:val="18"/>
                <w:szCs w:val="18"/>
                <w:lang w:val="fr-FR"/>
              </w:rPr>
              <w:t>Center d'Excellence Régional sur les Sciences Aviaires</w:t>
            </w:r>
          </w:p>
        </w:tc>
        <w:tc>
          <w:tcPr>
            <w:tcW w:w="2389" w:type="dxa"/>
            <w:vAlign w:val="center"/>
          </w:tcPr>
          <w:p w14:paraId="59A09718" w14:textId="77777777" w:rsidR="00E57DDC" w:rsidRPr="002E1A3F" w:rsidRDefault="00B00100" w:rsidP="004B61CC">
            <w:pPr>
              <w:widowControl/>
              <w:autoSpaceDE/>
              <w:autoSpaceDN/>
              <w:adjustRightInd/>
              <w:spacing w:after="160" w:line="259" w:lineRule="auto"/>
              <w:jc w:val="center"/>
              <w:rPr>
                <w:rFonts w:ascii="Calibri" w:eastAsia="Swiss721BT-LightCondensed" w:hAnsi="Calibri" w:cs="Calibri"/>
                <w:color w:val="auto"/>
                <w:sz w:val="18"/>
                <w:szCs w:val="18"/>
              </w:rPr>
            </w:pPr>
            <w:r w:rsidRPr="002E1A3F">
              <w:rPr>
                <w:rFonts w:ascii="Calibri" w:eastAsia="Calibri" w:hAnsi="Calibri" w:cs="Calibri"/>
                <w:color w:val="auto"/>
                <w:sz w:val="18"/>
                <w:szCs w:val="18"/>
              </w:rPr>
              <w:t xml:space="preserve">ACENTDFB:  </w:t>
            </w:r>
            <w:r w:rsidRPr="002E1A3F">
              <w:rPr>
                <w:rFonts w:ascii="Calibri" w:eastAsia="Swiss721BT-LightCondensed" w:hAnsi="Calibri" w:cs="Calibri"/>
                <w:color w:val="auto"/>
                <w:sz w:val="18"/>
                <w:szCs w:val="18"/>
              </w:rPr>
              <w:t>African Center of Excellence for Neglected Tropical Diseases and</w:t>
            </w:r>
          </w:p>
          <w:p w14:paraId="00D160BE"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Swiss721BT-LightCondensed" w:hAnsi="Calibri" w:cs="Calibri"/>
                <w:color w:val="auto"/>
                <w:sz w:val="18"/>
                <w:szCs w:val="18"/>
              </w:rPr>
              <w:t>Forensic Biotechnology</w:t>
            </w:r>
          </w:p>
        </w:tc>
        <w:tc>
          <w:tcPr>
            <w:tcW w:w="2572" w:type="dxa"/>
            <w:vAlign w:val="center"/>
          </w:tcPr>
          <w:p w14:paraId="7B791783"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6F87E929"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rsidRPr="006C70A5" w14:paraId="45EE4C4C"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1"/>
          <w:jc w:val="center"/>
        </w:trPr>
        <w:tc>
          <w:tcPr>
            <w:tcW w:w="1195" w:type="dxa"/>
            <w:vMerge/>
            <w:vAlign w:val="center"/>
          </w:tcPr>
          <w:p w14:paraId="055E13F1"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52FAB5E"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OAK-Park:  </w:t>
            </w:r>
            <w:r w:rsidRPr="002E1A3F">
              <w:rPr>
                <w:rFonts w:ascii="Calibri" w:eastAsia="Swiss721BT-LightCondensed" w:hAnsi="Calibri" w:cs="Calibri"/>
                <w:color w:val="auto"/>
                <w:sz w:val="18"/>
                <w:szCs w:val="18"/>
              </w:rPr>
              <w:t>OAU ICT –Driven Knowledge Park</w:t>
            </w:r>
          </w:p>
        </w:tc>
        <w:tc>
          <w:tcPr>
            <w:tcW w:w="2622" w:type="dxa"/>
            <w:vAlign w:val="center"/>
          </w:tcPr>
          <w:p w14:paraId="10CDEC13"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389" w:type="dxa"/>
            <w:vAlign w:val="center"/>
          </w:tcPr>
          <w:p w14:paraId="46E64DD9"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lang w:val="fr-FR"/>
              </w:rPr>
            </w:pPr>
            <w:r w:rsidRPr="002E1A3F">
              <w:rPr>
                <w:rFonts w:ascii="Calibri" w:eastAsia="Calibri" w:hAnsi="Calibri" w:cs="Calibri"/>
                <w:color w:val="auto"/>
                <w:sz w:val="18"/>
                <w:szCs w:val="18"/>
                <w:lang w:val="fr-FR"/>
              </w:rPr>
              <w:t>CEA-</w:t>
            </w:r>
            <w:r w:rsidR="004249EE" w:rsidRPr="002E1A3F">
              <w:rPr>
                <w:rFonts w:ascii="Calibri" w:eastAsia="Calibri" w:hAnsi="Calibri" w:cs="Calibri"/>
                <w:color w:val="auto"/>
                <w:sz w:val="18"/>
                <w:szCs w:val="18"/>
                <w:lang w:val="fr-FR"/>
              </w:rPr>
              <w:t>SAMEF :</w:t>
            </w:r>
            <w:r w:rsidRPr="002E1A3F">
              <w:rPr>
                <w:rFonts w:ascii="Calibri" w:eastAsia="Calibri" w:hAnsi="Calibri" w:cs="Calibri"/>
                <w:color w:val="auto"/>
                <w:sz w:val="18"/>
                <w:szCs w:val="18"/>
                <w:lang w:val="fr-FR"/>
              </w:rPr>
              <w:t xml:space="preserve">  </w:t>
            </w:r>
            <w:r w:rsidRPr="002E1A3F">
              <w:rPr>
                <w:rFonts w:ascii="Calibri" w:eastAsia="Swiss721BT-LightCondensed" w:hAnsi="Calibri" w:cs="Calibri"/>
                <w:color w:val="auto"/>
                <w:sz w:val="18"/>
                <w:szCs w:val="18"/>
                <w:lang w:val="fr-FR"/>
              </w:rPr>
              <w:t>Center d'Excellence Africain pour la Santé de la Mère et de l'Enfant</w:t>
            </w:r>
          </w:p>
        </w:tc>
        <w:tc>
          <w:tcPr>
            <w:tcW w:w="2572" w:type="dxa"/>
            <w:vAlign w:val="center"/>
          </w:tcPr>
          <w:p w14:paraId="0C455979"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lang w:val="fr-FR"/>
              </w:rPr>
            </w:pPr>
          </w:p>
        </w:tc>
        <w:tc>
          <w:tcPr>
            <w:tcW w:w="2815" w:type="dxa"/>
            <w:gridSpan w:val="2"/>
            <w:vAlign w:val="center"/>
          </w:tcPr>
          <w:p w14:paraId="5B86300D"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lang w:val="fr-FR"/>
              </w:rPr>
            </w:pPr>
          </w:p>
        </w:tc>
      </w:tr>
      <w:tr w:rsidR="000C3959" w14:paraId="06076F13"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jc w:val="center"/>
        </w:trPr>
        <w:tc>
          <w:tcPr>
            <w:tcW w:w="1195" w:type="dxa"/>
            <w:vMerge/>
            <w:vAlign w:val="center"/>
          </w:tcPr>
          <w:p w14:paraId="61F1D6D3"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lang w:val="fr-FR"/>
              </w:rPr>
            </w:pPr>
          </w:p>
        </w:tc>
        <w:tc>
          <w:tcPr>
            <w:tcW w:w="2339" w:type="dxa"/>
            <w:vAlign w:val="center"/>
          </w:tcPr>
          <w:p w14:paraId="15CB46FA"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PAMI:  Pan African Materials Institute</w:t>
            </w:r>
          </w:p>
        </w:tc>
        <w:tc>
          <w:tcPr>
            <w:tcW w:w="2622" w:type="dxa"/>
            <w:vAlign w:val="center"/>
          </w:tcPr>
          <w:p w14:paraId="326EB4FF"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389" w:type="dxa"/>
            <w:vAlign w:val="center"/>
          </w:tcPr>
          <w:p w14:paraId="5C225BBF"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572" w:type="dxa"/>
            <w:vAlign w:val="center"/>
          </w:tcPr>
          <w:p w14:paraId="2D26A8AC"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3F2192BF"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319422DA"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2"/>
          <w:jc w:val="center"/>
        </w:trPr>
        <w:tc>
          <w:tcPr>
            <w:tcW w:w="1195" w:type="dxa"/>
            <w:vMerge/>
            <w:vAlign w:val="center"/>
          </w:tcPr>
          <w:p w14:paraId="663CDC87"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47E522D3"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MITIC: </w:t>
            </w:r>
          </w:p>
        </w:tc>
        <w:tc>
          <w:tcPr>
            <w:tcW w:w="2622" w:type="dxa"/>
            <w:vAlign w:val="center"/>
          </w:tcPr>
          <w:p w14:paraId="3C75D530"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389" w:type="dxa"/>
            <w:vAlign w:val="center"/>
          </w:tcPr>
          <w:p w14:paraId="0F8078CB"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572" w:type="dxa"/>
            <w:vAlign w:val="center"/>
          </w:tcPr>
          <w:p w14:paraId="4EA6BBDE"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6D820F5C"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r>
      <w:tr w:rsidR="000C3959" w14:paraId="37D2E923"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5"/>
          <w:jc w:val="center"/>
        </w:trPr>
        <w:tc>
          <w:tcPr>
            <w:tcW w:w="1195" w:type="dxa"/>
            <w:shd w:val="clear" w:color="auto" w:fill="000000"/>
            <w:vAlign w:val="center"/>
          </w:tcPr>
          <w:p w14:paraId="1B09C45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0"/>
                <w:szCs w:val="10"/>
              </w:rPr>
            </w:pPr>
          </w:p>
        </w:tc>
        <w:tc>
          <w:tcPr>
            <w:tcW w:w="2339" w:type="dxa"/>
            <w:shd w:val="clear" w:color="auto" w:fill="000000"/>
            <w:vAlign w:val="center"/>
          </w:tcPr>
          <w:p w14:paraId="60BEDBFB"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622" w:type="dxa"/>
            <w:shd w:val="clear" w:color="auto" w:fill="000000"/>
            <w:vAlign w:val="center"/>
          </w:tcPr>
          <w:p w14:paraId="150A0EDE"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389" w:type="dxa"/>
            <w:shd w:val="clear" w:color="auto" w:fill="000000"/>
            <w:vAlign w:val="center"/>
          </w:tcPr>
          <w:p w14:paraId="3DE91697"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572" w:type="dxa"/>
            <w:shd w:val="clear" w:color="auto" w:fill="000000"/>
            <w:vAlign w:val="center"/>
          </w:tcPr>
          <w:p w14:paraId="321484AF"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shd w:val="clear" w:color="auto" w:fill="000000"/>
            <w:vAlign w:val="center"/>
          </w:tcPr>
          <w:p w14:paraId="583301A5"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0A4CBFA9"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31"/>
          <w:jc w:val="center"/>
        </w:trPr>
        <w:tc>
          <w:tcPr>
            <w:tcW w:w="1195" w:type="dxa"/>
            <w:vMerge w:val="restart"/>
            <w:vAlign w:val="center"/>
          </w:tcPr>
          <w:p w14:paraId="3146C785"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ACE II</w:t>
            </w:r>
          </w:p>
        </w:tc>
        <w:tc>
          <w:tcPr>
            <w:tcW w:w="2339" w:type="dxa"/>
            <w:vAlign w:val="center"/>
          </w:tcPr>
          <w:p w14:paraId="03611110"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ACEIOT:  African Center of Excellence in Internet of Things</w:t>
            </w:r>
          </w:p>
        </w:tc>
        <w:tc>
          <w:tcPr>
            <w:tcW w:w="2622" w:type="dxa"/>
            <w:vAlign w:val="center"/>
          </w:tcPr>
          <w:p w14:paraId="3DD83AD3"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ACALISE:  African Center of Excellence in Agroecology and Livelihood Systems</w:t>
            </w:r>
          </w:p>
        </w:tc>
        <w:tc>
          <w:tcPr>
            <w:tcW w:w="2389" w:type="dxa"/>
            <w:vAlign w:val="center"/>
          </w:tcPr>
          <w:p w14:paraId="2B558A5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ACEEZD:  African Center of Excellence for Emerging and Zoonotic Diseases</w:t>
            </w:r>
          </w:p>
        </w:tc>
        <w:tc>
          <w:tcPr>
            <w:tcW w:w="2572" w:type="dxa"/>
            <w:vAlign w:val="center"/>
          </w:tcPr>
          <w:p w14:paraId="0BA915B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ACE-ESD:  Africa Center of Excellence in Energy for Sustainable Development</w:t>
            </w:r>
          </w:p>
        </w:tc>
        <w:tc>
          <w:tcPr>
            <w:tcW w:w="2815" w:type="dxa"/>
            <w:gridSpan w:val="2"/>
            <w:vAlign w:val="center"/>
          </w:tcPr>
          <w:p w14:paraId="70B27C05"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49C180D0"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1"/>
          <w:jc w:val="center"/>
        </w:trPr>
        <w:tc>
          <w:tcPr>
            <w:tcW w:w="1195" w:type="dxa"/>
            <w:vMerge/>
            <w:vAlign w:val="center"/>
          </w:tcPr>
          <w:p w14:paraId="3D6162F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5C1EED9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The Copperbelt Africa Center of Excellence in Sustainable Mining</w:t>
            </w:r>
          </w:p>
        </w:tc>
        <w:tc>
          <w:tcPr>
            <w:tcW w:w="2622" w:type="dxa"/>
            <w:vAlign w:val="center"/>
          </w:tcPr>
          <w:p w14:paraId="298D4206"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CLIMATE SABC:  Africa Center of Excellence for Climate Smart Agriculture and Biodiversity Conservation</w:t>
            </w:r>
          </w:p>
        </w:tc>
        <w:tc>
          <w:tcPr>
            <w:tcW w:w="2389" w:type="dxa"/>
            <w:vAlign w:val="center"/>
          </w:tcPr>
          <w:p w14:paraId="2B2AB24D"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ACEPHEM:  Africa Center of Excellence in Public Health and Herbal Medicine</w:t>
            </w:r>
          </w:p>
        </w:tc>
        <w:tc>
          <w:tcPr>
            <w:tcW w:w="2572" w:type="dxa"/>
            <w:vAlign w:val="center"/>
          </w:tcPr>
          <w:p w14:paraId="200710D0"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WISE-FUTURES:  Water Infrastructure and Sustainable Energy Futures</w:t>
            </w:r>
          </w:p>
        </w:tc>
        <w:tc>
          <w:tcPr>
            <w:tcW w:w="2815" w:type="dxa"/>
            <w:gridSpan w:val="2"/>
            <w:vAlign w:val="center"/>
          </w:tcPr>
          <w:p w14:paraId="4A1CB110"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600B8641"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1"/>
          <w:jc w:val="center"/>
        </w:trPr>
        <w:tc>
          <w:tcPr>
            <w:tcW w:w="1195" w:type="dxa"/>
            <w:vMerge/>
            <w:vAlign w:val="center"/>
          </w:tcPr>
          <w:p w14:paraId="1F7788C7"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47C6EC4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MAPRONANO:  Africa Center of Excellence in Materials Product Development and Nanotechnology</w:t>
            </w:r>
          </w:p>
        </w:tc>
        <w:tc>
          <w:tcPr>
            <w:tcW w:w="2622" w:type="dxa"/>
            <w:vAlign w:val="center"/>
          </w:tcPr>
          <w:p w14:paraId="3562F2D3"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INSEFOODS:  The Africa Center of Excellence in Sustainable Use of Insects as Food and Feeds</w:t>
            </w:r>
          </w:p>
        </w:tc>
        <w:tc>
          <w:tcPr>
            <w:tcW w:w="2389" w:type="dxa"/>
            <w:vAlign w:val="center"/>
          </w:tcPr>
          <w:p w14:paraId="300A67BD"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CDT-Africa:  Center for Innovative Drug Development and Therapeutic Trials for Africa</w:t>
            </w:r>
          </w:p>
        </w:tc>
        <w:tc>
          <w:tcPr>
            <w:tcW w:w="2572" w:type="dxa"/>
            <w:vAlign w:val="center"/>
          </w:tcPr>
          <w:p w14:paraId="1A3A846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ACEWM:  African Center of Excellence for Water Management</w:t>
            </w:r>
          </w:p>
        </w:tc>
        <w:tc>
          <w:tcPr>
            <w:tcW w:w="2815" w:type="dxa"/>
            <w:gridSpan w:val="2"/>
            <w:vAlign w:val="center"/>
          </w:tcPr>
          <w:p w14:paraId="51F5DC2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314080D1"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84"/>
          <w:jc w:val="center"/>
        </w:trPr>
        <w:tc>
          <w:tcPr>
            <w:tcW w:w="1195" w:type="dxa"/>
            <w:vMerge/>
            <w:vAlign w:val="center"/>
          </w:tcPr>
          <w:p w14:paraId="352A4D65"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32E7F71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PTRE:  Africa Center of Excellence in Phytochemicals, Textile and Renewable Energy</w:t>
            </w:r>
          </w:p>
        </w:tc>
        <w:tc>
          <w:tcPr>
            <w:tcW w:w="2622" w:type="dxa"/>
            <w:vAlign w:val="center"/>
          </w:tcPr>
          <w:p w14:paraId="07FF915E" w14:textId="77777777" w:rsidR="00E57DDC" w:rsidRPr="002E1A3F" w:rsidRDefault="00B00100" w:rsidP="004B61CC">
            <w:pPr>
              <w:widowControl/>
              <w:autoSpaceDE/>
              <w:autoSpaceDN/>
              <w:adjustRightInd/>
              <w:spacing w:after="160" w:line="259" w:lineRule="auto"/>
              <w:jc w:val="center"/>
              <w:rPr>
                <w:rFonts w:ascii="Calibri" w:eastAsia="Swiss721BT-LightCondensed" w:hAnsi="Calibri" w:cs="Calibri"/>
                <w:color w:val="373435"/>
                <w:sz w:val="18"/>
                <w:szCs w:val="18"/>
              </w:rPr>
            </w:pPr>
            <w:r w:rsidRPr="002E1A3F">
              <w:rPr>
                <w:rFonts w:ascii="Calibri" w:eastAsia="Calibri" w:hAnsi="Calibri" w:cs="Calibri"/>
                <w:color w:val="auto"/>
                <w:sz w:val="18"/>
                <w:szCs w:val="18"/>
              </w:rPr>
              <w:t xml:space="preserve">RAT-TECH:  </w:t>
            </w:r>
            <w:r w:rsidRPr="002E1A3F">
              <w:rPr>
                <w:rFonts w:ascii="Calibri" w:eastAsia="Swiss721BT-LightCondensed" w:hAnsi="Calibri" w:cs="Calibri"/>
                <w:color w:val="373435"/>
                <w:sz w:val="18"/>
                <w:szCs w:val="18"/>
              </w:rPr>
              <w:t>Africa Center of Excellence for Innovative Rodent Pest Management and Biosensor Technology Development</w:t>
            </w:r>
          </w:p>
        </w:tc>
        <w:tc>
          <w:tcPr>
            <w:tcW w:w="2389" w:type="dxa"/>
            <w:vAlign w:val="center"/>
          </w:tcPr>
          <w:p w14:paraId="72786C5B"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SACIDS:  Southern African Center for Infectious Disease Surveillance</w:t>
            </w:r>
          </w:p>
        </w:tc>
        <w:tc>
          <w:tcPr>
            <w:tcW w:w="2572" w:type="dxa"/>
            <w:vAlign w:val="center"/>
          </w:tcPr>
          <w:p w14:paraId="10E1DB85"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43AF258E"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158AF64B"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1"/>
          <w:jc w:val="center"/>
        </w:trPr>
        <w:tc>
          <w:tcPr>
            <w:tcW w:w="1195" w:type="dxa"/>
            <w:vMerge/>
            <w:vAlign w:val="center"/>
          </w:tcPr>
          <w:p w14:paraId="129AAFA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5351C926" w14:textId="77777777" w:rsidR="00E57DDC" w:rsidRPr="002E1A3F" w:rsidRDefault="00B00100" w:rsidP="004B61CC">
            <w:pPr>
              <w:widowControl/>
              <w:autoSpaceDE/>
              <w:autoSpaceDN/>
              <w:adjustRightInd/>
              <w:spacing w:after="160" w:line="259" w:lineRule="auto"/>
              <w:jc w:val="center"/>
              <w:rPr>
                <w:rFonts w:ascii="Calibri" w:eastAsia="Swiss721BT-LightCondensed" w:hAnsi="Calibri" w:cs="Calibri"/>
                <w:color w:val="373435"/>
                <w:sz w:val="18"/>
                <w:szCs w:val="18"/>
              </w:rPr>
            </w:pPr>
            <w:r w:rsidRPr="002E1A3F">
              <w:rPr>
                <w:rFonts w:ascii="Calibri" w:eastAsia="Calibri" w:hAnsi="Calibri" w:cs="Calibri"/>
                <w:color w:val="auto"/>
                <w:sz w:val="18"/>
                <w:szCs w:val="18"/>
              </w:rPr>
              <w:t xml:space="preserve">ACEITLMS:  </w:t>
            </w:r>
            <w:r w:rsidRPr="002E1A3F">
              <w:rPr>
                <w:rFonts w:ascii="Calibri" w:eastAsia="Swiss721BT-LightCondensed" w:hAnsi="Calibri" w:cs="Calibri"/>
                <w:color w:val="373435"/>
                <w:sz w:val="18"/>
                <w:szCs w:val="18"/>
              </w:rPr>
              <w:t>African Center of Excellence for Innovative Teaching and Learning Mathematics and Science</w:t>
            </w:r>
          </w:p>
        </w:tc>
        <w:tc>
          <w:tcPr>
            <w:tcW w:w="2622" w:type="dxa"/>
            <w:vAlign w:val="center"/>
          </w:tcPr>
          <w:p w14:paraId="039EA015"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MARCCI:  Makerere University Regional Center for Crop Improvement</w:t>
            </w:r>
          </w:p>
        </w:tc>
        <w:tc>
          <w:tcPr>
            <w:tcW w:w="2389" w:type="dxa"/>
            <w:vAlign w:val="center"/>
          </w:tcPr>
          <w:p w14:paraId="777000F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PHARMBIOTRAC:  Africa Center of Excellence for Pharm-Biotechnology and Traditional Medicine Center</w:t>
            </w:r>
          </w:p>
        </w:tc>
        <w:tc>
          <w:tcPr>
            <w:tcW w:w="2572" w:type="dxa"/>
            <w:vAlign w:val="center"/>
          </w:tcPr>
          <w:p w14:paraId="1EE224E7"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64AE80A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04797F5B"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5"/>
          <w:jc w:val="center"/>
        </w:trPr>
        <w:tc>
          <w:tcPr>
            <w:tcW w:w="1195" w:type="dxa"/>
            <w:vMerge/>
            <w:vAlign w:val="center"/>
          </w:tcPr>
          <w:p w14:paraId="0F174A61"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0B8D2862"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ACE-DS:  African Center of Excellence in Data Science</w:t>
            </w:r>
          </w:p>
        </w:tc>
        <w:tc>
          <w:tcPr>
            <w:tcW w:w="2622" w:type="dxa"/>
            <w:vAlign w:val="center"/>
          </w:tcPr>
          <w:p w14:paraId="4152F378"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AquaFish:  Africa Center of Excellence in Aquaculture and Fisheries Science</w:t>
            </w:r>
          </w:p>
        </w:tc>
        <w:tc>
          <w:tcPr>
            <w:tcW w:w="2389" w:type="dxa"/>
            <w:vAlign w:val="center"/>
          </w:tcPr>
          <w:p w14:paraId="26532174"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572" w:type="dxa"/>
            <w:vAlign w:val="center"/>
          </w:tcPr>
          <w:p w14:paraId="5E373754"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075289B4"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760F9CC6"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1"/>
          <w:jc w:val="center"/>
        </w:trPr>
        <w:tc>
          <w:tcPr>
            <w:tcW w:w="1195" w:type="dxa"/>
            <w:vMerge/>
            <w:vAlign w:val="center"/>
          </w:tcPr>
          <w:p w14:paraId="44178C0B"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56644E7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ARERI:  African Railway Education and Research Institute</w:t>
            </w:r>
          </w:p>
        </w:tc>
        <w:tc>
          <w:tcPr>
            <w:tcW w:w="2622" w:type="dxa"/>
            <w:vAlign w:val="center"/>
          </w:tcPr>
          <w:p w14:paraId="6124496F" w14:textId="77777777" w:rsidR="00E57DDC" w:rsidRPr="002E1A3F" w:rsidRDefault="00B00100" w:rsidP="004B61CC">
            <w:pPr>
              <w:widowControl/>
              <w:autoSpaceDE/>
              <w:autoSpaceDN/>
              <w:adjustRightInd/>
              <w:spacing w:after="160" w:line="259" w:lineRule="auto"/>
              <w:jc w:val="center"/>
              <w:rPr>
                <w:rFonts w:ascii="Calibri" w:eastAsia="Calibri" w:hAnsi="Calibri" w:cs="Calibri"/>
                <w:color w:val="auto"/>
                <w:sz w:val="18"/>
                <w:szCs w:val="18"/>
              </w:rPr>
            </w:pPr>
            <w:r w:rsidRPr="002E1A3F">
              <w:rPr>
                <w:rFonts w:ascii="Calibri" w:eastAsia="Calibri" w:hAnsi="Calibri" w:cs="Calibri"/>
                <w:color w:val="auto"/>
                <w:sz w:val="18"/>
                <w:szCs w:val="18"/>
              </w:rPr>
              <w:t xml:space="preserve">CREATES:  Africa Center of Excellence for Research, Evidence Agricultural </w:t>
            </w:r>
            <w:r w:rsidRPr="002E1A3F">
              <w:rPr>
                <w:rFonts w:ascii="Calibri" w:eastAsia="Calibri" w:hAnsi="Calibri" w:cs="Calibri"/>
                <w:color w:val="auto"/>
                <w:sz w:val="18"/>
                <w:szCs w:val="18"/>
              </w:rPr>
              <w:lastRenderedPageBreak/>
              <w:t>Advancement, Teaching Excellence and Sustainability</w:t>
            </w:r>
          </w:p>
        </w:tc>
        <w:tc>
          <w:tcPr>
            <w:tcW w:w="2389" w:type="dxa"/>
            <w:vAlign w:val="center"/>
          </w:tcPr>
          <w:p w14:paraId="4822055C"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572" w:type="dxa"/>
            <w:vAlign w:val="center"/>
          </w:tcPr>
          <w:p w14:paraId="5C3472B0" w14:textId="77777777" w:rsidR="00E57DDC" w:rsidRPr="002E1A3F" w:rsidRDefault="00E57DDC" w:rsidP="004B61CC">
            <w:pPr>
              <w:widowControl/>
              <w:autoSpaceDE/>
              <w:autoSpaceDN/>
              <w:adjustRightInd/>
              <w:spacing w:after="160" w:line="259" w:lineRule="auto"/>
              <w:jc w:val="center"/>
              <w:rPr>
                <w:rFonts w:ascii="Calibri" w:eastAsia="Calibri" w:hAnsi="Calibri" w:cs="Calibri"/>
                <w:color w:val="auto"/>
                <w:sz w:val="18"/>
                <w:szCs w:val="18"/>
              </w:rPr>
            </w:pPr>
          </w:p>
        </w:tc>
        <w:tc>
          <w:tcPr>
            <w:tcW w:w="2815" w:type="dxa"/>
            <w:gridSpan w:val="2"/>
            <w:vAlign w:val="center"/>
          </w:tcPr>
          <w:p w14:paraId="6320A2BA"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r w:rsidR="000C3959" w14:paraId="4C425E50" w14:textId="77777777" w:rsidTr="007B0BA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31"/>
          <w:jc w:val="center"/>
        </w:trPr>
        <w:tc>
          <w:tcPr>
            <w:tcW w:w="1195" w:type="dxa"/>
            <w:vMerge/>
            <w:vAlign w:val="center"/>
          </w:tcPr>
          <w:p w14:paraId="4FFE44A6"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22"/>
                <w:szCs w:val="22"/>
              </w:rPr>
            </w:pPr>
          </w:p>
        </w:tc>
        <w:tc>
          <w:tcPr>
            <w:tcW w:w="2339" w:type="dxa"/>
            <w:vAlign w:val="center"/>
          </w:tcPr>
          <w:p w14:paraId="689C83B9"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Times New Roman"/>
                <w:color w:val="auto"/>
                <w:sz w:val="18"/>
                <w:szCs w:val="18"/>
              </w:rPr>
              <w:t>CS-OGET:  Center for Studies in Oil and Gas Engineering and Technology</w:t>
            </w:r>
          </w:p>
        </w:tc>
        <w:tc>
          <w:tcPr>
            <w:tcW w:w="2622" w:type="dxa"/>
            <w:vAlign w:val="center"/>
          </w:tcPr>
          <w:p w14:paraId="57762DDE" w14:textId="77777777" w:rsidR="00E57DDC" w:rsidRPr="002E1A3F" w:rsidRDefault="00B00100" w:rsidP="004B61CC">
            <w:pPr>
              <w:widowControl/>
              <w:autoSpaceDE/>
              <w:autoSpaceDN/>
              <w:adjustRightInd/>
              <w:spacing w:after="160" w:line="259" w:lineRule="auto"/>
              <w:jc w:val="center"/>
              <w:rPr>
                <w:rFonts w:ascii="Calibri" w:eastAsia="Calibri" w:hAnsi="Calibri" w:cs="Times New Roman"/>
                <w:color w:val="auto"/>
                <w:sz w:val="18"/>
                <w:szCs w:val="18"/>
              </w:rPr>
            </w:pPr>
            <w:r w:rsidRPr="002E1A3F">
              <w:rPr>
                <w:rFonts w:ascii="Calibri" w:eastAsia="Calibri" w:hAnsi="Calibri" w:cs="Times New Roman"/>
                <w:color w:val="auto"/>
                <w:sz w:val="18"/>
                <w:szCs w:val="18"/>
              </w:rPr>
              <w:t>CESAAM:  Africa Center of Excellence in Sustainable and Agribusiness Management</w:t>
            </w:r>
          </w:p>
        </w:tc>
        <w:tc>
          <w:tcPr>
            <w:tcW w:w="2389" w:type="dxa"/>
            <w:vAlign w:val="center"/>
          </w:tcPr>
          <w:p w14:paraId="6BCA796F"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572" w:type="dxa"/>
            <w:vAlign w:val="center"/>
          </w:tcPr>
          <w:p w14:paraId="51A184B8"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c>
          <w:tcPr>
            <w:tcW w:w="2815" w:type="dxa"/>
            <w:gridSpan w:val="2"/>
            <w:vAlign w:val="center"/>
          </w:tcPr>
          <w:p w14:paraId="3C6D682D" w14:textId="77777777" w:rsidR="00E57DDC" w:rsidRPr="002E1A3F" w:rsidRDefault="00E57DDC" w:rsidP="004B61CC">
            <w:pPr>
              <w:widowControl/>
              <w:autoSpaceDE/>
              <w:autoSpaceDN/>
              <w:adjustRightInd/>
              <w:spacing w:after="160" w:line="259" w:lineRule="auto"/>
              <w:jc w:val="center"/>
              <w:rPr>
                <w:rFonts w:ascii="Calibri" w:eastAsia="Calibri" w:hAnsi="Calibri" w:cs="Times New Roman"/>
                <w:color w:val="auto"/>
                <w:sz w:val="18"/>
                <w:szCs w:val="18"/>
              </w:rPr>
            </w:pPr>
          </w:p>
        </w:tc>
      </w:tr>
    </w:tbl>
    <w:p w14:paraId="29290658" w14:textId="77777777" w:rsidR="00E57DDC" w:rsidRDefault="00E57DDC" w:rsidP="002E1A3F">
      <w:pPr>
        <w:widowControl/>
        <w:tabs>
          <w:tab w:val="left" w:pos="720"/>
          <w:tab w:val="left" w:pos="773"/>
        </w:tabs>
        <w:autoSpaceDE/>
        <w:autoSpaceDN/>
        <w:adjustRightInd/>
        <w:spacing w:after="120" w:line="259" w:lineRule="auto"/>
        <w:jc w:val="both"/>
        <w:rPr>
          <w:rFonts w:ascii="Calibri" w:eastAsia="Calibri" w:hAnsi="Calibri" w:cs="Times New Roman"/>
          <w:color w:val="auto"/>
          <w:sz w:val="22"/>
          <w:szCs w:val="22"/>
        </w:rPr>
      </w:pPr>
    </w:p>
    <w:p w14:paraId="25E52B4C" w14:textId="77777777" w:rsidR="009B2BA5" w:rsidRPr="00126CD2" w:rsidRDefault="009B2BA5" w:rsidP="00126CD2">
      <w:pPr>
        <w:rPr>
          <w:rFonts w:ascii="Calibri" w:eastAsia="Calibri" w:hAnsi="Calibri" w:cs="Times New Roman"/>
          <w:sz w:val="22"/>
          <w:szCs w:val="22"/>
        </w:rPr>
        <w:sectPr w:rsidR="009B2BA5" w:rsidRPr="00126CD2" w:rsidSect="008C0672">
          <w:pgSz w:w="15840" w:h="12240" w:orient="landscape"/>
          <w:pgMar w:top="1440" w:right="1440" w:bottom="720" w:left="1440" w:header="1152" w:footer="720" w:gutter="0"/>
          <w:cols w:space="720"/>
          <w:docGrid w:linePitch="360"/>
        </w:sectPr>
      </w:pPr>
    </w:p>
    <w:tbl>
      <w:tblPr>
        <w:tblW w:w="10962" w:type="dxa"/>
        <w:tblInd w:w="-882" w:type="dxa"/>
        <w:shd w:val="clear" w:color="auto" w:fill="F2F7FC"/>
        <w:tblLayout w:type="fixed"/>
        <w:tblLook w:val="04A0" w:firstRow="1" w:lastRow="0" w:firstColumn="1" w:lastColumn="0" w:noHBand="0" w:noVBand="1"/>
      </w:tblPr>
      <w:tblGrid>
        <w:gridCol w:w="10962"/>
      </w:tblGrid>
      <w:tr w:rsidR="000C3959" w14:paraId="0F831DAA" w14:textId="77777777" w:rsidTr="009277AD">
        <w:trPr>
          <w:trHeight w:val="432"/>
        </w:trPr>
        <w:tc>
          <w:tcPr>
            <w:tcW w:w="10962" w:type="dxa"/>
            <w:shd w:val="clear" w:color="auto" w:fill="F2F7FC"/>
            <w:vAlign w:val="center"/>
          </w:tcPr>
          <w:p w14:paraId="63BAC777" w14:textId="77777777" w:rsidR="002E1A3F" w:rsidRPr="002E1A3F" w:rsidRDefault="00B00100" w:rsidP="002E1A3F">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469" w:name="_Toc256000161"/>
            <w:bookmarkStart w:id="470" w:name="_Toc256000132"/>
            <w:bookmarkStart w:id="471" w:name="_Toc256000102"/>
            <w:bookmarkStart w:id="472" w:name="_Toc256000070"/>
            <w:bookmarkStart w:id="473" w:name="_Toc256000039"/>
            <w:bookmarkStart w:id="474" w:name="_Toc8301945"/>
            <w:bookmarkStart w:id="475" w:name="_Toc14789367"/>
            <w:bookmarkStart w:id="476" w:name="_Toc22655934"/>
            <w:bookmarkStart w:id="477" w:name="_Toc23779860"/>
            <w:bookmarkStart w:id="478" w:name="_Toc23866076"/>
            <w:bookmarkStart w:id="479" w:name="_Toc23930687"/>
            <w:r w:rsidRPr="002E1A3F">
              <w:rPr>
                <w:rFonts w:ascii="Calibri" w:eastAsia="Times New Roman" w:hAnsi="Calibri" w:cs="Times New Roman"/>
                <w:b/>
                <w:iCs/>
                <w:color w:val="auto"/>
                <w:sz w:val="22"/>
                <w:szCs w:val="22"/>
              </w:rPr>
              <w:lastRenderedPageBreak/>
              <w:t>ANNEX 7: Economic and Financial Analysis</w:t>
            </w:r>
            <w:bookmarkEnd w:id="469"/>
            <w:bookmarkEnd w:id="470"/>
            <w:bookmarkEnd w:id="471"/>
            <w:bookmarkEnd w:id="472"/>
            <w:bookmarkEnd w:id="473"/>
            <w:bookmarkEnd w:id="474"/>
            <w:bookmarkEnd w:id="475"/>
            <w:bookmarkEnd w:id="476"/>
            <w:bookmarkEnd w:id="477"/>
            <w:bookmarkEnd w:id="478"/>
            <w:bookmarkEnd w:id="479"/>
          </w:p>
        </w:tc>
      </w:tr>
    </w:tbl>
    <w:p w14:paraId="3415B8C8" w14:textId="77777777" w:rsidR="002E1A3F" w:rsidRPr="002E1A3F" w:rsidRDefault="002E1A3F" w:rsidP="008E2709">
      <w:pPr>
        <w:widowControl/>
        <w:tabs>
          <w:tab w:val="left" w:pos="720"/>
          <w:tab w:val="left" w:pos="773"/>
        </w:tabs>
        <w:autoSpaceDE/>
        <w:autoSpaceDN/>
        <w:adjustRightInd/>
        <w:spacing w:after="120"/>
        <w:jc w:val="both"/>
        <w:rPr>
          <w:rFonts w:ascii="Calibri" w:eastAsia="Calibri" w:hAnsi="Calibri" w:cs="Times New Roman"/>
          <w:color w:val="auto"/>
          <w:sz w:val="22"/>
          <w:szCs w:val="22"/>
        </w:rPr>
      </w:pPr>
    </w:p>
    <w:p w14:paraId="405EA912" w14:textId="77777777" w:rsidR="002E1A3F" w:rsidRPr="002E1A3F" w:rsidRDefault="00B00100" w:rsidP="008E2709">
      <w:pPr>
        <w:widowControl/>
        <w:numPr>
          <w:ilvl w:val="0"/>
          <w:numId w:val="33"/>
        </w:numPr>
        <w:tabs>
          <w:tab w:val="left" w:pos="0"/>
          <w:tab w:val="left" w:pos="720"/>
        </w:tabs>
        <w:autoSpaceDE/>
        <w:autoSpaceDN/>
        <w:adjustRightInd/>
        <w:spacing w:after="240"/>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 xml:space="preserve">The economic and financial analysis provides the rationale for investing in higher education in SSA countries and estimates the economic IRRs for education. </w:t>
      </w:r>
      <w:r w:rsidRPr="002E1A3F">
        <w:rPr>
          <w:rFonts w:ascii="Calibri" w:eastAsia="Times New Roman" w:hAnsi="Calibri" w:cs="Times New Roman"/>
          <w:color w:val="auto"/>
          <w:sz w:val="22"/>
          <w:szCs w:val="22"/>
        </w:rPr>
        <w:t>This section includes the following segments: (i) an analysis of the education sector and key issues in the higher education sector, and the identification of linkages between educational outcomes and the labor market; (ii) an overview of the project development impact in terms of expected benefits and costs; and (iii) a cost-benefit analysis of the proposed project, including a financial and fiscal sustainability analysis.</w:t>
      </w:r>
    </w:p>
    <w:p w14:paraId="0A88FE45" w14:textId="77777777" w:rsidR="002E1A3F" w:rsidRPr="002E1A3F" w:rsidRDefault="00B00100">
      <w:pPr>
        <w:tabs>
          <w:tab w:val="left" w:pos="0"/>
          <w:tab w:val="left" w:pos="720"/>
        </w:tabs>
        <w:spacing w:after="240"/>
        <w:jc w:val="both"/>
        <w:rPr>
          <w:rFonts w:ascii="Calibri" w:eastAsia="Times New Roman" w:hAnsi="Calibri" w:cs="Calibri"/>
          <w:i/>
          <w:color w:val="0070C0"/>
          <w:sz w:val="22"/>
          <w:szCs w:val="22"/>
        </w:rPr>
      </w:pPr>
      <w:r w:rsidRPr="002E1A3F">
        <w:rPr>
          <w:rFonts w:ascii="Calibri" w:eastAsia="Times New Roman" w:hAnsi="Calibri" w:cs="Calibri"/>
          <w:b/>
          <w:i/>
          <w:color w:val="0070C0"/>
          <w:sz w:val="22"/>
          <w:szCs w:val="22"/>
        </w:rPr>
        <w:t xml:space="preserve">Return to Education in </w:t>
      </w:r>
      <w:r w:rsidR="00741F70">
        <w:rPr>
          <w:rFonts w:ascii="Calibri" w:eastAsia="Times New Roman" w:hAnsi="Calibri" w:cs="Calibri"/>
          <w:b/>
          <w:i/>
          <w:color w:val="0070C0"/>
          <w:sz w:val="22"/>
          <w:szCs w:val="22"/>
        </w:rPr>
        <w:t>SSA</w:t>
      </w:r>
    </w:p>
    <w:p w14:paraId="448F51AB" w14:textId="77777777" w:rsidR="002E1A3F" w:rsidRPr="002E1A3F" w:rsidRDefault="00B00100" w:rsidP="008E2709">
      <w:pPr>
        <w:widowControl/>
        <w:numPr>
          <w:ilvl w:val="0"/>
          <w:numId w:val="33"/>
        </w:numPr>
        <w:tabs>
          <w:tab w:val="left" w:pos="0"/>
          <w:tab w:val="left" w:pos="720"/>
        </w:tabs>
        <w:autoSpaceDE/>
        <w:autoSpaceDN/>
        <w:adjustRightInd/>
        <w:spacing w:after="240"/>
        <w:ind w:right="720"/>
        <w:jc w:val="both"/>
        <w:rPr>
          <w:rFonts w:ascii="Calibri" w:eastAsia="Times New Roman" w:hAnsi="Calibri" w:cs="Calibri"/>
          <w:sz w:val="22"/>
          <w:szCs w:val="22"/>
        </w:rPr>
      </w:pPr>
      <w:r w:rsidRPr="002E1A3F">
        <w:rPr>
          <w:rFonts w:ascii="Calibri" w:eastAsia="Times New Roman" w:hAnsi="Calibri" w:cs="Calibri"/>
          <w:b/>
          <w:sz w:val="22"/>
          <w:szCs w:val="22"/>
        </w:rPr>
        <w:t xml:space="preserve">Higher education yields significant benefits for African youth and society as a whole, including: better employment opportunities and job prospects, improved quality of life, and greater economic growth. </w:t>
      </w:r>
      <w:r w:rsidRPr="002E1A3F">
        <w:rPr>
          <w:rFonts w:ascii="Calibri" w:eastAsia="Times New Roman" w:hAnsi="Calibri" w:cs="Calibri"/>
          <w:sz w:val="22"/>
          <w:szCs w:val="22"/>
        </w:rPr>
        <w:t>The contribution of higher education to economic growth is reported to occur via interacting functions including: (i) knowledge production; (ii) knowledge diffusion; and (iii) knowledge transmission. These different functions have a number of goals, to: (i) promote income growth; (ii) promote the creation of new technologies; (iii) to inform leaders; (iv) expand the range of choices; and (v) provide increasingly relevant skills. Studies show that:</w:t>
      </w:r>
      <w:r>
        <w:rPr>
          <w:rFonts w:eastAsia="Times New Roman"/>
          <w:vertAlign w:val="superscript"/>
        </w:rPr>
        <w:footnoteReference w:id="20"/>
      </w:r>
      <w:r w:rsidRPr="002E1A3F">
        <w:rPr>
          <w:rFonts w:ascii="Calibri" w:eastAsia="Times New Roman" w:hAnsi="Calibri" w:cs="Calibri"/>
          <w:sz w:val="22"/>
          <w:szCs w:val="22"/>
        </w:rPr>
        <w:t xml:space="preserve"> </w:t>
      </w:r>
    </w:p>
    <w:p w14:paraId="493CD43A" w14:textId="77777777" w:rsidR="002E1A3F" w:rsidRPr="002E1A3F" w:rsidRDefault="00B00100" w:rsidP="008E2709">
      <w:pPr>
        <w:widowControl/>
        <w:numPr>
          <w:ilvl w:val="0"/>
          <w:numId w:val="24"/>
        </w:numPr>
        <w:tabs>
          <w:tab w:val="left" w:pos="0"/>
          <w:tab w:val="left" w:pos="720"/>
        </w:tabs>
        <w:autoSpaceDE/>
        <w:autoSpaceDN/>
        <w:adjustRightInd/>
        <w:spacing w:after="120"/>
        <w:ind w:right="720"/>
        <w:jc w:val="both"/>
        <w:rPr>
          <w:rFonts w:ascii="Calibri" w:eastAsia="Times New Roman" w:hAnsi="Calibri" w:cs="Calibri"/>
          <w:sz w:val="22"/>
          <w:szCs w:val="22"/>
        </w:rPr>
      </w:pPr>
      <w:r w:rsidRPr="002E1A3F">
        <w:rPr>
          <w:rFonts w:ascii="Calibri" w:eastAsia="Times New Roman" w:hAnsi="Calibri" w:cs="Calibri"/>
          <w:sz w:val="22"/>
          <w:szCs w:val="22"/>
        </w:rPr>
        <w:t xml:space="preserve">A one percent increase in the stock of higher education (the number of people having completed higher education) leads to a 0.35 percent increase in industrial production, and that a one percent increase in the number of engineering or natural sciences graduates leads to a 0.15 percent increase in agricultural production. </w:t>
      </w:r>
    </w:p>
    <w:p w14:paraId="3DA69D5F" w14:textId="77777777" w:rsidR="002E1A3F" w:rsidRPr="002E1A3F" w:rsidRDefault="00B00100" w:rsidP="008E2709">
      <w:pPr>
        <w:widowControl/>
        <w:numPr>
          <w:ilvl w:val="0"/>
          <w:numId w:val="24"/>
        </w:numPr>
        <w:tabs>
          <w:tab w:val="left" w:pos="0"/>
          <w:tab w:val="left" w:pos="720"/>
        </w:tabs>
        <w:autoSpaceDE/>
        <w:autoSpaceDN/>
        <w:adjustRightInd/>
        <w:spacing w:after="120"/>
        <w:ind w:right="720"/>
        <w:jc w:val="both"/>
        <w:rPr>
          <w:rFonts w:ascii="Calibri" w:eastAsia="Times New Roman" w:hAnsi="Calibri" w:cs="Calibri"/>
          <w:sz w:val="22"/>
          <w:szCs w:val="22"/>
        </w:rPr>
      </w:pPr>
      <w:r w:rsidRPr="002E1A3F">
        <w:rPr>
          <w:rFonts w:ascii="Calibri" w:eastAsia="Times New Roman" w:hAnsi="Calibri" w:cs="Calibri"/>
          <w:sz w:val="22"/>
          <w:szCs w:val="22"/>
        </w:rPr>
        <w:t xml:space="preserve">A one-year increase in average higher education levels would raise annual GDP growth in Africa by 0.39 percentage points, and eventually yield up to a 12 percent increase in GDP. </w:t>
      </w:r>
    </w:p>
    <w:p w14:paraId="3BF0195B" w14:textId="77777777" w:rsidR="002E1A3F" w:rsidRPr="002E1A3F" w:rsidRDefault="00B00100">
      <w:pPr>
        <w:spacing w:after="120"/>
        <w:jc w:val="center"/>
        <w:rPr>
          <w:rFonts w:ascii="Calibri" w:eastAsia="Times New Roman" w:hAnsi="Calibri" w:cs="Calibri"/>
          <w:b/>
          <w:i/>
          <w:sz w:val="22"/>
          <w:szCs w:val="22"/>
        </w:rPr>
      </w:pPr>
      <w:r w:rsidRPr="002E1A3F">
        <w:rPr>
          <w:rFonts w:ascii="Calibri" w:eastAsia="Times New Roman" w:hAnsi="Calibri" w:cs="Calibri"/>
          <w:b/>
          <w:sz w:val="22"/>
          <w:szCs w:val="22"/>
        </w:rPr>
        <w:t>Table A7.1.</w:t>
      </w:r>
      <w:r w:rsidRPr="002E1A3F">
        <w:rPr>
          <w:rFonts w:ascii="Calibri" w:eastAsia="Times New Roman" w:hAnsi="Calibri" w:cs="Calibri"/>
          <w:b/>
          <w:i/>
          <w:sz w:val="22"/>
          <w:szCs w:val="22"/>
        </w:rPr>
        <w:t xml:space="preserve"> Enrollment </w:t>
      </w:r>
      <w:r w:rsidR="00014B08">
        <w:rPr>
          <w:rFonts w:ascii="Calibri" w:eastAsia="Times New Roman" w:hAnsi="Calibri" w:cs="Calibri"/>
          <w:b/>
          <w:i/>
          <w:sz w:val="22"/>
          <w:szCs w:val="22"/>
        </w:rPr>
        <w:t>R</w:t>
      </w:r>
      <w:r w:rsidRPr="002E1A3F">
        <w:rPr>
          <w:rFonts w:ascii="Calibri" w:eastAsia="Times New Roman" w:hAnsi="Calibri" w:cs="Calibri"/>
          <w:b/>
          <w:i/>
          <w:sz w:val="22"/>
          <w:szCs w:val="22"/>
        </w:rPr>
        <w:t xml:space="preserve">ates in </w:t>
      </w:r>
      <w:r w:rsidR="00014B08">
        <w:rPr>
          <w:rFonts w:ascii="Calibri" w:eastAsia="Times New Roman" w:hAnsi="Calibri" w:cs="Calibri"/>
          <w:b/>
          <w:i/>
          <w:sz w:val="22"/>
          <w:szCs w:val="22"/>
        </w:rPr>
        <w:t>H</w:t>
      </w:r>
      <w:r w:rsidRPr="002E1A3F">
        <w:rPr>
          <w:rFonts w:ascii="Calibri" w:eastAsia="Times New Roman" w:hAnsi="Calibri" w:cs="Calibri"/>
          <w:b/>
          <w:i/>
          <w:sz w:val="22"/>
          <w:szCs w:val="22"/>
        </w:rPr>
        <w:t xml:space="preserve">igher </w:t>
      </w:r>
      <w:r w:rsidR="00014B08">
        <w:rPr>
          <w:rFonts w:ascii="Calibri" w:eastAsia="Times New Roman" w:hAnsi="Calibri" w:cs="Calibri"/>
          <w:b/>
          <w:i/>
          <w:sz w:val="22"/>
          <w:szCs w:val="22"/>
        </w:rPr>
        <w:t>E</w:t>
      </w:r>
      <w:r w:rsidRPr="002E1A3F">
        <w:rPr>
          <w:rFonts w:ascii="Calibri" w:eastAsia="Times New Roman" w:hAnsi="Calibri" w:cs="Calibri"/>
          <w:b/>
          <w:i/>
          <w:sz w:val="22"/>
          <w:szCs w:val="22"/>
        </w:rPr>
        <w:t xml:space="preserve">ducation </w:t>
      </w:r>
      <w:r w:rsidR="00014B08">
        <w:rPr>
          <w:rFonts w:ascii="Calibri" w:eastAsia="Times New Roman" w:hAnsi="Calibri" w:cs="Calibri"/>
          <w:b/>
          <w:i/>
          <w:sz w:val="22"/>
          <w:szCs w:val="22"/>
        </w:rPr>
        <w:t>A</w:t>
      </w:r>
      <w:r w:rsidRPr="002E1A3F">
        <w:rPr>
          <w:rFonts w:ascii="Calibri" w:eastAsia="Times New Roman" w:hAnsi="Calibri" w:cs="Calibri"/>
          <w:b/>
          <w:i/>
          <w:sz w:val="22"/>
          <w:szCs w:val="22"/>
        </w:rPr>
        <w:t xml:space="preserve">cross the </w:t>
      </w:r>
      <w:r w:rsidR="00014B08">
        <w:rPr>
          <w:rFonts w:ascii="Calibri" w:eastAsia="Times New Roman" w:hAnsi="Calibri" w:cs="Calibri"/>
          <w:b/>
          <w:i/>
          <w:sz w:val="22"/>
          <w:szCs w:val="22"/>
        </w:rPr>
        <w:t>W</w:t>
      </w:r>
      <w:r w:rsidRPr="002E1A3F">
        <w:rPr>
          <w:rFonts w:ascii="Calibri" w:eastAsia="Times New Roman" w:hAnsi="Calibri" w:cs="Calibri"/>
          <w:b/>
          <w:i/>
          <w:sz w:val="22"/>
          <w:szCs w:val="22"/>
        </w:rPr>
        <w:t xml:space="preserve">orld </w:t>
      </w:r>
      <w:r w:rsidR="00014B08">
        <w:rPr>
          <w:rFonts w:ascii="Calibri" w:eastAsia="Times New Roman" w:hAnsi="Calibri" w:cs="Calibri"/>
          <w:b/>
          <w:i/>
          <w:sz w:val="22"/>
          <w:szCs w:val="22"/>
        </w:rPr>
        <w:t>R</w:t>
      </w:r>
      <w:r w:rsidRPr="002E1A3F">
        <w:rPr>
          <w:rFonts w:ascii="Calibri" w:eastAsia="Times New Roman" w:hAnsi="Calibri" w:cs="Calibri"/>
          <w:b/>
          <w:i/>
          <w:sz w:val="22"/>
          <w:szCs w:val="22"/>
        </w:rPr>
        <w:t>egions (2006, 2016)</w:t>
      </w:r>
    </w:p>
    <w:tbl>
      <w:tblPr>
        <w:tblW w:w="7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2195"/>
        <w:gridCol w:w="1830"/>
      </w:tblGrid>
      <w:tr w:rsidR="000C3959" w14:paraId="21F7CFA8" w14:textId="77777777" w:rsidTr="000C46A6">
        <w:trPr>
          <w:trHeight w:val="213"/>
          <w:jc w:val="center"/>
        </w:trPr>
        <w:tc>
          <w:tcPr>
            <w:tcW w:w="3107" w:type="dxa"/>
            <w:noWrap/>
            <w:hideMark/>
          </w:tcPr>
          <w:p w14:paraId="05099BB8" w14:textId="77777777" w:rsidR="002E1A3F" w:rsidRPr="002E1A3F" w:rsidRDefault="00B00100" w:rsidP="00F463C2">
            <w:pPr>
              <w:jc w:val="center"/>
              <w:rPr>
                <w:rFonts w:ascii="Calibri" w:eastAsia="Times New Roman" w:hAnsi="Calibri" w:cs="Calibri"/>
                <w:b/>
                <w:bCs/>
                <w:sz w:val="22"/>
                <w:szCs w:val="22"/>
              </w:rPr>
            </w:pPr>
            <w:r w:rsidRPr="002E1A3F">
              <w:rPr>
                <w:rFonts w:ascii="Calibri" w:eastAsia="Times New Roman" w:hAnsi="Calibri" w:cs="Calibri"/>
                <w:b/>
                <w:bCs/>
                <w:sz w:val="22"/>
                <w:szCs w:val="22"/>
              </w:rPr>
              <w:t>Region</w:t>
            </w:r>
          </w:p>
        </w:tc>
        <w:tc>
          <w:tcPr>
            <w:tcW w:w="2195" w:type="dxa"/>
            <w:noWrap/>
            <w:hideMark/>
          </w:tcPr>
          <w:p w14:paraId="5CA78549" w14:textId="77777777" w:rsidR="002E1A3F" w:rsidRPr="002E1A3F" w:rsidRDefault="00B00100" w:rsidP="00FC1A97">
            <w:pPr>
              <w:jc w:val="center"/>
              <w:rPr>
                <w:rFonts w:ascii="Calibri" w:eastAsia="Times New Roman" w:hAnsi="Calibri" w:cs="Calibri"/>
                <w:b/>
                <w:bCs/>
                <w:sz w:val="22"/>
                <w:szCs w:val="22"/>
              </w:rPr>
            </w:pPr>
            <w:r w:rsidRPr="002E1A3F">
              <w:rPr>
                <w:rFonts w:ascii="Calibri" w:eastAsia="Times New Roman" w:hAnsi="Calibri" w:cs="Calibri"/>
                <w:b/>
                <w:bCs/>
                <w:sz w:val="22"/>
                <w:szCs w:val="22"/>
              </w:rPr>
              <w:t>2006</w:t>
            </w:r>
          </w:p>
        </w:tc>
        <w:tc>
          <w:tcPr>
            <w:tcW w:w="1830" w:type="dxa"/>
            <w:noWrap/>
            <w:hideMark/>
          </w:tcPr>
          <w:p w14:paraId="21B11824" w14:textId="77777777" w:rsidR="002E1A3F" w:rsidRPr="002E1A3F" w:rsidRDefault="00B00100" w:rsidP="003247A0">
            <w:pPr>
              <w:jc w:val="center"/>
              <w:rPr>
                <w:rFonts w:ascii="Calibri" w:eastAsia="Times New Roman" w:hAnsi="Calibri" w:cs="Calibri"/>
                <w:b/>
                <w:bCs/>
                <w:sz w:val="22"/>
                <w:szCs w:val="22"/>
              </w:rPr>
            </w:pPr>
            <w:r w:rsidRPr="002E1A3F">
              <w:rPr>
                <w:rFonts w:ascii="Calibri" w:eastAsia="Times New Roman" w:hAnsi="Calibri" w:cs="Calibri"/>
                <w:b/>
                <w:bCs/>
                <w:sz w:val="22"/>
                <w:szCs w:val="22"/>
              </w:rPr>
              <w:t>2016</w:t>
            </w:r>
          </w:p>
        </w:tc>
      </w:tr>
      <w:tr w:rsidR="000C3959" w14:paraId="69C49C33" w14:textId="77777777" w:rsidTr="000C46A6">
        <w:trPr>
          <w:trHeight w:val="213"/>
          <w:jc w:val="center"/>
        </w:trPr>
        <w:tc>
          <w:tcPr>
            <w:tcW w:w="3107" w:type="dxa"/>
            <w:noWrap/>
            <w:hideMark/>
          </w:tcPr>
          <w:p w14:paraId="3AE62ACF"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Europe and North America</w:t>
            </w:r>
          </w:p>
        </w:tc>
        <w:tc>
          <w:tcPr>
            <w:tcW w:w="2195" w:type="dxa"/>
            <w:noWrap/>
            <w:hideMark/>
          </w:tcPr>
          <w:p w14:paraId="2B052BAE"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69.4</w:t>
            </w:r>
          </w:p>
        </w:tc>
        <w:tc>
          <w:tcPr>
            <w:tcW w:w="1830" w:type="dxa"/>
            <w:noWrap/>
            <w:hideMark/>
          </w:tcPr>
          <w:p w14:paraId="00697BF2"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75.4</w:t>
            </w:r>
          </w:p>
        </w:tc>
      </w:tr>
      <w:tr w:rsidR="000C3959" w14:paraId="26AF632A" w14:textId="77777777" w:rsidTr="000C46A6">
        <w:trPr>
          <w:trHeight w:val="213"/>
          <w:jc w:val="center"/>
        </w:trPr>
        <w:tc>
          <w:tcPr>
            <w:tcW w:w="3107" w:type="dxa"/>
            <w:noWrap/>
            <w:hideMark/>
          </w:tcPr>
          <w:p w14:paraId="36A92D97"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Central and Eastern Europe</w:t>
            </w:r>
          </w:p>
        </w:tc>
        <w:tc>
          <w:tcPr>
            <w:tcW w:w="2195" w:type="dxa"/>
            <w:noWrap/>
            <w:hideMark/>
          </w:tcPr>
          <w:p w14:paraId="1346D2A6"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61.1</w:t>
            </w:r>
          </w:p>
        </w:tc>
        <w:tc>
          <w:tcPr>
            <w:tcW w:w="1830" w:type="dxa"/>
            <w:noWrap/>
            <w:hideMark/>
          </w:tcPr>
          <w:p w14:paraId="1F0BE726"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77.7</w:t>
            </w:r>
          </w:p>
        </w:tc>
      </w:tr>
      <w:tr w:rsidR="000C3959" w14:paraId="3215D278" w14:textId="77777777" w:rsidTr="000C46A6">
        <w:trPr>
          <w:trHeight w:val="213"/>
          <w:jc w:val="center"/>
        </w:trPr>
        <w:tc>
          <w:tcPr>
            <w:tcW w:w="3107" w:type="dxa"/>
            <w:noWrap/>
            <w:hideMark/>
          </w:tcPr>
          <w:p w14:paraId="317C0B3D"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Latin America and the Caribbean</w:t>
            </w:r>
          </w:p>
        </w:tc>
        <w:tc>
          <w:tcPr>
            <w:tcW w:w="2195" w:type="dxa"/>
            <w:noWrap/>
            <w:hideMark/>
          </w:tcPr>
          <w:p w14:paraId="7EC7F9D9"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33.1</w:t>
            </w:r>
          </w:p>
        </w:tc>
        <w:tc>
          <w:tcPr>
            <w:tcW w:w="1830" w:type="dxa"/>
            <w:noWrap/>
            <w:hideMark/>
          </w:tcPr>
          <w:p w14:paraId="58C9001A"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48.4</w:t>
            </w:r>
          </w:p>
        </w:tc>
      </w:tr>
      <w:tr w:rsidR="000C3959" w14:paraId="4A8336C2" w14:textId="77777777" w:rsidTr="000C46A6">
        <w:trPr>
          <w:trHeight w:val="213"/>
          <w:jc w:val="center"/>
        </w:trPr>
        <w:tc>
          <w:tcPr>
            <w:tcW w:w="3107" w:type="dxa"/>
            <w:noWrap/>
            <w:hideMark/>
          </w:tcPr>
          <w:p w14:paraId="0A380416"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Western Asia and Northern Africa</w:t>
            </w:r>
          </w:p>
        </w:tc>
        <w:tc>
          <w:tcPr>
            <w:tcW w:w="2195" w:type="dxa"/>
            <w:noWrap/>
            <w:hideMark/>
          </w:tcPr>
          <w:p w14:paraId="22018634"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25.9</w:t>
            </w:r>
          </w:p>
        </w:tc>
        <w:tc>
          <w:tcPr>
            <w:tcW w:w="1830" w:type="dxa"/>
            <w:noWrap/>
            <w:hideMark/>
          </w:tcPr>
          <w:p w14:paraId="2F8633EF"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42.6</w:t>
            </w:r>
          </w:p>
        </w:tc>
      </w:tr>
      <w:tr w:rsidR="000C3959" w14:paraId="7B647593" w14:textId="77777777" w:rsidTr="000C46A6">
        <w:trPr>
          <w:trHeight w:val="213"/>
          <w:jc w:val="center"/>
        </w:trPr>
        <w:tc>
          <w:tcPr>
            <w:tcW w:w="3107" w:type="dxa"/>
            <w:noWrap/>
            <w:hideMark/>
          </w:tcPr>
          <w:p w14:paraId="26D88FA3"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East Asia and the Pacific</w:t>
            </w:r>
          </w:p>
        </w:tc>
        <w:tc>
          <w:tcPr>
            <w:tcW w:w="2195" w:type="dxa"/>
            <w:noWrap/>
            <w:hideMark/>
          </w:tcPr>
          <w:p w14:paraId="5D0B2DEA"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23.9</w:t>
            </w:r>
          </w:p>
        </w:tc>
        <w:tc>
          <w:tcPr>
            <w:tcW w:w="1830" w:type="dxa"/>
            <w:noWrap/>
            <w:hideMark/>
          </w:tcPr>
          <w:p w14:paraId="10ED51B6"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43.9</w:t>
            </w:r>
          </w:p>
        </w:tc>
      </w:tr>
      <w:tr w:rsidR="000C3959" w14:paraId="2BC84E60" w14:textId="77777777" w:rsidTr="000C46A6">
        <w:trPr>
          <w:trHeight w:val="213"/>
          <w:jc w:val="center"/>
        </w:trPr>
        <w:tc>
          <w:tcPr>
            <w:tcW w:w="3107" w:type="dxa"/>
            <w:noWrap/>
            <w:hideMark/>
          </w:tcPr>
          <w:p w14:paraId="57FF8D06"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Arab States</w:t>
            </w:r>
          </w:p>
        </w:tc>
        <w:tc>
          <w:tcPr>
            <w:tcW w:w="2195" w:type="dxa"/>
            <w:noWrap/>
            <w:hideMark/>
          </w:tcPr>
          <w:p w14:paraId="01D20C81"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22.7</w:t>
            </w:r>
          </w:p>
        </w:tc>
        <w:tc>
          <w:tcPr>
            <w:tcW w:w="1830" w:type="dxa"/>
            <w:noWrap/>
            <w:hideMark/>
          </w:tcPr>
          <w:p w14:paraId="723664DC"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32.0</w:t>
            </w:r>
          </w:p>
        </w:tc>
      </w:tr>
      <w:tr w:rsidR="000C3959" w14:paraId="44D8C038" w14:textId="77777777" w:rsidTr="000C46A6">
        <w:trPr>
          <w:trHeight w:val="213"/>
          <w:jc w:val="center"/>
        </w:trPr>
        <w:tc>
          <w:tcPr>
            <w:tcW w:w="3107" w:type="dxa"/>
            <w:noWrap/>
            <w:hideMark/>
          </w:tcPr>
          <w:p w14:paraId="3E738C6C"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South and West Asia</w:t>
            </w:r>
          </w:p>
        </w:tc>
        <w:tc>
          <w:tcPr>
            <w:tcW w:w="2195" w:type="dxa"/>
            <w:noWrap/>
            <w:hideMark/>
          </w:tcPr>
          <w:p w14:paraId="71DED303" w14:textId="77777777" w:rsidR="002E1A3F" w:rsidRPr="002E1A3F" w:rsidRDefault="00B00100" w:rsidP="00F463C2">
            <w:pPr>
              <w:jc w:val="center"/>
              <w:rPr>
                <w:rFonts w:ascii="Calibri" w:eastAsia="Times New Roman" w:hAnsi="Calibri" w:cs="Calibri"/>
                <w:sz w:val="20"/>
                <w:szCs w:val="20"/>
              </w:rPr>
            </w:pPr>
            <w:r w:rsidRPr="002E1A3F">
              <w:rPr>
                <w:rFonts w:ascii="Calibri" w:eastAsia="Times New Roman" w:hAnsi="Calibri" w:cs="Calibri"/>
                <w:sz w:val="20"/>
                <w:szCs w:val="20"/>
              </w:rPr>
              <w:t>11.1</w:t>
            </w:r>
          </w:p>
        </w:tc>
        <w:tc>
          <w:tcPr>
            <w:tcW w:w="1830" w:type="dxa"/>
            <w:noWrap/>
            <w:hideMark/>
          </w:tcPr>
          <w:p w14:paraId="0C521ABF" w14:textId="77777777" w:rsidR="002E1A3F" w:rsidRPr="002E1A3F" w:rsidRDefault="00B00100" w:rsidP="00FC1A97">
            <w:pPr>
              <w:jc w:val="center"/>
              <w:rPr>
                <w:rFonts w:ascii="Calibri" w:eastAsia="Times New Roman" w:hAnsi="Calibri" w:cs="Calibri"/>
                <w:sz w:val="20"/>
                <w:szCs w:val="20"/>
              </w:rPr>
            </w:pPr>
            <w:r w:rsidRPr="002E1A3F">
              <w:rPr>
                <w:rFonts w:ascii="Calibri" w:eastAsia="Times New Roman" w:hAnsi="Calibri" w:cs="Calibri"/>
                <w:sz w:val="20"/>
                <w:szCs w:val="20"/>
              </w:rPr>
              <w:t>25.0</w:t>
            </w:r>
          </w:p>
        </w:tc>
      </w:tr>
      <w:tr w:rsidR="000C3959" w14:paraId="33ADC93F" w14:textId="77777777" w:rsidTr="000C46A6">
        <w:trPr>
          <w:trHeight w:val="213"/>
          <w:jc w:val="center"/>
        </w:trPr>
        <w:tc>
          <w:tcPr>
            <w:tcW w:w="3107" w:type="dxa"/>
            <w:noWrap/>
            <w:hideMark/>
          </w:tcPr>
          <w:p w14:paraId="4A52EBFA" w14:textId="77777777" w:rsidR="002E1A3F" w:rsidRPr="002E1A3F" w:rsidRDefault="00B00100">
            <w:pPr>
              <w:rPr>
                <w:rFonts w:ascii="Calibri" w:eastAsia="Times New Roman" w:hAnsi="Calibri" w:cs="Calibri"/>
                <w:b/>
                <w:bCs/>
                <w:sz w:val="20"/>
                <w:szCs w:val="20"/>
              </w:rPr>
            </w:pPr>
            <w:r w:rsidRPr="002E1A3F">
              <w:rPr>
                <w:rFonts w:ascii="Calibri" w:eastAsia="Times New Roman" w:hAnsi="Calibri" w:cs="Calibri"/>
                <w:b/>
                <w:bCs/>
                <w:sz w:val="20"/>
                <w:szCs w:val="20"/>
              </w:rPr>
              <w:t xml:space="preserve">  </w:t>
            </w:r>
            <w:r w:rsidR="00741F70">
              <w:rPr>
                <w:rFonts w:ascii="Calibri" w:eastAsia="Times New Roman" w:hAnsi="Calibri" w:cs="Calibri"/>
                <w:b/>
                <w:bCs/>
                <w:sz w:val="20"/>
                <w:szCs w:val="20"/>
              </w:rPr>
              <w:t>SSA</w:t>
            </w:r>
          </w:p>
        </w:tc>
        <w:tc>
          <w:tcPr>
            <w:tcW w:w="2195" w:type="dxa"/>
            <w:noWrap/>
            <w:hideMark/>
          </w:tcPr>
          <w:p w14:paraId="6A33A22C" w14:textId="77777777" w:rsidR="002E1A3F" w:rsidRPr="002E1A3F" w:rsidRDefault="00B00100" w:rsidP="00F463C2">
            <w:pPr>
              <w:jc w:val="center"/>
              <w:rPr>
                <w:rFonts w:ascii="Calibri" w:eastAsia="Times New Roman" w:hAnsi="Calibri" w:cs="Calibri"/>
                <w:b/>
                <w:sz w:val="20"/>
                <w:szCs w:val="20"/>
              </w:rPr>
            </w:pPr>
            <w:r w:rsidRPr="002E1A3F">
              <w:rPr>
                <w:rFonts w:ascii="Calibri" w:eastAsia="Times New Roman" w:hAnsi="Calibri" w:cs="Calibri"/>
                <w:b/>
                <w:sz w:val="20"/>
                <w:szCs w:val="20"/>
              </w:rPr>
              <w:t>6.0</w:t>
            </w:r>
          </w:p>
        </w:tc>
        <w:tc>
          <w:tcPr>
            <w:tcW w:w="1830" w:type="dxa"/>
            <w:noWrap/>
            <w:hideMark/>
          </w:tcPr>
          <w:p w14:paraId="59E14F58" w14:textId="77777777" w:rsidR="002E1A3F" w:rsidRPr="002E1A3F" w:rsidRDefault="00B00100" w:rsidP="00FC1A97">
            <w:pPr>
              <w:jc w:val="center"/>
              <w:rPr>
                <w:rFonts w:ascii="Calibri" w:eastAsia="Times New Roman" w:hAnsi="Calibri" w:cs="Calibri"/>
                <w:b/>
                <w:sz w:val="20"/>
                <w:szCs w:val="20"/>
              </w:rPr>
            </w:pPr>
            <w:r w:rsidRPr="002E1A3F">
              <w:rPr>
                <w:rFonts w:ascii="Calibri" w:eastAsia="Times New Roman" w:hAnsi="Calibri" w:cs="Calibri"/>
                <w:b/>
                <w:sz w:val="20"/>
                <w:szCs w:val="20"/>
              </w:rPr>
              <w:t>8.5</w:t>
            </w:r>
          </w:p>
        </w:tc>
      </w:tr>
    </w:tbl>
    <w:p w14:paraId="2D0E4D68" w14:textId="77777777" w:rsidR="002E1A3F" w:rsidRPr="000C46A6" w:rsidRDefault="00B00100">
      <w:pPr>
        <w:tabs>
          <w:tab w:val="left" w:pos="0"/>
          <w:tab w:val="left" w:pos="720"/>
        </w:tabs>
        <w:spacing w:after="240"/>
        <w:jc w:val="center"/>
        <w:rPr>
          <w:rFonts w:ascii="Calibri" w:eastAsia="Times New Roman" w:hAnsi="Calibri" w:cs="Calibri"/>
          <w:i/>
          <w:sz w:val="22"/>
        </w:rPr>
      </w:pPr>
      <w:r w:rsidRPr="000C46A6">
        <w:rPr>
          <w:rFonts w:ascii="Calibri" w:eastAsia="Times New Roman" w:hAnsi="Calibri" w:cs="Calibri"/>
          <w:i/>
          <w:sz w:val="18"/>
          <w:szCs w:val="20"/>
        </w:rPr>
        <w:t>Source: UNESCO UIS, http://stats.uis.unesco.org retrieved on March 4, 2018.</w:t>
      </w:r>
    </w:p>
    <w:p w14:paraId="18BC4841" w14:textId="77777777" w:rsidR="002E1A3F" w:rsidRPr="002E1A3F" w:rsidRDefault="00B00100" w:rsidP="008E2709">
      <w:pPr>
        <w:widowControl/>
        <w:numPr>
          <w:ilvl w:val="0"/>
          <w:numId w:val="33"/>
        </w:numPr>
        <w:tabs>
          <w:tab w:val="left" w:pos="0"/>
          <w:tab w:val="left" w:pos="720"/>
          <w:tab w:val="left" w:pos="9360"/>
        </w:tabs>
        <w:autoSpaceDE/>
        <w:autoSpaceDN/>
        <w:adjustRightInd/>
        <w:spacing w:after="240"/>
        <w:ind w:right="720"/>
        <w:jc w:val="both"/>
        <w:rPr>
          <w:rFonts w:ascii="Calibri" w:eastAsia="Times New Roman" w:hAnsi="Calibri" w:cs="Calibri"/>
          <w:color w:val="auto"/>
          <w:sz w:val="22"/>
          <w:szCs w:val="22"/>
        </w:rPr>
      </w:pPr>
      <w:r w:rsidRPr="002E1A3F">
        <w:rPr>
          <w:rFonts w:ascii="Calibri" w:eastAsia="Times New Roman" w:hAnsi="Calibri" w:cs="Calibri"/>
          <w:b/>
          <w:color w:val="auto"/>
          <w:sz w:val="22"/>
          <w:szCs w:val="22"/>
        </w:rPr>
        <w:t xml:space="preserve">At 8.5 percent in 2016, enrollment rates in higher education in Africa are the lowest across the world’s regions (see Table A7.1).  </w:t>
      </w:r>
      <w:r w:rsidRPr="002E1A3F">
        <w:rPr>
          <w:rFonts w:ascii="Calibri" w:eastAsia="Times New Roman" w:hAnsi="Calibri" w:cs="Calibri"/>
          <w:color w:val="auto"/>
          <w:sz w:val="22"/>
          <w:szCs w:val="22"/>
        </w:rPr>
        <w:t xml:space="preserve">While African countries have been successful in increasing access and </w:t>
      </w:r>
      <w:r w:rsidRPr="002E1A3F">
        <w:rPr>
          <w:rFonts w:ascii="Calibri" w:eastAsia="Times New Roman" w:hAnsi="Calibri" w:cs="Calibri"/>
          <w:color w:val="auto"/>
          <w:sz w:val="22"/>
          <w:szCs w:val="22"/>
        </w:rPr>
        <w:lastRenderedPageBreak/>
        <w:t>enrollment to primary education in recent years, much more is needed to improve enrollment rates at higher levels of education. Despite all of the efforts to increase access to higher education, enrollment rates in SSA countries did not experience significant growth within the last decade. Enrollment rates in higher education in the region increased by 2.5 percent between 2006 to 2016, while enrollment rates in other regions such as South and West Asia more than doubled (from 11 percent in 2006 to 25 percent in 2016).</w:t>
      </w:r>
    </w:p>
    <w:p w14:paraId="0A2CA54E" w14:textId="77777777" w:rsidR="002E1A3F" w:rsidRPr="002E1A3F" w:rsidRDefault="00B00100" w:rsidP="008E2709">
      <w:pPr>
        <w:widowControl/>
        <w:numPr>
          <w:ilvl w:val="0"/>
          <w:numId w:val="33"/>
        </w:numPr>
        <w:tabs>
          <w:tab w:val="left" w:pos="0"/>
          <w:tab w:val="left" w:pos="720"/>
          <w:tab w:val="left" w:pos="9360"/>
        </w:tabs>
        <w:autoSpaceDE/>
        <w:autoSpaceDN/>
        <w:adjustRightInd/>
        <w:spacing w:after="240"/>
        <w:ind w:right="720"/>
        <w:jc w:val="both"/>
        <w:rPr>
          <w:rFonts w:ascii="Calibri" w:eastAsia="Times New Roman" w:hAnsi="Calibri" w:cs="Calibri"/>
          <w:color w:val="auto"/>
          <w:sz w:val="22"/>
          <w:szCs w:val="22"/>
        </w:rPr>
      </w:pPr>
      <w:r w:rsidRPr="002E1A3F">
        <w:rPr>
          <w:rFonts w:ascii="Calibri" w:eastAsia="Times New Roman" w:hAnsi="Calibri" w:cs="Calibri"/>
          <w:b/>
          <w:color w:val="auto"/>
          <w:sz w:val="22"/>
          <w:szCs w:val="22"/>
        </w:rPr>
        <w:t xml:space="preserve">SSA countries are investing in higher education, but without achieving sufficient returns. </w:t>
      </w:r>
      <w:r w:rsidRPr="002E1A3F">
        <w:rPr>
          <w:rFonts w:ascii="Calibri" w:eastAsia="Times New Roman" w:hAnsi="Calibri" w:cs="Calibri"/>
          <w:color w:val="auto"/>
          <w:sz w:val="22"/>
          <w:szCs w:val="22"/>
        </w:rPr>
        <w:t>Despite significant investments in higher education, the quality of the education delivered in SSA countries tends to be lower than countries in other regions. Figure A7.1, for instance, shows that countries such as Ethiopia, Malawi and Senegal where government expenditure on tertiary education as a percentage of GDP ranges between 1.5 to 2.4 percent, have scores between 1.5 and 4 for the aspect “quality of tertiary education” of the Global Competitiveness Index</w:t>
      </w:r>
      <w:r>
        <w:rPr>
          <w:rFonts w:ascii="Calibri" w:eastAsia="Times New Roman" w:hAnsi="Calibri" w:cs="Calibri"/>
          <w:color w:val="auto"/>
          <w:sz w:val="22"/>
          <w:szCs w:val="22"/>
          <w:vertAlign w:val="superscript"/>
        </w:rPr>
        <w:footnoteReference w:id="21"/>
      </w:r>
      <w:r w:rsidRPr="002E1A3F">
        <w:rPr>
          <w:rFonts w:ascii="Calibri" w:eastAsia="Times New Roman" w:hAnsi="Calibri" w:cs="Calibri"/>
          <w:color w:val="auto"/>
          <w:sz w:val="22"/>
          <w:szCs w:val="22"/>
        </w:rPr>
        <w:t>; while other countries like Jamaica, Lebanon and Estonia have scores higher than 4.4 with lower investment ranging between 0.7 to 1.4 percent.  All</w:t>
      </w:r>
      <w:r w:rsidR="00C056FE">
        <w:rPr>
          <w:rFonts w:ascii="Calibri" w:eastAsia="Times New Roman" w:hAnsi="Calibri" w:cs="Calibri"/>
          <w:color w:val="auto"/>
          <w:sz w:val="22"/>
          <w:szCs w:val="22"/>
        </w:rPr>
        <w:t xml:space="preserve"> of</w:t>
      </w:r>
      <w:r w:rsidRPr="002E1A3F">
        <w:rPr>
          <w:rFonts w:ascii="Calibri" w:eastAsia="Times New Roman" w:hAnsi="Calibri" w:cs="Calibri"/>
          <w:color w:val="auto"/>
          <w:sz w:val="22"/>
          <w:szCs w:val="22"/>
        </w:rPr>
        <w:t xml:space="preserve"> the countries in SSA face resource constraints making it difficult to afford the interventions needed to develop a strong higher education system to compete internationally. Consequently, regional specialization within higher education with a focus on specific regional skills shortages will support growth and competitiveness in SSA. Coordinated regional investments, with country specific specialization, allow the region to develop a broad-based S&amp;T ecosystem covering critical areas where S&amp;T capacity is needed, even in a context of limited faculty and resources. A well-networked and integrated S&amp;T ecosystem can develop advantages associated with economies of scale, with declining unit costs for graduates and knowledge creation. In turn, the improved supply of trained workers in these areas would reduce dependence on expensive expatriate workers and strengthen the continent's development. </w:t>
      </w:r>
    </w:p>
    <w:p w14:paraId="6DCE63F2" w14:textId="77777777" w:rsidR="002E1A3F" w:rsidRPr="002E1A3F" w:rsidRDefault="00B00100">
      <w:pPr>
        <w:keepNext/>
        <w:keepLines/>
        <w:tabs>
          <w:tab w:val="left" w:pos="0"/>
          <w:tab w:val="left" w:pos="720"/>
          <w:tab w:val="left" w:pos="9360"/>
        </w:tabs>
        <w:spacing w:after="120"/>
        <w:jc w:val="center"/>
        <w:rPr>
          <w:rFonts w:ascii="Calibri" w:eastAsia="Times New Roman" w:hAnsi="Calibri" w:cs="Calibri"/>
          <w:sz w:val="22"/>
          <w:szCs w:val="22"/>
        </w:rPr>
      </w:pPr>
      <w:r w:rsidRPr="002E1A3F">
        <w:rPr>
          <w:rFonts w:ascii="Calibri" w:eastAsia="Times New Roman" w:hAnsi="Calibri" w:cs="Calibri"/>
          <w:b/>
          <w:sz w:val="22"/>
          <w:szCs w:val="22"/>
        </w:rPr>
        <w:t xml:space="preserve">Figure A7.1. </w:t>
      </w:r>
      <w:r w:rsidRPr="002E1A3F">
        <w:rPr>
          <w:rFonts w:ascii="Calibri" w:eastAsia="Times New Roman" w:hAnsi="Calibri" w:cs="Calibri"/>
          <w:b/>
          <w:i/>
          <w:sz w:val="22"/>
          <w:szCs w:val="22"/>
        </w:rPr>
        <w:t xml:space="preserve">Government </w:t>
      </w:r>
      <w:r w:rsidR="00014B08">
        <w:rPr>
          <w:rFonts w:ascii="Calibri" w:eastAsia="Times New Roman" w:hAnsi="Calibri" w:cs="Calibri"/>
          <w:b/>
          <w:i/>
          <w:sz w:val="22"/>
          <w:szCs w:val="22"/>
        </w:rPr>
        <w:t>E</w:t>
      </w:r>
      <w:r w:rsidRPr="002E1A3F">
        <w:rPr>
          <w:rFonts w:ascii="Calibri" w:eastAsia="Times New Roman" w:hAnsi="Calibri" w:cs="Calibri"/>
          <w:b/>
          <w:i/>
          <w:sz w:val="22"/>
          <w:szCs w:val="22"/>
        </w:rPr>
        <w:t>xpenditure on Tertiary Education vs. Quality of Tertiary Education</w:t>
      </w:r>
    </w:p>
    <w:p w14:paraId="21DD271D" w14:textId="77777777" w:rsidR="002E1A3F" w:rsidRPr="002E1A3F" w:rsidRDefault="00B00100">
      <w:pPr>
        <w:keepNext/>
        <w:keepLines/>
        <w:tabs>
          <w:tab w:val="left" w:pos="0"/>
          <w:tab w:val="left" w:pos="720"/>
          <w:tab w:val="left" w:pos="9360"/>
        </w:tabs>
        <w:jc w:val="center"/>
        <w:rPr>
          <w:rFonts w:eastAsia="Times New Roman" w:cs="Calibri"/>
          <w:i/>
          <w:sz w:val="20"/>
        </w:rPr>
      </w:pPr>
      <w:r w:rsidRPr="002E1A3F">
        <w:rPr>
          <w:rFonts w:eastAsia="Times New Roman" w:cs="Calibri"/>
          <w:i/>
          <w:noProof/>
          <w:sz w:val="20"/>
        </w:rPr>
        <w:drawing>
          <wp:inline distT="0" distB="0" distL="0" distR="0" wp14:anchorId="7D39CADD" wp14:editId="2D288642">
            <wp:extent cx="4231005" cy="2468880"/>
            <wp:effectExtent l="0" t="0" r="0" b="7620"/>
            <wp:docPr id="32773" name="Picture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3458" name="Picture 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231005" cy="2468880"/>
                    </a:xfrm>
                    <a:prstGeom prst="rect">
                      <a:avLst/>
                    </a:prstGeom>
                    <a:noFill/>
                  </pic:spPr>
                </pic:pic>
              </a:graphicData>
            </a:graphic>
          </wp:inline>
        </w:drawing>
      </w:r>
    </w:p>
    <w:p w14:paraId="3C32421A" w14:textId="77777777" w:rsidR="000D7C36" w:rsidRDefault="00B00100" w:rsidP="00F463C2">
      <w:pPr>
        <w:widowControl/>
        <w:autoSpaceDE/>
        <w:autoSpaceDN/>
        <w:adjustRightInd/>
        <w:rPr>
          <w:rFonts w:ascii="Calibri" w:eastAsia="Calibri" w:hAnsi="Calibri" w:cs="Times New Roman"/>
          <w:color w:val="auto"/>
          <w:sz w:val="18"/>
          <w:szCs w:val="20"/>
        </w:rPr>
      </w:pPr>
      <w:r>
        <w:rPr>
          <w:rFonts w:ascii="Calibri" w:eastAsia="Calibri" w:hAnsi="Calibri" w:cs="Times New Roman"/>
          <w:i/>
          <w:color w:val="auto"/>
          <w:sz w:val="18"/>
          <w:szCs w:val="20"/>
        </w:rPr>
        <w:t xml:space="preserve">                         </w:t>
      </w:r>
      <w:r w:rsidR="004E68F9" w:rsidRPr="000C46A6">
        <w:rPr>
          <w:rFonts w:ascii="Calibri" w:eastAsia="Calibri" w:hAnsi="Calibri" w:cs="Times New Roman"/>
          <w:i/>
          <w:color w:val="auto"/>
          <w:sz w:val="18"/>
          <w:szCs w:val="20"/>
        </w:rPr>
        <w:t>Source</w:t>
      </w:r>
      <w:r w:rsidR="004E68F9" w:rsidRPr="000C46A6">
        <w:rPr>
          <w:rFonts w:ascii="Calibri" w:eastAsia="Calibri" w:hAnsi="Calibri" w:cs="Times New Roman"/>
          <w:color w:val="auto"/>
          <w:sz w:val="18"/>
          <w:szCs w:val="20"/>
        </w:rPr>
        <w:t>: UNESCO UIS, http://stats.uis.unesco.org retrieved on March 13, 2018, WEFORUM GCI,</w:t>
      </w:r>
    </w:p>
    <w:p w14:paraId="6F1EAC9E" w14:textId="77777777" w:rsidR="002E1A3F" w:rsidRPr="002E1A3F" w:rsidRDefault="00B00100" w:rsidP="008E2709">
      <w:pPr>
        <w:widowControl/>
        <w:autoSpaceDE/>
        <w:autoSpaceDN/>
        <w:adjustRightInd/>
        <w:spacing w:after="160"/>
        <w:jc w:val="center"/>
        <w:rPr>
          <w:rFonts w:ascii="Calibri" w:eastAsia="Calibri" w:hAnsi="Calibri" w:cs="Times New Roman"/>
          <w:color w:val="auto"/>
          <w:sz w:val="20"/>
          <w:szCs w:val="20"/>
        </w:rPr>
      </w:pPr>
      <w:r w:rsidRPr="000C46A6">
        <w:rPr>
          <w:rFonts w:ascii="Calibri" w:eastAsia="Calibri" w:hAnsi="Calibri" w:cs="Times New Roman"/>
          <w:color w:val="auto"/>
          <w:sz w:val="18"/>
          <w:szCs w:val="20"/>
        </w:rPr>
        <w:t>http</w:t>
      </w:r>
      <w:r w:rsidRPr="002E1A3F">
        <w:rPr>
          <w:rFonts w:ascii="Calibri" w:eastAsia="Calibri" w:hAnsi="Calibri" w:cs="Times New Roman"/>
          <w:color w:val="auto"/>
          <w:sz w:val="20"/>
          <w:szCs w:val="20"/>
        </w:rPr>
        <w:t>://reports.weforum.org/global-competitiveness-index-2017-2018 retrieved on March 13, 2018</w:t>
      </w:r>
    </w:p>
    <w:p w14:paraId="06D12D0D" w14:textId="77777777" w:rsidR="002E1A3F" w:rsidRPr="000C46A6" w:rsidRDefault="00B00100" w:rsidP="008E2709">
      <w:pPr>
        <w:widowControl/>
        <w:numPr>
          <w:ilvl w:val="0"/>
          <w:numId w:val="33"/>
        </w:numPr>
        <w:tabs>
          <w:tab w:val="left" w:pos="0"/>
          <w:tab w:val="left" w:pos="720"/>
          <w:tab w:val="left" w:pos="9360"/>
        </w:tabs>
        <w:autoSpaceDE/>
        <w:autoSpaceDN/>
        <w:adjustRightInd/>
        <w:spacing w:after="240"/>
        <w:ind w:right="720"/>
        <w:jc w:val="both"/>
        <w:rPr>
          <w:rFonts w:ascii="Calibri" w:eastAsia="Times New Roman" w:hAnsi="Calibri" w:cs="Times New Roman"/>
          <w:b/>
          <w:color w:val="auto"/>
          <w:sz w:val="22"/>
          <w:szCs w:val="22"/>
        </w:rPr>
      </w:pPr>
      <w:bookmarkStart w:id="480" w:name="_Hlk268816"/>
      <w:r w:rsidRPr="002E1A3F">
        <w:rPr>
          <w:rFonts w:ascii="Calibri" w:eastAsia="Times New Roman" w:hAnsi="Calibri" w:cs="Times New Roman"/>
          <w:b/>
          <w:color w:val="auto"/>
          <w:sz w:val="22"/>
          <w:szCs w:val="22"/>
        </w:rPr>
        <w:lastRenderedPageBreak/>
        <w:t xml:space="preserve">By promoting and incentivizing access to higher levels of education for women, the proposed project will help break a vicious cycle of poverty. </w:t>
      </w:r>
      <w:r w:rsidRPr="002E1A3F">
        <w:rPr>
          <w:rFonts w:ascii="Calibri" w:eastAsia="Times New Roman" w:hAnsi="Calibri" w:cs="Times New Roman"/>
          <w:color w:val="auto"/>
          <w:sz w:val="22"/>
          <w:szCs w:val="22"/>
        </w:rPr>
        <w:t>Returns to higher education across the region are, on average, higher for women than for men. The rate of return for an additional year of schooling in higher education is 15.2 percent for men and 16.8 percent for women. Strategies focusing on improving access to high level education for girls are likely to have more impact on growth and human development. Studies show that the level of education of a mother has a strong positive impact on her child’s performance. Moreover, the SSA region has low numbers of female students enrolled in higher education programs. The enrollment of female students in priority sectors relevant for addressing development challenges of the region is even lower. The latest available data for Mali (Table A7.2), for example, show that of female students enrolled in higher education only 16 percent majored in ICT, 9 percent in Engineering, 14 percent in Agriculture and 38 percent in Health. C</w:t>
      </w:r>
      <w:r w:rsidR="00B04A2E">
        <w:rPr>
          <w:rFonts w:ascii="Calibri" w:eastAsia="Times New Roman" w:hAnsi="Calibri" w:cs="Calibri"/>
          <w:color w:val="auto"/>
          <w:sz w:val="22"/>
          <w:szCs w:val="22"/>
        </w:rPr>
        <w:t>ô</w:t>
      </w:r>
      <w:r w:rsidRPr="002E1A3F">
        <w:rPr>
          <w:rFonts w:ascii="Calibri" w:eastAsia="Times New Roman" w:hAnsi="Calibri" w:cs="Times New Roman"/>
          <w:color w:val="auto"/>
          <w:sz w:val="22"/>
          <w:szCs w:val="22"/>
        </w:rPr>
        <w:t>te d’Ivoire has higher numbers than Mali in all four fields. Benin and Ghana have higher numbers in Engineering, Agriculture and Health but similar numbers for ICT. Other emerging economies such as Malaysia have demonstrated much higher female enrollment in all four fields, as has Brazil in ICT and Agriculture.</w:t>
      </w:r>
    </w:p>
    <w:p w14:paraId="21BA04BF" w14:textId="77777777" w:rsidR="002E1A3F" w:rsidRPr="002E1A3F" w:rsidRDefault="00B00100" w:rsidP="002E1A3F">
      <w:pPr>
        <w:keepNext/>
        <w:keepLines/>
        <w:widowControl/>
        <w:autoSpaceDE/>
        <w:autoSpaceDN/>
        <w:adjustRightInd/>
        <w:spacing w:after="120"/>
        <w:ind w:right="450"/>
        <w:jc w:val="center"/>
        <w:rPr>
          <w:rFonts w:ascii="Calibri" w:eastAsia="Times New Roman" w:hAnsi="Calibri" w:cs="Times New Roman"/>
          <w:b/>
          <w:color w:val="auto"/>
          <w:sz w:val="22"/>
          <w:szCs w:val="22"/>
        </w:rPr>
      </w:pPr>
      <w:r w:rsidRPr="002E1A3F">
        <w:rPr>
          <w:rFonts w:ascii="Calibri" w:eastAsia="Times New Roman" w:hAnsi="Calibri" w:cs="Times New Roman"/>
          <w:b/>
          <w:color w:val="auto"/>
          <w:sz w:val="22"/>
          <w:szCs w:val="22"/>
        </w:rPr>
        <w:t xml:space="preserve">Table A7.2. Percentage of Female </w:t>
      </w:r>
      <w:r w:rsidR="00014B08">
        <w:rPr>
          <w:rFonts w:ascii="Calibri" w:eastAsia="Times New Roman" w:hAnsi="Calibri" w:cs="Times New Roman"/>
          <w:b/>
          <w:color w:val="auto"/>
          <w:sz w:val="22"/>
          <w:szCs w:val="22"/>
        </w:rPr>
        <w:t>S</w:t>
      </w:r>
      <w:r w:rsidRPr="002E1A3F">
        <w:rPr>
          <w:rFonts w:ascii="Calibri" w:eastAsia="Times New Roman" w:hAnsi="Calibri" w:cs="Times New Roman"/>
          <w:b/>
          <w:color w:val="auto"/>
          <w:sz w:val="22"/>
          <w:szCs w:val="22"/>
        </w:rPr>
        <w:t xml:space="preserve">tudent </w:t>
      </w:r>
      <w:r w:rsidR="00014B08">
        <w:rPr>
          <w:rFonts w:ascii="Calibri" w:eastAsia="Times New Roman" w:hAnsi="Calibri" w:cs="Times New Roman"/>
          <w:b/>
          <w:color w:val="auto"/>
          <w:sz w:val="22"/>
          <w:szCs w:val="22"/>
        </w:rPr>
        <w:t>E</w:t>
      </w:r>
      <w:r w:rsidRPr="002E1A3F">
        <w:rPr>
          <w:rFonts w:ascii="Calibri" w:eastAsia="Times New Roman" w:hAnsi="Calibri" w:cs="Times New Roman"/>
          <w:b/>
          <w:color w:val="auto"/>
          <w:sz w:val="22"/>
          <w:szCs w:val="22"/>
        </w:rPr>
        <w:t xml:space="preserve">nrollment in </w:t>
      </w:r>
      <w:r w:rsidR="00014B08">
        <w:rPr>
          <w:rFonts w:ascii="Calibri" w:eastAsia="Times New Roman" w:hAnsi="Calibri" w:cs="Times New Roman"/>
          <w:b/>
          <w:color w:val="auto"/>
          <w:sz w:val="22"/>
          <w:szCs w:val="22"/>
        </w:rPr>
        <w:t>H</w:t>
      </w:r>
      <w:r w:rsidRPr="002E1A3F">
        <w:rPr>
          <w:rFonts w:ascii="Calibri" w:eastAsia="Times New Roman" w:hAnsi="Calibri" w:cs="Times New Roman"/>
          <w:b/>
          <w:color w:val="auto"/>
          <w:sz w:val="22"/>
          <w:szCs w:val="22"/>
        </w:rPr>
        <w:t xml:space="preserve">igher </w:t>
      </w:r>
      <w:r w:rsidR="00014B08">
        <w:rPr>
          <w:rFonts w:ascii="Calibri" w:eastAsia="Times New Roman" w:hAnsi="Calibri" w:cs="Times New Roman"/>
          <w:b/>
          <w:color w:val="auto"/>
          <w:sz w:val="22"/>
          <w:szCs w:val="22"/>
        </w:rPr>
        <w:t>E</w:t>
      </w:r>
      <w:r w:rsidRPr="002E1A3F">
        <w:rPr>
          <w:rFonts w:ascii="Calibri" w:eastAsia="Times New Roman" w:hAnsi="Calibri" w:cs="Times New Roman"/>
          <w:b/>
          <w:color w:val="auto"/>
          <w:sz w:val="22"/>
          <w:szCs w:val="22"/>
        </w:rPr>
        <w:t xml:space="preserve">ducation by </w:t>
      </w:r>
      <w:r w:rsidR="00014B08">
        <w:rPr>
          <w:rFonts w:ascii="Calibri" w:eastAsia="Times New Roman" w:hAnsi="Calibri" w:cs="Times New Roman"/>
          <w:b/>
          <w:color w:val="auto"/>
          <w:sz w:val="22"/>
          <w:szCs w:val="22"/>
        </w:rPr>
        <w:t>F</w:t>
      </w:r>
      <w:r w:rsidRPr="002E1A3F">
        <w:rPr>
          <w:rFonts w:ascii="Calibri" w:eastAsia="Times New Roman" w:hAnsi="Calibri" w:cs="Times New Roman"/>
          <w:b/>
          <w:color w:val="auto"/>
          <w:sz w:val="22"/>
          <w:szCs w:val="22"/>
        </w:rPr>
        <w:t xml:space="preserve">ield of </w:t>
      </w:r>
      <w:r w:rsidR="00014B08">
        <w:rPr>
          <w:rFonts w:ascii="Calibri" w:eastAsia="Times New Roman" w:hAnsi="Calibri" w:cs="Times New Roman"/>
          <w:b/>
          <w:color w:val="auto"/>
          <w:sz w:val="22"/>
          <w:szCs w:val="22"/>
        </w:rPr>
        <w:t>S</w:t>
      </w:r>
      <w:r w:rsidRPr="002E1A3F">
        <w:rPr>
          <w:rFonts w:ascii="Calibri" w:eastAsia="Times New Roman" w:hAnsi="Calibri" w:cs="Times New Roman"/>
          <w:b/>
          <w:color w:val="auto"/>
          <w:sz w:val="22"/>
          <w:szCs w:val="22"/>
        </w:rPr>
        <w:t>tudy (%), 2015</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1065"/>
        <w:gridCol w:w="1070"/>
        <w:gridCol w:w="1510"/>
        <w:gridCol w:w="981"/>
        <w:gridCol w:w="1170"/>
        <w:gridCol w:w="720"/>
      </w:tblGrid>
      <w:tr w:rsidR="000C3959" w14:paraId="52F15B97" w14:textId="77777777" w:rsidTr="000C46A6">
        <w:trPr>
          <w:trHeight w:val="313"/>
        </w:trPr>
        <w:tc>
          <w:tcPr>
            <w:tcW w:w="2839" w:type="dxa"/>
            <w:hideMark/>
          </w:tcPr>
          <w:p w14:paraId="7854CFA0"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 xml:space="preserve">Field of Study </w:t>
            </w:r>
          </w:p>
        </w:tc>
        <w:tc>
          <w:tcPr>
            <w:tcW w:w="1065" w:type="dxa"/>
          </w:tcPr>
          <w:p w14:paraId="68AE2ED3" w14:textId="77777777" w:rsidR="002E1A3F" w:rsidRPr="000C46A6" w:rsidRDefault="00B00100" w:rsidP="006677BC">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Mali</w:t>
            </w:r>
          </w:p>
        </w:tc>
        <w:tc>
          <w:tcPr>
            <w:tcW w:w="1070" w:type="dxa"/>
            <w:hideMark/>
          </w:tcPr>
          <w:p w14:paraId="7D473EAC"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Benin</w:t>
            </w:r>
          </w:p>
        </w:tc>
        <w:tc>
          <w:tcPr>
            <w:tcW w:w="1510" w:type="dxa"/>
            <w:hideMark/>
          </w:tcPr>
          <w:p w14:paraId="313C4D83"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Côte d'Ivoire</w:t>
            </w:r>
          </w:p>
        </w:tc>
        <w:tc>
          <w:tcPr>
            <w:tcW w:w="981" w:type="dxa"/>
            <w:hideMark/>
          </w:tcPr>
          <w:p w14:paraId="71766C55"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Ghana</w:t>
            </w:r>
          </w:p>
        </w:tc>
        <w:tc>
          <w:tcPr>
            <w:tcW w:w="1170" w:type="dxa"/>
            <w:hideMark/>
          </w:tcPr>
          <w:p w14:paraId="6726FF99"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Brazil</w:t>
            </w:r>
          </w:p>
        </w:tc>
        <w:tc>
          <w:tcPr>
            <w:tcW w:w="720" w:type="dxa"/>
            <w:hideMark/>
          </w:tcPr>
          <w:p w14:paraId="5E288133"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Malaysia</w:t>
            </w:r>
          </w:p>
        </w:tc>
      </w:tr>
      <w:tr w:rsidR="000C3959" w14:paraId="0EDEE717" w14:textId="77777777" w:rsidTr="000C46A6">
        <w:trPr>
          <w:trHeight w:val="331"/>
        </w:trPr>
        <w:tc>
          <w:tcPr>
            <w:tcW w:w="2839" w:type="dxa"/>
            <w:tcBorders>
              <w:top w:val="single" w:sz="4" w:space="0" w:color="auto"/>
              <w:left w:val="single" w:sz="4" w:space="0" w:color="auto"/>
              <w:bottom w:val="single" w:sz="4" w:space="0" w:color="auto"/>
              <w:right w:val="single" w:sz="4" w:space="0" w:color="auto"/>
            </w:tcBorders>
            <w:vAlign w:val="bottom"/>
            <w:hideMark/>
          </w:tcPr>
          <w:p w14:paraId="1053966F"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Education</w:t>
            </w:r>
          </w:p>
        </w:tc>
        <w:tc>
          <w:tcPr>
            <w:tcW w:w="1065" w:type="dxa"/>
            <w:tcBorders>
              <w:top w:val="single" w:sz="4" w:space="0" w:color="auto"/>
              <w:left w:val="single" w:sz="4" w:space="0" w:color="auto"/>
              <w:bottom w:val="single" w:sz="4" w:space="0" w:color="auto"/>
              <w:right w:val="single" w:sz="4" w:space="0" w:color="auto"/>
            </w:tcBorders>
            <w:vAlign w:val="center"/>
          </w:tcPr>
          <w:p w14:paraId="71BEED59"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38</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44A4650B"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26</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71C53E9F"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41</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37003B9E"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FBFEEE"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20</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46FC4D5"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72</w:t>
            </w:r>
          </w:p>
        </w:tc>
      </w:tr>
      <w:tr w:rsidR="000C3959" w14:paraId="5C75344E" w14:textId="77777777" w:rsidTr="000C46A6">
        <w:trPr>
          <w:trHeight w:val="178"/>
        </w:trPr>
        <w:tc>
          <w:tcPr>
            <w:tcW w:w="2839" w:type="dxa"/>
            <w:tcBorders>
              <w:top w:val="single" w:sz="4" w:space="0" w:color="auto"/>
              <w:left w:val="single" w:sz="4" w:space="0" w:color="auto"/>
              <w:bottom w:val="single" w:sz="4" w:space="0" w:color="auto"/>
              <w:right w:val="single" w:sz="4" w:space="0" w:color="auto"/>
            </w:tcBorders>
            <w:hideMark/>
          </w:tcPr>
          <w:p w14:paraId="18540A51"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Arts and Humanities</w:t>
            </w:r>
          </w:p>
        </w:tc>
        <w:tc>
          <w:tcPr>
            <w:tcW w:w="1065" w:type="dxa"/>
            <w:tcBorders>
              <w:top w:val="single" w:sz="4" w:space="0" w:color="auto"/>
              <w:left w:val="single" w:sz="4" w:space="0" w:color="auto"/>
              <w:bottom w:val="single" w:sz="4" w:space="0" w:color="auto"/>
              <w:right w:val="single" w:sz="4" w:space="0" w:color="auto"/>
            </w:tcBorders>
            <w:vAlign w:val="center"/>
          </w:tcPr>
          <w:p w14:paraId="6B1C784D"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22</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E4008A0"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25</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3997B645"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35</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0C384E3C"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71E0D1D"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6EA1005"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58</w:t>
            </w:r>
          </w:p>
        </w:tc>
      </w:tr>
      <w:tr w:rsidR="000C3959" w14:paraId="7610D706" w14:textId="77777777" w:rsidTr="000C46A6">
        <w:trPr>
          <w:trHeight w:val="79"/>
        </w:trPr>
        <w:tc>
          <w:tcPr>
            <w:tcW w:w="2839" w:type="dxa"/>
            <w:tcBorders>
              <w:top w:val="single" w:sz="4" w:space="0" w:color="auto"/>
              <w:left w:val="single" w:sz="4" w:space="0" w:color="auto"/>
              <w:bottom w:val="single" w:sz="4" w:space="0" w:color="auto"/>
              <w:right w:val="single" w:sz="4" w:space="0" w:color="auto"/>
            </w:tcBorders>
            <w:hideMark/>
          </w:tcPr>
          <w:p w14:paraId="17647FC9"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Social Science</w:t>
            </w:r>
          </w:p>
        </w:tc>
        <w:tc>
          <w:tcPr>
            <w:tcW w:w="1065" w:type="dxa"/>
            <w:tcBorders>
              <w:top w:val="single" w:sz="4" w:space="0" w:color="auto"/>
              <w:left w:val="single" w:sz="4" w:space="0" w:color="auto"/>
              <w:bottom w:val="single" w:sz="4" w:space="0" w:color="auto"/>
              <w:right w:val="single" w:sz="4" w:space="0" w:color="auto"/>
            </w:tcBorders>
            <w:vAlign w:val="center"/>
          </w:tcPr>
          <w:p w14:paraId="058707A2"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26</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283C7B83"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26</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335B2A2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34</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4B6C1026"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BB46BAF"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92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393BEF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59</w:t>
            </w:r>
          </w:p>
        </w:tc>
      </w:tr>
      <w:tr w:rsidR="000C3959" w14:paraId="3D0EAB0B" w14:textId="77777777" w:rsidTr="000C46A6">
        <w:trPr>
          <w:trHeight w:val="259"/>
        </w:trPr>
        <w:tc>
          <w:tcPr>
            <w:tcW w:w="2839" w:type="dxa"/>
            <w:tcBorders>
              <w:top w:val="single" w:sz="4" w:space="0" w:color="auto"/>
              <w:left w:val="single" w:sz="4" w:space="0" w:color="auto"/>
              <w:bottom w:val="single" w:sz="4" w:space="0" w:color="auto"/>
              <w:right w:val="single" w:sz="4" w:space="0" w:color="auto"/>
            </w:tcBorders>
            <w:hideMark/>
          </w:tcPr>
          <w:p w14:paraId="7F15F936"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Business, Administration and Law</w:t>
            </w:r>
          </w:p>
        </w:tc>
        <w:tc>
          <w:tcPr>
            <w:tcW w:w="1065" w:type="dxa"/>
            <w:tcBorders>
              <w:top w:val="single" w:sz="4" w:space="0" w:color="auto"/>
              <w:left w:val="single" w:sz="4" w:space="0" w:color="auto"/>
              <w:bottom w:val="single" w:sz="4" w:space="0" w:color="auto"/>
              <w:right w:val="single" w:sz="4" w:space="0" w:color="auto"/>
            </w:tcBorders>
            <w:vAlign w:val="center"/>
          </w:tcPr>
          <w:p w14:paraId="09068C86"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35</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B49A68D"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40</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3387601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53</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6B7D34C7"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5EB6DF"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59A5729"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63</w:t>
            </w:r>
          </w:p>
        </w:tc>
      </w:tr>
      <w:tr w:rsidR="000C3959" w14:paraId="05AC25FD" w14:textId="77777777" w:rsidTr="000C46A6">
        <w:trPr>
          <w:trHeight w:val="53"/>
        </w:trPr>
        <w:tc>
          <w:tcPr>
            <w:tcW w:w="2839" w:type="dxa"/>
            <w:tcBorders>
              <w:top w:val="single" w:sz="4" w:space="0" w:color="auto"/>
              <w:left w:val="single" w:sz="4" w:space="0" w:color="auto"/>
              <w:bottom w:val="single" w:sz="4" w:space="0" w:color="auto"/>
              <w:right w:val="single" w:sz="4" w:space="0" w:color="auto"/>
            </w:tcBorders>
            <w:hideMark/>
          </w:tcPr>
          <w:p w14:paraId="76C4953E"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Natural Science &amp; Mathematics</w:t>
            </w:r>
          </w:p>
        </w:tc>
        <w:tc>
          <w:tcPr>
            <w:tcW w:w="1065" w:type="dxa"/>
            <w:tcBorders>
              <w:top w:val="single" w:sz="4" w:space="0" w:color="auto"/>
              <w:left w:val="single" w:sz="4" w:space="0" w:color="auto"/>
              <w:bottom w:val="single" w:sz="4" w:space="0" w:color="auto"/>
              <w:right w:val="single" w:sz="4" w:space="0" w:color="auto"/>
            </w:tcBorders>
            <w:vAlign w:val="center"/>
          </w:tcPr>
          <w:p w14:paraId="6E9E59F7"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15</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4BEE4F0B" w14:textId="77777777" w:rsidR="002E1A3F" w:rsidRPr="000C46A6" w:rsidRDefault="00B00100" w:rsidP="00920A5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17</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105B2BA5" w14:textId="77777777" w:rsidR="002E1A3F" w:rsidRPr="000C46A6" w:rsidRDefault="00B00100" w:rsidP="008E2709">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18</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4A619D5" w14:textId="77777777" w:rsidR="002E1A3F" w:rsidRPr="000C46A6" w:rsidRDefault="00B00100" w:rsidP="00920A5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27</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39BF65"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970565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53</w:t>
            </w:r>
          </w:p>
        </w:tc>
      </w:tr>
      <w:tr w:rsidR="000C3959" w14:paraId="20F27B9C" w14:textId="77777777" w:rsidTr="000C46A6">
        <w:trPr>
          <w:trHeight w:val="259"/>
        </w:trPr>
        <w:tc>
          <w:tcPr>
            <w:tcW w:w="2839" w:type="dxa"/>
            <w:hideMark/>
          </w:tcPr>
          <w:p w14:paraId="383A161B"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Information Communication Technologies</w:t>
            </w:r>
          </w:p>
        </w:tc>
        <w:tc>
          <w:tcPr>
            <w:tcW w:w="1065" w:type="dxa"/>
            <w:vAlign w:val="center"/>
          </w:tcPr>
          <w:p w14:paraId="276ED051" w14:textId="77777777" w:rsidR="002E1A3F" w:rsidRPr="000C46A6" w:rsidRDefault="00B00100" w:rsidP="006677BC">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16</w:t>
            </w:r>
          </w:p>
        </w:tc>
        <w:tc>
          <w:tcPr>
            <w:tcW w:w="1070" w:type="dxa"/>
            <w:noWrap/>
            <w:vAlign w:val="center"/>
            <w:hideMark/>
          </w:tcPr>
          <w:p w14:paraId="613A8A57"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16</w:t>
            </w:r>
          </w:p>
        </w:tc>
        <w:tc>
          <w:tcPr>
            <w:tcW w:w="1510" w:type="dxa"/>
            <w:noWrap/>
            <w:vAlign w:val="center"/>
            <w:hideMark/>
          </w:tcPr>
          <w:p w14:paraId="1DDA206C"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24</w:t>
            </w:r>
          </w:p>
        </w:tc>
        <w:tc>
          <w:tcPr>
            <w:tcW w:w="981" w:type="dxa"/>
            <w:noWrap/>
            <w:vAlign w:val="center"/>
            <w:hideMark/>
          </w:tcPr>
          <w:p w14:paraId="541A8987"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14</w:t>
            </w:r>
          </w:p>
        </w:tc>
        <w:tc>
          <w:tcPr>
            <w:tcW w:w="1170" w:type="dxa"/>
            <w:noWrap/>
            <w:vAlign w:val="center"/>
            <w:hideMark/>
          </w:tcPr>
          <w:p w14:paraId="191AE606"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63</w:t>
            </w:r>
          </w:p>
        </w:tc>
        <w:tc>
          <w:tcPr>
            <w:tcW w:w="720" w:type="dxa"/>
            <w:noWrap/>
            <w:vAlign w:val="center"/>
            <w:hideMark/>
          </w:tcPr>
          <w:p w14:paraId="37F72FD3"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45</w:t>
            </w:r>
          </w:p>
        </w:tc>
      </w:tr>
      <w:tr w:rsidR="000C3959" w14:paraId="60268186" w14:textId="77777777" w:rsidTr="000C46A6">
        <w:trPr>
          <w:trHeight w:val="451"/>
        </w:trPr>
        <w:tc>
          <w:tcPr>
            <w:tcW w:w="2839" w:type="dxa"/>
            <w:hideMark/>
          </w:tcPr>
          <w:p w14:paraId="117CCDDE"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Engineering, Manufacturing and Construction</w:t>
            </w:r>
          </w:p>
        </w:tc>
        <w:tc>
          <w:tcPr>
            <w:tcW w:w="1065" w:type="dxa"/>
            <w:vAlign w:val="center"/>
          </w:tcPr>
          <w:p w14:paraId="7BF267FB" w14:textId="77777777" w:rsidR="002E1A3F" w:rsidRPr="000C46A6" w:rsidRDefault="00B00100" w:rsidP="006677BC">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9</w:t>
            </w:r>
          </w:p>
        </w:tc>
        <w:tc>
          <w:tcPr>
            <w:tcW w:w="1070" w:type="dxa"/>
            <w:noWrap/>
            <w:vAlign w:val="center"/>
            <w:hideMark/>
          </w:tcPr>
          <w:p w14:paraId="1D8BFA14"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14</w:t>
            </w:r>
          </w:p>
        </w:tc>
        <w:tc>
          <w:tcPr>
            <w:tcW w:w="1510" w:type="dxa"/>
            <w:noWrap/>
            <w:vAlign w:val="center"/>
            <w:hideMark/>
          </w:tcPr>
          <w:p w14:paraId="1E058857"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19</w:t>
            </w:r>
          </w:p>
        </w:tc>
        <w:tc>
          <w:tcPr>
            <w:tcW w:w="981" w:type="dxa"/>
            <w:noWrap/>
            <w:vAlign w:val="center"/>
            <w:hideMark/>
          </w:tcPr>
          <w:p w14:paraId="554C387D"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13</w:t>
            </w:r>
          </w:p>
        </w:tc>
        <w:tc>
          <w:tcPr>
            <w:tcW w:w="1170" w:type="dxa"/>
            <w:noWrap/>
            <w:vAlign w:val="center"/>
            <w:hideMark/>
          </w:tcPr>
          <w:p w14:paraId="681FE6CE"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12</w:t>
            </w:r>
          </w:p>
        </w:tc>
        <w:tc>
          <w:tcPr>
            <w:tcW w:w="720" w:type="dxa"/>
            <w:noWrap/>
            <w:vAlign w:val="center"/>
            <w:hideMark/>
          </w:tcPr>
          <w:p w14:paraId="2AE64D0C"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35</w:t>
            </w:r>
          </w:p>
        </w:tc>
      </w:tr>
      <w:tr w:rsidR="000C3959" w14:paraId="52AF738F" w14:textId="77777777" w:rsidTr="000C46A6">
        <w:trPr>
          <w:trHeight w:val="53"/>
        </w:trPr>
        <w:tc>
          <w:tcPr>
            <w:tcW w:w="2839" w:type="dxa"/>
            <w:tcBorders>
              <w:top w:val="single" w:sz="4" w:space="0" w:color="auto"/>
              <w:left w:val="single" w:sz="4" w:space="0" w:color="auto"/>
              <w:bottom w:val="single" w:sz="4" w:space="0" w:color="auto"/>
              <w:right w:val="single" w:sz="4" w:space="0" w:color="auto"/>
            </w:tcBorders>
            <w:hideMark/>
          </w:tcPr>
          <w:p w14:paraId="4043EC6A"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Agriculture</w:t>
            </w:r>
          </w:p>
        </w:tc>
        <w:tc>
          <w:tcPr>
            <w:tcW w:w="1065" w:type="dxa"/>
            <w:tcBorders>
              <w:top w:val="single" w:sz="4" w:space="0" w:color="auto"/>
              <w:left w:val="single" w:sz="4" w:space="0" w:color="auto"/>
              <w:bottom w:val="single" w:sz="4" w:space="0" w:color="auto"/>
              <w:right w:val="single" w:sz="4" w:space="0" w:color="auto"/>
            </w:tcBorders>
            <w:vAlign w:val="center"/>
          </w:tcPr>
          <w:p w14:paraId="08D16638" w14:textId="77777777" w:rsidR="002E1A3F" w:rsidRPr="000C46A6" w:rsidRDefault="00B00100" w:rsidP="006677BC">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14</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44B1F4D"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23</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30FCA637"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25</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67814C44"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23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657C70F"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88</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07C7C0A"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46</w:t>
            </w:r>
          </w:p>
        </w:tc>
      </w:tr>
      <w:tr w:rsidR="000C3959" w14:paraId="3E416F84" w14:textId="77777777" w:rsidTr="000C46A6">
        <w:trPr>
          <w:trHeight w:val="53"/>
        </w:trPr>
        <w:tc>
          <w:tcPr>
            <w:tcW w:w="2839" w:type="dxa"/>
            <w:tcBorders>
              <w:top w:val="single" w:sz="4" w:space="0" w:color="auto"/>
              <w:left w:val="single" w:sz="4" w:space="0" w:color="auto"/>
              <w:bottom w:val="single" w:sz="4" w:space="0" w:color="auto"/>
              <w:right w:val="single" w:sz="4" w:space="0" w:color="auto"/>
            </w:tcBorders>
            <w:hideMark/>
          </w:tcPr>
          <w:p w14:paraId="2FF10C51"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Health and Welfare</w:t>
            </w:r>
          </w:p>
        </w:tc>
        <w:tc>
          <w:tcPr>
            <w:tcW w:w="1065" w:type="dxa"/>
            <w:tcBorders>
              <w:top w:val="single" w:sz="4" w:space="0" w:color="auto"/>
              <w:left w:val="single" w:sz="4" w:space="0" w:color="auto"/>
              <w:bottom w:val="single" w:sz="4" w:space="0" w:color="auto"/>
              <w:right w:val="single" w:sz="4" w:space="0" w:color="auto"/>
            </w:tcBorders>
            <w:vAlign w:val="center"/>
          </w:tcPr>
          <w:p w14:paraId="4D725152" w14:textId="77777777" w:rsidR="002E1A3F" w:rsidRPr="000C46A6" w:rsidRDefault="00B00100" w:rsidP="006677BC">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38</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5A6A516" w14:textId="77777777" w:rsidR="002E1A3F" w:rsidRPr="000C46A6" w:rsidRDefault="00B00100" w:rsidP="0091522B">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42</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5517FEDA"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43</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498E470" w14:textId="77777777" w:rsidR="002E1A3F" w:rsidRPr="000C46A6" w:rsidRDefault="00B00100">
            <w:pPr>
              <w:keepNext/>
              <w:keepLines/>
              <w:widowControl/>
              <w:autoSpaceDE/>
              <w:autoSpaceDN/>
              <w:adjustRightInd/>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58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8805E1A"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31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FA6D4DF" w14:textId="77777777" w:rsidR="002E1A3F" w:rsidRPr="000C46A6" w:rsidRDefault="00B00100">
            <w:pPr>
              <w:keepNext/>
              <w:keepLines/>
              <w:widowControl/>
              <w:autoSpaceDE/>
              <w:autoSpaceDN/>
              <w:adjustRightInd/>
              <w:jc w:val="center"/>
              <w:rPr>
                <w:rFonts w:ascii="Calibri" w:eastAsia="Times New Roman" w:hAnsi="Calibri" w:cs="Calibri"/>
                <w:b/>
                <w:color w:val="auto"/>
                <w:sz w:val="20"/>
                <w:szCs w:val="22"/>
              </w:rPr>
            </w:pPr>
            <w:r w:rsidRPr="000C46A6">
              <w:rPr>
                <w:rFonts w:ascii="Calibri" w:eastAsia="Times New Roman" w:hAnsi="Calibri" w:cs="Calibri"/>
                <w:b/>
                <w:color w:val="auto"/>
                <w:sz w:val="20"/>
                <w:szCs w:val="22"/>
              </w:rPr>
              <w:t>70</w:t>
            </w:r>
          </w:p>
        </w:tc>
      </w:tr>
      <w:tr w:rsidR="000C3959" w14:paraId="5B76E7F1" w14:textId="77777777" w:rsidTr="000C46A6">
        <w:trPr>
          <w:trHeight w:val="53"/>
        </w:trPr>
        <w:tc>
          <w:tcPr>
            <w:tcW w:w="2839" w:type="dxa"/>
            <w:tcBorders>
              <w:top w:val="single" w:sz="4" w:space="0" w:color="auto"/>
              <w:left w:val="single" w:sz="4" w:space="0" w:color="auto"/>
              <w:bottom w:val="single" w:sz="4" w:space="0" w:color="auto"/>
              <w:right w:val="single" w:sz="4" w:space="0" w:color="auto"/>
            </w:tcBorders>
            <w:hideMark/>
          </w:tcPr>
          <w:p w14:paraId="6F5FE235"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Services</w:t>
            </w:r>
          </w:p>
        </w:tc>
        <w:tc>
          <w:tcPr>
            <w:tcW w:w="1065" w:type="dxa"/>
            <w:tcBorders>
              <w:top w:val="single" w:sz="4" w:space="0" w:color="auto"/>
              <w:left w:val="single" w:sz="4" w:space="0" w:color="auto"/>
              <w:bottom w:val="single" w:sz="4" w:space="0" w:color="auto"/>
              <w:right w:val="single" w:sz="4" w:space="0" w:color="auto"/>
            </w:tcBorders>
            <w:vAlign w:val="center"/>
          </w:tcPr>
          <w:p w14:paraId="4C76017E"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11</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6240A86" w14:textId="77777777" w:rsidR="002E1A3F" w:rsidRPr="000C46A6" w:rsidRDefault="00B00100" w:rsidP="0091522B">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25</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0FB4A906"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44</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20C505B3"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178788C"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26</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5B5688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52</w:t>
            </w:r>
          </w:p>
        </w:tc>
      </w:tr>
      <w:tr w:rsidR="000C3959" w14:paraId="251AF575" w14:textId="77777777" w:rsidTr="000C46A6">
        <w:trPr>
          <w:trHeight w:val="97"/>
        </w:trPr>
        <w:tc>
          <w:tcPr>
            <w:tcW w:w="2839" w:type="dxa"/>
            <w:tcBorders>
              <w:top w:val="single" w:sz="4" w:space="0" w:color="auto"/>
              <w:left w:val="single" w:sz="4" w:space="0" w:color="auto"/>
              <w:bottom w:val="single" w:sz="4" w:space="0" w:color="auto"/>
              <w:right w:val="single" w:sz="4" w:space="0" w:color="auto"/>
            </w:tcBorders>
            <w:hideMark/>
          </w:tcPr>
          <w:p w14:paraId="7BACE289"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Unspecified fields</w:t>
            </w:r>
          </w:p>
        </w:tc>
        <w:tc>
          <w:tcPr>
            <w:tcW w:w="1065" w:type="dxa"/>
            <w:tcBorders>
              <w:top w:val="single" w:sz="4" w:space="0" w:color="auto"/>
              <w:left w:val="single" w:sz="4" w:space="0" w:color="auto"/>
              <w:bottom w:val="single" w:sz="4" w:space="0" w:color="auto"/>
              <w:right w:val="single" w:sz="4" w:space="0" w:color="auto"/>
            </w:tcBorders>
            <w:vAlign w:val="center"/>
          </w:tcPr>
          <w:p w14:paraId="327BA7BE"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29</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4CDEF52C" w14:textId="77777777" w:rsidR="002E1A3F" w:rsidRPr="000C46A6" w:rsidRDefault="00B00100" w:rsidP="0091522B">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32</w:t>
            </w:r>
          </w:p>
        </w:tc>
        <w:tc>
          <w:tcPr>
            <w:tcW w:w="1510" w:type="dxa"/>
            <w:tcBorders>
              <w:top w:val="single" w:sz="4" w:space="0" w:color="auto"/>
              <w:left w:val="single" w:sz="4" w:space="0" w:color="auto"/>
              <w:bottom w:val="single" w:sz="4" w:space="0" w:color="auto"/>
              <w:right w:val="single" w:sz="4" w:space="0" w:color="auto"/>
            </w:tcBorders>
            <w:noWrap/>
            <w:vAlign w:val="center"/>
            <w:hideMark/>
          </w:tcPr>
          <w:p w14:paraId="207067F6"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40</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3510D14"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55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76F8166"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99</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BC3E451"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44</w:t>
            </w:r>
          </w:p>
        </w:tc>
      </w:tr>
      <w:tr w:rsidR="000C3959" w14:paraId="6E82AA63" w14:textId="77777777" w:rsidTr="000C46A6">
        <w:trPr>
          <w:trHeight w:val="223"/>
        </w:trPr>
        <w:tc>
          <w:tcPr>
            <w:tcW w:w="2839" w:type="dxa"/>
            <w:hideMark/>
          </w:tcPr>
          <w:p w14:paraId="16475110" w14:textId="77777777" w:rsidR="002E1A3F" w:rsidRPr="000C46A6" w:rsidRDefault="00B00100" w:rsidP="000C46A6">
            <w:pPr>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Total Female Enrolled in TE (number)</w:t>
            </w:r>
          </w:p>
        </w:tc>
        <w:tc>
          <w:tcPr>
            <w:tcW w:w="1065" w:type="dxa"/>
            <w:vAlign w:val="center"/>
          </w:tcPr>
          <w:p w14:paraId="48FD9832" w14:textId="77777777" w:rsidR="002E1A3F" w:rsidRPr="000C46A6" w:rsidRDefault="00B00100" w:rsidP="006677BC">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24 246</w:t>
            </w:r>
          </w:p>
        </w:tc>
        <w:tc>
          <w:tcPr>
            <w:tcW w:w="1070" w:type="dxa"/>
            <w:noWrap/>
            <w:vAlign w:val="center"/>
            <w:hideMark/>
          </w:tcPr>
          <w:p w14:paraId="43C497A5" w14:textId="77777777" w:rsidR="002E1A3F" w:rsidRPr="000C46A6" w:rsidRDefault="00B00100" w:rsidP="0091522B">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37,215</w:t>
            </w:r>
          </w:p>
        </w:tc>
        <w:tc>
          <w:tcPr>
            <w:tcW w:w="1510" w:type="dxa"/>
            <w:noWrap/>
            <w:vAlign w:val="center"/>
            <w:hideMark/>
          </w:tcPr>
          <w:p w14:paraId="67FA7AD7"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75,933</w:t>
            </w:r>
          </w:p>
        </w:tc>
        <w:tc>
          <w:tcPr>
            <w:tcW w:w="981" w:type="dxa"/>
            <w:noWrap/>
            <w:vAlign w:val="center"/>
            <w:hideMark/>
          </w:tcPr>
          <w:p w14:paraId="0F478B83"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167,141</w:t>
            </w:r>
          </w:p>
        </w:tc>
        <w:tc>
          <w:tcPr>
            <w:tcW w:w="1170" w:type="dxa"/>
            <w:noWrap/>
            <w:vAlign w:val="center"/>
            <w:hideMark/>
          </w:tcPr>
          <w:p w14:paraId="46BFC84D"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4,727,593</w:t>
            </w:r>
          </w:p>
        </w:tc>
        <w:tc>
          <w:tcPr>
            <w:tcW w:w="720" w:type="dxa"/>
            <w:noWrap/>
            <w:vAlign w:val="center"/>
            <w:hideMark/>
          </w:tcPr>
          <w:p w14:paraId="46741627" w14:textId="77777777" w:rsidR="002E1A3F" w:rsidRPr="000C46A6" w:rsidRDefault="00B00100">
            <w:pPr>
              <w:keepNext/>
              <w:keepLines/>
              <w:widowControl/>
              <w:autoSpaceDE/>
              <w:autoSpaceDN/>
              <w:adjustRightInd/>
              <w:jc w:val="center"/>
              <w:rPr>
                <w:rFonts w:ascii="Calibri" w:eastAsia="Times New Roman" w:hAnsi="Calibri" w:cs="Times New Roman"/>
                <w:color w:val="auto"/>
                <w:sz w:val="20"/>
                <w:szCs w:val="22"/>
              </w:rPr>
            </w:pPr>
            <w:r w:rsidRPr="000C46A6">
              <w:rPr>
                <w:rFonts w:ascii="Calibri" w:eastAsia="Times New Roman" w:hAnsi="Calibri" w:cs="Times New Roman"/>
                <w:color w:val="auto"/>
                <w:sz w:val="20"/>
                <w:szCs w:val="22"/>
              </w:rPr>
              <w:t>718,227</w:t>
            </w:r>
          </w:p>
        </w:tc>
      </w:tr>
    </w:tbl>
    <w:p w14:paraId="25CF781A" w14:textId="77777777" w:rsidR="002E1A3F" w:rsidRPr="000C46A6" w:rsidRDefault="00B00100" w:rsidP="002E1A3F">
      <w:pPr>
        <w:widowControl/>
        <w:autoSpaceDE/>
        <w:autoSpaceDN/>
        <w:adjustRightInd/>
        <w:spacing w:after="160" w:line="259" w:lineRule="auto"/>
        <w:rPr>
          <w:rFonts w:ascii="Calibri" w:eastAsia="Calibri" w:hAnsi="Calibri" w:cs="Times New Roman"/>
          <w:i/>
          <w:color w:val="auto"/>
          <w:sz w:val="18"/>
          <w:szCs w:val="20"/>
        </w:rPr>
      </w:pPr>
      <w:r w:rsidRPr="000C46A6">
        <w:rPr>
          <w:rFonts w:ascii="Calibri" w:eastAsia="Calibri" w:hAnsi="Calibri" w:cs="Times New Roman"/>
          <w:i/>
          <w:color w:val="auto"/>
          <w:sz w:val="18"/>
          <w:szCs w:val="20"/>
        </w:rPr>
        <w:t xml:space="preserve">Source: </w:t>
      </w:r>
      <w:r w:rsidRPr="000C46A6">
        <w:rPr>
          <w:rFonts w:ascii="Calibri" w:eastAsia="Calibri" w:hAnsi="Calibri" w:cs="Times New Roman"/>
          <w:color w:val="auto"/>
          <w:sz w:val="18"/>
          <w:szCs w:val="20"/>
        </w:rPr>
        <w:t>UNESCO UIS, http://stats.uis.unesco.org retrieved on March 7, 2018.</w:t>
      </w:r>
    </w:p>
    <w:bookmarkEnd w:id="480"/>
    <w:p w14:paraId="233F32B9" w14:textId="77777777" w:rsidR="002E1A3F" w:rsidRPr="002E1A3F" w:rsidRDefault="00B00100" w:rsidP="008E2709">
      <w:pPr>
        <w:widowControl/>
        <w:tabs>
          <w:tab w:val="left" w:pos="0"/>
          <w:tab w:val="left" w:pos="720"/>
        </w:tabs>
        <w:autoSpaceDE/>
        <w:autoSpaceDN/>
        <w:adjustRightInd/>
        <w:spacing w:line="259" w:lineRule="auto"/>
        <w:jc w:val="both"/>
        <w:rPr>
          <w:rFonts w:ascii="Calibri" w:eastAsia="Times New Roman" w:hAnsi="Calibri" w:cs="Times New Roman"/>
          <w:b/>
          <w:i/>
          <w:color w:val="0070C0"/>
          <w:sz w:val="22"/>
          <w:szCs w:val="22"/>
        </w:rPr>
      </w:pPr>
      <w:r w:rsidRPr="002E1A3F">
        <w:rPr>
          <w:rFonts w:ascii="Calibri" w:eastAsia="Times New Roman" w:hAnsi="Calibri" w:cs="Times New Roman"/>
          <w:b/>
          <w:i/>
          <w:color w:val="0070C0"/>
          <w:sz w:val="22"/>
          <w:szCs w:val="22"/>
        </w:rPr>
        <w:t>Proposed Second ACE Impact Project</w:t>
      </w:r>
    </w:p>
    <w:p w14:paraId="4A899C4D" w14:textId="77777777" w:rsidR="002E1A3F" w:rsidRPr="008E2709" w:rsidRDefault="00B00100" w:rsidP="00B45038">
      <w:pPr>
        <w:widowControl/>
        <w:numPr>
          <w:ilvl w:val="0"/>
          <w:numId w:val="33"/>
        </w:numPr>
        <w:tabs>
          <w:tab w:val="left" w:pos="0"/>
          <w:tab w:val="left" w:pos="720"/>
          <w:tab w:val="left" w:pos="9360"/>
        </w:tabs>
        <w:autoSpaceDE/>
        <w:autoSpaceDN/>
        <w:adjustRightInd/>
        <w:spacing w:line="259" w:lineRule="auto"/>
        <w:ind w:right="720"/>
        <w:jc w:val="both"/>
        <w:rPr>
          <w:rFonts w:ascii="Calibri" w:eastAsia="Times New Roman" w:hAnsi="Calibri" w:cs="Times New Roman"/>
          <w:b/>
          <w:color w:val="auto"/>
          <w:sz w:val="22"/>
          <w:szCs w:val="22"/>
        </w:rPr>
      </w:pPr>
      <w:r w:rsidRPr="002E1A3F">
        <w:rPr>
          <w:rFonts w:ascii="Calibri" w:eastAsia="Times New Roman" w:hAnsi="Calibri" w:cs="Times New Roman"/>
          <w:b/>
          <w:color w:val="auto"/>
          <w:sz w:val="22"/>
          <w:szCs w:val="22"/>
        </w:rPr>
        <w:t xml:space="preserve">The empirical results on the returns to higher education from the </w:t>
      </w:r>
      <w:r w:rsidR="00BB4A89">
        <w:rPr>
          <w:rFonts w:ascii="Calibri" w:eastAsia="Times New Roman" w:hAnsi="Calibri" w:cs="Times New Roman"/>
          <w:b/>
          <w:color w:val="auto"/>
          <w:sz w:val="22"/>
          <w:szCs w:val="22"/>
        </w:rPr>
        <w:t>ACE I Project</w:t>
      </w:r>
      <w:r w:rsidRPr="002E1A3F">
        <w:rPr>
          <w:rFonts w:ascii="Calibri" w:eastAsia="Times New Roman" w:hAnsi="Calibri" w:cs="Times New Roman"/>
          <w:b/>
          <w:color w:val="auto"/>
          <w:sz w:val="22"/>
          <w:szCs w:val="22"/>
        </w:rPr>
        <w:t xml:space="preserve"> indicate that obtaining a higher education degree is associated with higher earnings</w:t>
      </w:r>
      <w:r>
        <w:rPr>
          <w:rFonts w:ascii="Calibri" w:eastAsia="Times New Roman" w:hAnsi="Calibri" w:cs="Times New Roman"/>
          <w:b/>
          <w:color w:val="auto"/>
          <w:sz w:val="22"/>
          <w:szCs w:val="22"/>
          <w:vertAlign w:val="superscript"/>
        </w:rPr>
        <w:footnoteReference w:id="22"/>
      </w:r>
      <w:r w:rsidRPr="002E1A3F">
        <w:rPr>
          <w:rFonts w:ascii="Calibri" w:eastAsia="Times New Roman" w:hAnsi="Calibri" w:cs="Times New Roman"/>
          <w:b/>
          <w:color w:val="auto"/>
          <w:sz w:val="22"/>
          <w:szCs w:val="22"/>
        </w:rPr>
        <w:t xml:space="preserve"> (returns are 2.4 percent for Burkina Faso, 30 percent for Cameroon, 30 percent for Ghana, and 15 percent for Nigeria). </w:t>
      </w:r>
      <w:r w:rsidRPr="002E1A3F">
        <w:rPr>
          <w:rFonts w:ascii="Calibri" w:eastAsia="Times New Roman" w:hAnsi="Calibri" w:cs="Times New Roman"/>
          <w:color w:val="auto"/>
          <w:sz w:val="22"/>
          <w:szCs w:val="22"/>
        </w:rPr>
        <w:t xml:space="preserve">The cost-benefit analysis of the main project </w:t>
      </w:r>
      <w:r w:rsidR="000E53FF">
        <w:rPr>
          <w:rFonts w:ascii="Calibri" w:eastAsia="Times New Roman" w:hAnsi="Calibri" w:cs="Times New Roman"/>
          <w:color w:val="auto"/>
          <w:sz w:val="22"/>
          <w:szCs w:val="22"/>
        </w:rPr>
        <w:t>C</w:t>
      </w:r>
      <w:r w:rsidRPr="002E1A3F">
        <w:rPr>
          <w:rFonts w:ascii="Calibri" w:eastAsia="Times New Roman" w:hAnsi="Calibri" w:cs="Times New Roman"/>
          <w:color w:val="auto"/>
          <w:sz w:val="22"/>
          <w:szCs w:val="22"/>
        </w:rPr>
        <w:t xml:space="preserve">omponent- Component 1 is associated with an IRR of 3 percent in </w:t>
      </w:r>
      <w:r w:rsidRPr="002E1A3F">
        <w:rPr>
          <w:rFonts w:ascii="Calibri" w:eastAsia="Times New Roman" w:hAnsi="Calibri" w:cs="Times New Roman"/>
          <w:color w:val="auto"/>
          <w:sz w:val="22"/>
          <w:szCs w:val="22"/>
        </w:rPr>
        <w:lastRenderedPageBreak/>
        <w:t>Burkina-Faso, 30 percent in Cameroon, 28 percent in Ghana, and 15 percent in Nigeria. Globally, private returns to higher education (14.6 percent) are higher than the returns to primary education (11.5 percent). The average private return on higher education in SSA is 21 percent, which is the highest compared to other regions, due in large part to the much lower percentage of higher education graduates in SSA. Returns to higher education are on average 21.8 percent in Senegal (2011), and 28.7 percent in Ghana (2012</w:t>
      </w:r>
      <w:r w:rsidRPr="008E11E8">
        <w:rPr>
          <w:rFonts w:ascii="Calibri" w:eastAsia="Times New Roman" w:hAnsi="Calibri" w:cs="Times New Roman"/>
          <w:color w:val="auto"/>
          <w:sz w:val="22"/>
          <w:szCs w:val="22"/>
        </w:rPr>
        <w:t>)</w:t>
      </w:r>
      <w:r w:rsidRPr="008E2709">
        <w:rPr>
          <w:rFonts w:ascii="Calibri" w:eastAsia="Times New Roman" w:hAnsi="Calibri" w:cs="Times New Roman"/>
          <w:color w:val="auto"/>
          <w:spacing w:val="-1"/>
          <w:sz w:val="22"/>
          <w:szCs w:val="22"/>
        </w:rPr>
        <w:t>.</w:t>
      </w:r>
    </w:p>
    <w:p w14:paraId="1C3E1F8D" w14:textId="77777777" w:rsidR="008E11E8" w:rsidRPr="002E1A3F" w:rsidRDefault="008E11E8" w:rsidP="00916DEC">
      <w:pPr>
        <w:widowControl/>
        <w:tabs>
          <w:tab w:val="left" w:pos="0"/>
          <w:tab w:val="left" w:pos="720"/>
          <w:tab w:val="left" w:pos="9360"/>
        </w:tabs>
        <w:autoSpaceDE/>
        <w:autoSpaceDN/>
        <w:adjustRightInd/>
        <w:spacing w:line="259" w:lineRule="auto"/>
        <w:ind w:right="720"/>
        <w:jc w:val="both"/>
        <w:rPr>
          <w:rFonts w:ascii="Calibri" w:eastAsia="Times New Roman" w:hAnsi="Calibri" w:cs="Times New Roman"/>
          <w:b/>
          <w:color w:val="auto"/>
          <w:sz w:val="22"/>
          <w:szCs w:val="22"/>
        </w:rPr>
      </w:pPr>
    </w:p>
    <w:p w14:paraId="164D1514" w14:textId="77777777" w:rsidR="002E1A3F" w:rsidRPr="008E2709" w:rsidRDefault="00B00100" w:rsidP="00916DEC">
      <w:pPr>
        <w:widowControl/>
        <w:numPr>
          <w:ilvl w:val="0"/>
          <w:numId w:val="33"/>
        </w:numPr>
        <w:tabs>
          <w:tab w:val="left" w:pos="0"/>
          <w:tab w:val="left" w:pos="720"/>
          <w:tab w:val="left" w:pos="9360"/>
        </w:tabs>
        <w:autoSpaceDE/>
        <w:autoSpaceDN/>
        <w:adjustRightInd/>
        <w:spacing w:line="259" w:lineRule="auto"/>
        <w:ind w:right="720"/>
        <w:jc w:val="both"/>
        <w:rPr>
          <w:rFonts w:ascii="Calibri" w:eastAsia="Times New Roman" w:hAnsi="Calibri" w:cs="Calibri"/>
          <w:b/>
          <w:color w:val="auto"/>
          <w:sz w:val="22"/>
          <w:szCs w:val="22"/>
        </w:rPr>
      </w:pPr>
      <w:r w:rsidRPr="002E1A3F">
        <w:rPr>
          <w:rFonts w:ascii="Calibri" w:eastAsia="Times New Roman" w:hAnsi="Calibri" w:cs="Calibri"/>
          <w:b/>
          <w:color w:val="auto"/>
          <w:sz w:val="22"/>
          <w:szCs w:val="22"/>
        </w:rPr>
        <w:t xml:space="preserve">Regional mobility of students, peer-to-peer learning, and faculty exchanges can alleviate the lack of adequate educational opportunities in the region and minimize brain-drain. </w:t>
      </w:r>
      <w:r w:rsidRPr="002E1A3F">
        <w:rPr>
          <w:rFonts w:ascii="Calibri" w:eastAsia="Times New Roman" w:hAnsi="Calibri" w:cs="Calibri"/>
          <w:color w:val="auto"/>
          <w:sz w:val="22"/>
          <w:szCs w:val="22"/>
        </w:rPr>
        <w:t xml:space="preserve">Leading drivers of student mobility include access to education, the quality of education, employment prospects, and the desire for qualifications with worldwide recognition. A lack of adequate educational opportunities in the home country and the appeal of better opportunities abroad are some of the factors that influence cross-border mobility. The </w:t>
      </w:r>
      <w:r w:rsidR="00BB4A89">
        <w:rPr>
          <w:rFonts w:ascii="Calibri" w:eastAsia="Times New Roman" w:hAnsi="Calibri" w:cs="Calibri"/>
          <w:color w:val="auto"/>
          <w:sz w:val="22"/>
          <w:szCs w:val="22"/>
        </w:rPr>
        <w:t>ACE I Project</w:t>
      </w:r>
      <w:r w:rsidRPr="002E1A3F">
        <w:rPr>
          <w:rFonts w:ascii="Calibri" w:eastAsia="Times New Roman" w:hAnsi="Calibri" w:cs="Calibri"/>
          <w:color w:val="auto"/>
          <w:sz w:val="22"/>
          <w:szCs w:val="22"/>
        </w:rPr>
        <w:t xml:space="preserve"> demonstrates strong progress and results toward achievement of project targets in terms of regional mobility of students (see Figure A7.2). These results show that more than 4,000 regional students have been enrolled across the region in ACEs outside their home countries since the project started in 2014. </w:t>
      </w:r>
    </w:p>
    <w:p w14:paraId="262E643A" w14:textId="77777777" w:rsidR="008E11E8" w:rsidRPr="002E1A3F" w:rsidRDefault="008E11E8" w:rsidP="008E2709">
      <w:pPr>
        <w:widowControl/>
        <w:tabs>
          <w:tab w:val="left" w:pos="0"/>
          <w:tab w:val="left" w:pos="720"/>
          <w:tab w:val="left" w:pos="9360"/>
        </w:tabs>
        <w:autoSpaceDE/>
        <w:autoSpaceDN/>
        <w:adjustRightInd/>
        <w:spacing w:line="259" w:lineRule="auto"/>
        <w:ind w:right="720"/>
        <w:jc w:val="both"/>
        <w:rPr>
          <w:rFonts w:ascii="Calibri" w:eastAsia="Times New Roman" w:hAnsi="Calibri" w:cs="Calibri"/>
          <w:b/>
          <w:color w:val="auto"/>
          <w:sz w:val="22"/>
          <w:szCs w:val="22"/>
        </w:rPr>
      </w:pPr>
    </w:p>
    <w:p w14:paraId="5CC7D53E" w14:textId="77777777" w:rsidR="002E1A3F" w:rsidRPr="002E1A3F" w:rsidRDefault="00B00100" w:rsidP="008E2709">
      <w:pPr>
        <w:tabs>
          <w:tab w:val="left" w:pos="0"/>
          <w:tab w:val="left" w:pos="720"/>
        </w:tabs>
        <w:jc w:val="center"/>
        <w:rPr>
          <w:rFonts w:ascii="Calibri" w:eastAsia="Times New Roman" w:hAnsi="Calibri" w:cs="Calibri"/>
          <w:sz w:val="22"/>
          <w:szCs w:val="22"/>
        </w:rPr>
      </w:pPr>
      <w:r w:rsidRPr="002E1A3F">
        <w:rPr>
          <w:rFonts w:ascii="Calibri" w:eastAsia="Times New Roman" w:hAnsi="Calibri" w:cs="Calibri"/>
          <w:b/>
          <w:sz w:val="22"/>
          <w:szCs w:val="22"/>
        </w:rPr>
        <w:t xml:space="preserve">Figure A7.2. </w:t>
      </w:r>
      <w:r w:rsidRPr="002E1A3F">
        <w:rPr>
          <w:rFonts w:ascii="Calibri" w:eastAsia="Times New Roman" w:hAnsi="Calibri" w:cs="Calibri"/>
          <w:b/>
          <w:i/>
          <w:sz w:val="22"/>
          <w:szCs w:val="22"/>
        </w:rPr>
        <w:t xml:space="preserve">Total </w:t>
      </w:r>
      <w:r w:rsidR="00014B08">
        <w:rPr>
          <w:rFonts w:ascii="Calibri" w:eastAsia="Times New Roman" w:hAnsi="Calibri" w:cs="Calibri"/>
          <w:b/>
          <w:i/>
          <w:sz w:val="22"/>
          <w:szCs w:val="22"/>
        </w:rPr>
        <w:t>N</w:t>
      </w:r>
      <w:r w:rsidRPr="002E1A3F">
        <w:rPr>
          <w:rFonts w:ascii="Calibri" w:eastAsia="Times New Roman" w:hAnsi="Calibri" w:cs="Calibri"/>
          <w:b/>
          <w:i/>
          <w:sz w:val="22"/>
          <w:szCs w:val="22"/>
        </w:rPr>
        <w:t xml:space="preserve">umber of </w:t>
      </w:r>
      <w:r w:rsidR="00014B08">
        <w:rPr>
          <w:rFonts w:ascii="Calibri" w:eastAsia="Times New Roman" w:hAnsi="Calibri" w:cs="Calibri"/>
          <w:b/>
          <w:i/>
          <w:sz w:val="22"/>
          <w:szCs w:val="22"/>
        </w:rPr>
        <w:t>R</w:t>
      </w:r>
      <w:r w:rsidRPr="002E1A3F">
        <w:rPr>
          <w:rFonts w:ascii="Calibri" w:eastAsia="Times New Roman" w:hAnsi="Calibri" w:cs="Calibri"/>
          <w:b/>
          <w:i/>
          <w:sz w:val="22"/>
          <w:szCs w:val="22"/>
        </w:rPr>
        <w:t xml:space="preserve">egional </w:t>
      </w:r>
      <w:r w:rsidR="00014B08">
        <w:rPr>
          <w:rFonts w:ascii="Calibri" w:eastAsia="Times New Roman" w:hAnsi="Calibri" w:cs="Calibri"/>
          <w:b/>
          <w:i/>
          <w:sz w:val="22"/>
          <w:szCs w:val="22"/>
        </w:rPr>
        <w:t>S</w:t>
      </w:r>
      <w:r w:rsidRPr="002E1A3F">
        <w:rPr>
          <w:rFonts w:ascii="Calibri" w:eastAsia="Times New Roman" w:hAnsi="Calibri" w:cs="Calibri"/>
          <w:b/>
          <w:i/>
          <w:sz w:val="22"/>
          <w:szCs w:val="22"/>
        </w:rPr>
        <w:t xml:space="preserve">tudents </w:t>
      </w:r>
      <w:r w:rsidR="00014B08">
        <w:rPr>
          <w:rFonts w:ascii="Calibri" w:eastAsia="Times New Roman" w:hAnsi="Calibri" w:cs="Calibri"/>
          <w:b/>
          <w:i/>
          <w:sz w:val="22"/>
          <w:szCs w:val="22"/>
        </w:rPr>
        <w:t>E</w:t>
      </w:r>
      <w:r w:rsidRPr="002E1A3F">
        <w:rPr>
          <w:rFonts w:ascii="Calibri" w:eastAsia="Times New Roman" w:hAnsi="Calibri" w:cs="Calibri"/>
          <w:b/>
          <w:i/>
          <w:sz w:val="22"/>
          <w:szCs w:val="22"/>
        </w:rPr>
        <w:t>nrolled in ACEs</w:t>
      </w:r>
    </w:p>
    <w:p w14:paraId="794C92FF" w14:textId="77777777" w:rsidR="002E1A3F" w:rsidRPr="002E1A3F" w:rsidRDefault="00B00100" w:rsidP="008E2709">
      <w:pPr>
        <w:tabs>
          <w:tab w:val="left" w:pos="0"/>
          <w:tab w:val="left" w:pos="720"/>
        </w:tabs>
        <w:jc w:val="center"/>
        <w:rPr>
          <w:rFonts w:eastAsia="Times New Roman" w:cs="Calibri"/>
          <w:b/>
        </w:rPr>
      </w:pPr>
      <w:r w:rsidRPr="002E1A3F">
        <w:rPr>
          <w:rFonts w:eastAsia="Times New Roman"/>
          <w:noProof/>
        </w:rPr>
        <w:drawing>
          <wp:inline distT="0" distB="0" distL="0" distR="0" wp14:anchorId="06B36321" wp14:editId="2AEE919A">
            <wp:extent cx="3929605" cy="2517208"/>
            <wp:effectExtent l="0" t="0" r="0" b="0"/>
            <wp:docPr id="38644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4977" name=""/>
                    <pic:cNvPicPr/>
                  </pic:nvPicPr>
                  <pic:blipFill>
                    <a:blip r:embed="rId57"/>
                    <a:stretch>
                      <a:fillRect/>
                    </a:stretch>
                  </pic:blipFill>
                  <pic:spPr>
                    <a:xfrm>
                      <a:off x="0" y="0"/>
                      <a:ext cx="3943795" cy="2526298"/>
                    </a:xfrm>
                    <a:prstGeom prst="rect">
                      <a:avLst/>
                    </a:prstGeom>
                  </pic:spPr>
                </pic:pic>
              </a:graphicData>
            </a:graphic>
          </wp:inline>
        </w:drawing>
      </w:r>
    </w:p>
    <w:p w14:paraId="09B03AEC" w14:textId="77777777" w:rsidR="002E1A3F" w:rsidRDefault="00B00100" w:rsidP="00FC1A97">
      <w:pPr>
        <w:widowControl/>
        <w:tabs>
          <w:tab w:val="left" w:pos="0"/>
          <w:tab w:val="left" w:pos="720"/>
        </w:tabs>
        <w:autoSpaceDE/>
        <w:autoSpaceDN/>
        <w:adjustRightInd/>
        <w:rPr>
          <w:rFonts w:ascii="Calibri" w:eastAsia="Times New Roman" w:hAnsi="Calibri" w:cs="Times New Roman"/>
          <w:i/>
          <w:color w:val="auto"/>
          <w:sz w:val="18"/>
          <w:szCs w:val="20"/>
        </w:rPr>
      </w:pPr>
      <w:r w:rsidRPr="000C46A6">
        <w:rPr>
          <w:rFonts w:ascii="Calibri" w:eastAsia="Times New Roman" w:hAnsi="Calibri" w:cs="Times New Roman"/>
          <w:i/>
          <w:color w:val="auto"/>
          <w:sz w:val="18"/>
          <w:szCs w:val="20"/>
        </w:rPr>
        <w:t>Source: World Bank   calculations using data on ACE I results from The World Bank ACE Team, 2017.</w:t>
      </w:r>
    </w:p>
    <w:p w14:paraId="48D133FE" w14:textId="77777777" w:rsidR="008E11E8" w:rsidRPr="000C46A6" w:rsidRDefault="008E11E8" w:rsidP="008E2709">
      <w:pPr>
        <w:widowControl/>
        <w:tabs>
          <w:tab w:val="left" w:pos="0"/>
          <w:tab w:val="left" w:pos="720"/>
        </w:tabs>
        <w:autoSpaceDE/>
        <w:autoSpaceDN/>
        <w:adjustRightInd/>
        <w:rPr>
          <w:rFonts w:ascii="Calibri" w:eastAsia="Times New Roman" w:hAnsi="Calibri" w:cs="Times New Roman"/>
          <w:i/>
          <w:color w:val="auto"/>
          <w:sz w:val="18"/>
          <w:szCs w:val="20"/>
        </w:rPr>
      </w:pPr>
    </w:p>
    <w:p w14:paraId="1CC48353" w14:textId="77777777" w:rsidR="002E1A3F" w:rsidRDefault="00B00100" w:rsidP="00475182">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bookmarkStart w:id="481" w:name="_Hlk1554496"/>
      <w:r w:rsidRPr="002E1A3F">
        <w:rPr>
          <w:rFonts w:ascii="Calibri" w:eastAsia="Times New Roman" w:hAnsi="Calibri" w:cs="Calibri"/>
          <w:b/>
          <w:color w:val="auto"/>
          <w:sz w:val="22"/>
          <w:szCs w:val="22"/>
        </w:rPr>
        <w:t xml:space="preserve">The project is expected to increase productivity in priority economic sectors. </w:t>
      </w:r>
      <w:r w:rsidRPr="002E1A3F">
        <w:rPr>
          <w:rFonts w:ascii="Calibri" w:eastAsia="Times New Roman" w:hAnsi="Calibri" w:cs="Calibri"/>
          <w:color w:val="auto"/>
          <w:sz w:val="22"/>
          <w:szCs w:val="22"/>
        </w:rPr>
        <w:t xml:space="preserve">In most SSA countries, upgrading faculty qualifications is a cost-effective way to improve the quality and relevance of higher education. The project will support a range of faculty improvement activities, including faculty training (innovative pedagogy), faculty exchange/outreach programs and benchmarking. A supply of well-qualified faculty is critical for improving the quality of programs offered, and ultimately the quality of graduates produced and research output. The </w:t>
      </w:r>
      <w:r w:rsidR="00BB4A89">
        <w:rPr>
          <w:rFonts w:ascii="Calibri" w:eastAsia="Times New Roman" w:hAnsi="Calibri" w:cs="Calibri"/>
          <w:color w:val="auto"/>
          <w:sz w:val="22"/>
          <w:szCs w:val="22"/>
        </w:rPr>
        <w:t>ACE I Project</w:t>
      </w:r>
      <w:r w:rsidRPr="002E1A3F">
        <w:rPr>
          <w:rFonts w:ascii="Calibri" w:eastAsia="Times New Roman" w:hAnsi="Calibri" w:cs="Calibri"/>
          <w:color w:val="auto"/>
          <w:sz w:val="22"/>
          <w:szCs w:val="22"/>
        </w:rPr>
        <w:t xml:space="preserve"> demonstrates significant progress in the improvement of the quality of programs with 139 education programs accredited through the project, compared to only one program accredited at the beginning in 2014. </w:t>
      </w:r>
      <w:bookmarkEnd w:id="481"/>
    </w:p>
    <w:p w14:paraId="39EEB7C8" w14:textId="40EE672C" w:rsidR="002E1A3F" w:rsidRDefault="00B00100" w:rsidP="008E2709">
      <w:pPr>
        <w:keepNext/>
        <w:keepLines/>
        <w:tabs>
          <w:tab w:val="left" w:pos="0"/>
          <w:tab w:val="left" w:pos="720"/>
        </w:tabs>
        <w:jc w:val="center"/>
        <w:rPr>
          <w:rFonts w:ascii="Calibri" w:eastAsia="Times New Roman" w:hAnsi="Calibri" w:cs="Calibri"/>
          <w:b/>
          <w:i/>
          <w:sz w:val="22"/>
          <w:szCs w:val="22"/>
        </w:rPr>
      </w:pPr>
      <w:r w:rsidRPr="002E1A3F">
        <w:rPr>
          <w:rFonts w:ascii="Calibri" w:eastAsia="Times New Roman" w:hAnsi="Calibri" w:cs="Calibri"/>
          <w:b/>
          <w:sz w:val="22"/>
          <w:szCs w:val="22"/>
        </w:rPr>
        <w:lastRenderedPageBreak/>
        <w:t>Table A7.3.</w:t>
      </w:r>
      <w:r w:rsidRPr="002E1A3F">
        <w:rPr>
          <w:rFonts w:ascii="Calibri" w:eastAsia="Times New Roman" w:hAnsi="Calibri" w:cs="Calibri"/>
          <w:b/>
          <w:i/>
          <w:sz w:val="22"/>
          <w:szCs w:val="22"/>
        </w:rPr>
        <w:t xml:space="preserve"> Number of </w:t>
      </w:r>
      <w:r w:rsidR="00014B08">
        <w:rPr>
          <w:rFonts w:ascii="Calibri" w:eastAsia="Times New Roman" w:hAnsi="Calibri" w:cs="Calibri"/>
          <w:b/>
          <w:i/>
          <w:sz w:val="22"/>
          <w:szCs w:val="22"/>
        </w:rPr>
        <w:t>R</w:t>
      </w:r>
      <w:r w:rsidRPr="002E1A3F">
        <w:rPr>
          <w:rFonts w:ascii="Calibri" w:eastAsia="Times New Roman" w:hAnsi="Calibri" w:cs="Calibri"/>
          <w:b/>
          <w:i/>
          <w:sz w:val="22"/>
          <w:szCs w:val="22"/>
        </w:rPr>
        <w:t xml:space="preserve">egional and </w:t>
      </w:r>
      <w:r w:rsidR="00014B08">
        <w:rPr>
          <w:rFonts w:ascii="Calibri" w:eastAsia="Times New Roman" w:hAnsi="Calibri" w:cs="Calibri"/>
          <w:b/>
          <w:i/>
          <w:sz w:val="22"/>
          <w:szCs w:val="22"/>
        </w:rPr>
        <w:t>N</w:t>
      </w:r>
      <w:r w:rsidRPr="002E1A3F">
        <w:rPr>
          <w:rFonts w:ascii="Calibri" w:eastAsia="Times New Roman" w:hAnsi="Calibri" w:cs="Calibri"/>
          <w:b/>
          <w:i/>
          <w:sz w:val="22"/>
          <w:szCs w:val="22"/>
        </w:rPr>
        <w:t xml:space="preserve">ational </w:t>
      </w:r>
      <w:r w:rsidR="00014B08">
        <w:rPr>
          <w:rFonts w:ascii="Calibri" w:eastAsia="Times New Roman" w:hAnsi="Calibri" w:cs="Calibri"/>
          <w:b/>
          <w:i/>
          <w:sz w:val="22"/>
          <w:szCs w:val="22"/>
        </w:rPr>
        <w:t>F</w:t>
      </w:r>
      <w:r w:rsidRPr="002E1A3F">
        <w:rPr>
          <w:rFonts w:ascii="Calibri" w:eastAsia="Times New Roman" w:hAnsi="Calibri" w:cs="Calibri"/>
          <w:b/>
          <w:i/>
          <w:sz w:val="22"/>
          <w:szCs w:val="22"/>
        </w:rPr>
        <w:t xml:space="preserve">aculty </w:t>
      </w:r>
      <w:r w:rsidR="00014B08">
        <w:rPr>
          <w:rFonts w:ascii="Calibri" w:eastAsia="Times New Roman" w:hAnsi="Calibri" w:cs="Calibri"/>
          <w:b/>
          <w:i/>
          <w:sz w:val="22"/>
          <w:szCs w:val="22"/>
        </w:rPr>
        <w:t>T</w:t>
      </w:r>
      <w:r w:rsidRPr="002E1A3F">
        <w:rPr>
          <w:rFonts w:ascii="Calibri" w:eastAsia="Times New Roman" w:hAnsi="Calibri" w:cs="Calibri"/>
          <w:b/>
          <w:i/>
          <w:sz w:val="22"/>
          <w:szCs w:val="22"/>
        </w:rPr>
        <w:t xml:space="preserve">rained in the </w:t>
      </w:r>
      <w:r w:rsidR="00BB4A89">
        <w:rPr>
          <w:rFonts w:ascii="Calibri" w:eastAsia="Times New Roman" w:hAnsi="Calibri" w:cs="Calibri"/>
          <w:b/>
          <w:i/>
          <w:sz w:val="22"/>
          <w:szCs w:val="22"/>
        </w:rPr>
        <w:t>ACE I Project</w:t>
      </w:r>
    </w:p>
    <w:p w14:paraId="14F8E691" w14:textId="77777777" w:rsidR="00286F90" w:rsidRPr="00286F90" w:rsidRDefault="00286F90" w:rsidP="008E2709">
      <w:pPr>
        <w:keepNext/>
        <w:keepLines/>
        <w:tabs>
          <w:tab w:val="left" w:pos="0"/>
          <w:tab w:val="left" w:pos="720"/>
        </w:tabs>
        <w:jc w:val="center"/>
        <w:rPr>
          <w:rFonts w:ascii="Calibri" w:eastAsia="Times New Roman" w:hAnsi="Calibri" w:cs="Calibri"/>
          <w:b/>
          <w:i/>
          <w:sz w:val="2"/>
          <w:szCs w:val="2"/>
        </w:rPr>
      </w:pPr>
    </w:p>
    <w:tbl>
      <w:tblPr>
        <w:tblW w:w="7738" w:type="dxa"/>
        <w:jc w:val="center"/>
        <w:tblLayout w:type="fixed"/>
        <w:tblCellMar>
          <w:left w:w="115" w:type="dxa"/>
          <w:right w:w="115" w:type="dxa"/>
        </w:tblCellMar>
        <w:tblLook w:val="04A0" w:firstRow="1" w:lastRow="0" w:firstColumn="1" w:lastColumn="0" w:noHBand="0" w:noVBand="1"/>
      </w:tblPr>
      <w:tblGrid>
        <w:gridCol w:w="2550"/>
        <w:gridCol w:w="1433"/>
        <w:gridCol w:w="1433"/>
        <w:gridCol w:w="1433"/>
        <w:gridCol w:w="889"/>
      </w:tblGrid>
      <w:tr w:rsidR="000C3959" w14:paraId="48568C19" w14:textId="77777777" w:rsidTr="000C46A6">
        <w:trPr>
          <w:trHeight w:val="228"/>
          <w:jc w:val="center"/>
        </w:trPr>
        <w:tc>
          <w:tcPr>
            <w:tcW w:w="2550" w:type="dxa"/>
            <w:tcBorders>
              <w:bottom w:val="single" w:sz="4" w:space="0" w:color="auto"/>
              <w:right w:val="single" w:sz="4" w:space="0" w:color="auto"/>
            </w:tcBorders>
            <w:vAlign w:val="center"/>
            <w:hideMark/>
          </w:tcPr>
          <w:p w14:paraId="160D4914" w14:textId="77777777" w:rsidR="002E1A3F" w:rsidRPr="002E1A3F" w:rsidRDefault="002E1A3F">
            <w:pPr>
              <w:keepNext/>
              <w:keepLines/>
              <w:widowControl/>
              <w:autoSpaceDE/>
              <w:autoSpaceDN/>
              <w:adjustRightInd/>
              <w:spacing w:line="259" w:lineRule="auto"/>
              <w:rPr>
                <w:rFonts w:ascii="Calibri" w:eastAsia="Calibri" w:hAnsi="Calibri" w:cs="Times New Roman"/>
                <w:color w:val="auto"/>
                <w:sz w:val="22"/>
                <w:szCs w:val="22"/>
              </w:rPr>
            </w:pPr>
          </w:p>
        </w:tc>
        <w:tc>
          <w:tcPr>
            <w:tcW w:w="1433" w:type="dxa"/>
            <w:tcBorders>
              <w:top w:val="single" w:sz="4" w:space="0" w:color="auto"/>
              <w:left w:val="single" w:sz="4" w:space="0" w:color="auto"/>
              <w:bottom w:val="single" w:sz="4" w:space="0" w:color="auto"/>
            </w:tcBorders>
            <w:vAlign w:val="center"/>
            <w:hideMark/>
          </w:tcPr>
          <w:p w14:paraId="16B93A71"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2014</w:t>
            </w:r>
          </w:p>
        </w:tc>
        <w:tc>
          <w:tcPr>
            <w:tcW w:w="1433" w:type="dxa"/>
            <w:tcBorders>
              <w:top w:val="single" w:sz="4" w:space="0" w:color="auto"/>
              <w:bottom w:val="single" w:sz="4" w:space="0" w:color="auto"/>
            </w:tcBorders>
            <w:vAlign w:val="center"/>
            <w:hideMark/>
          </w:tcPr>
          <w:p w14:paraId="5B03C10A"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2015</w:t>
            </w:r>
          </w:p>
        </w:tc>
        <w:tc>
          <w:tcPr>
            <w:tcW w:w="1433" w:type="dxa"/>
            <w:tcBorders>
              <w:top w:val="single" w:sz="4" w:space="0" w:color="auto"/>
              <w:bottom w:val="single" w:sz="4" w:space="0" w:color="auto"/>
            </w:tcBorders>
            <w:vAlign w:val="center"/>
            <w:hideMark/>
          </w:tcPr>
          <w:p w14:paraId="3A117B1E"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2016</w:t>
            </w:r>
          </w:p>
        </w:tc>
        <w:tc>
          <w:tcPr>
            <w:tcW w:w="889" w:type="dxa"/>
            <w:tcBorders>
              <w:top w:val="single" w:sz="4" w:space="0" w:color="auto"/>
              <w:bottom w:val="single" w:sz="4" w:space="0" w:color="auto"/>
              <w:right w:val="single" w:sz="4" w:space="0" w:color="auto"/>
            </w:tcBorders>
            <w:vAlign w:val="center"/>
            <w:hideMark/>
          </w:tcPr>
          <w:p w14:paraId="4BAD099C"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2017</w:t>
            </w:r>
          </w:p>
        </w:tc>
      </w:tr>
      <w:tr w:rsidR="000C3959" w14:paraId="6C8D05FC" w14:textId="77777777" w:rsidTr="000C46A6">
        <w:trPr>
          <w:trHeight w:val="244"/>
          <w:jc w:val="center"/>
        </w:trPr>
        <w:tc>
          <w:tcPr>
            <w:tcW w:w="2550" w:type="dxa"/>
            <w:tcBorders>
              <w:top w:val="single" w:sz="4" w:space="0" w:color="auto"/>
              <w:left w:val="single" w:sz="4" w:space="0" w:color="auto"/>
              <w:right w:val="single" w:sz="4" w:space="0" w:color="auto"/>
            </w:tcBorders>
            <w:vAlign w:val="center"/>
            <w:hideMark/>
          </w:tcPr>
          <w:p w14:paraId="3B498089" w14:textId="77777777" w:rsidR="002E1A3F" w:rsidRPr="002E1A3F" w:rsidRDefault="00B00100">
            <w:pPr>
              <w:keepNext/>
              <w:keepLines/>
              <w:widowControl/>
              <w:autoSpaceDE/>
              <w:autoSpaceDN/>
              <w:adjustRightInd/>
              <w:spacing w:line="259" w:lineRule="auto"/>
              <w:rPr>
                <w:rFonts w:ascii="Calibri" w:eastAsia="Calibri" w:hAnsi="Calibri" w:cs="Times New Roman"/>
                <w:color w:val="auto"/>
                <w:sz w:val="22"/>
                <w:szCs w:val="22"/>
              </w:rPr>
            </w:pPr>
            <w:r w:rsidRPr="002E1A3F">
              <w:rPr>
                <w:rFonts w:ascii="Calibri" w:eastAsia="Calibri" w:hAnsi="Calibri" w:cs="Times New Roman"/>
                <w:color w:val="auto"/>
                <w:sz w:val="22"/>
                <w:szCs w:val="22"/>
              </w:rPr>
              <w:t>Regional</w:t>
            </w:r>
          </w:p>
        </w:tc>
        <w:tc>
          <w:tcPr>
            <w:tcW w:w="1433" w:type="dxa"/>
            <w:tcBorders>
              <w:top w:val="single" w:sz="4" w:space="0" w:color="auto"/>
              <w:left w:val="single" w:sz="4" w:space="0" w:color="auto"/>
            </w:tcBorders>
            <w:noWrap/>
            <w:vAlign w:val="center"/>
            <w:hideMark/>
          </w:tcPr>
          <w:p w14:paraId="0DD4DF5D"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16</w:t>
            </w:r>
          </w:p>
        </w:tc>
        <w:tc>
          <w:tcPr>
            <w:tcW w:w="1433" w:type="dxa"/>
            <w:tcBorders>
              <w:top w:val="single" w:sz="4" w:space="0" w:color="auto"/>
            </w:tcBorders>
            <w:noWrap/>
            <w:vAlign w:val="center"/>
            <w:hideMark/>
          </w:tcPr>
          <w:p w14:paraId="3A89B339"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77</w:t>
            </w:r>
          </w:p>
        </w:tc>
        <w:tc>
          <w:tcPr>
            <w:tcW w:w="1433" w:type="dxa"/>
            <w:tcBorders>
              <w:top w:val="single" w:sz="4" w:space="0" w:color="auto"/>
            </w:tcBorders>
            <w:noWrap/>
            <w:vAlign w:val="center"/>
            <w:hideMark/>
          </w:tcPr>
          <w:p w14:paraId="4FAD73A3"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67</w:t>
            </w:r>
          </w:p>
        </w:tc>
        <w:tc>
          <w:tcPr>
            <w:tcW w:w="889" w:type="dxa"/>
            <w:tcBorders>
              <w:top w:val="single" w:sz="4" w:space="0" w:color="auto"/>
              <w:right w:val="single" w:sz="4" w:space="0" w:color="auto"/>
            </w:tcBorders>
            <w:noWrap/>
            <w:vAlign w:val="center"/>
            <w:hideMark/>
          </w:tcPr>
          <w:p w14:paraId="4C3A1D90"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222</w:t>
            </w:r>
          </w:p>
        </w:tc>
      </w:tr>
      <w:tr w:rsidR="000C3959" w14:paraId="7F02C9D6" w14:textId="77777777" w:rsidTr="000C46A6">
        <w:trPr>
          <w:trHeight w:val="244"/>
          <w:jc w:val="center"/>
        </w:trPr>
        <w:tc>
          <w:tcPr>
            <w:tcW w:w="2550" w:type="dxa"/>
            <w:tcBorders>
              <w:left w:val="single" w:sz="4" w:space="0" w:color="auto"/>
              <w:right w:val="single" w:sz="4" w:space="0" w:color="auto"/>
            </w:tcBorders>
            <w:vAlign w:val="center"/>
            <w:hideMark/>
          </w:tcPr>
          <w:p w14:paraId="792B8B3B" w14:textId="77777777" w:rsidR="002E1A3F" w:rsidRPr="002E1A3F" w:rsidRDefault="00B00100">
            <w:pPr>
              <w:keepNext/>
              <w:keepLines/>
              <w:widowControl/>
              <w:autoSpaceDE/>
              <w:autoSpaceDN/>
              <w:adjustRightInd/>
              <w:spacing w:line="259" w:lineRule="auto"/>
              <w:rPr>
                <w:rFonts w:ascii="Calibri" w:eastAsia="Calibri" w:hAnsi="Calibri" w:cs="Times New Roman"/>
                <w:color w:val="auto"/>
                <w:sz w:val="22"/>
                <w:szCs w:val="22"/>
              </w:rPr>
            </w:pPr>
            <w:r w:rsidRPr="002E1A3F">
              <w:rPr>
                <w:rFonts w:ascii="Calibri" w:eastAsia="Calibri" w:hAnsi="Calibri" w:cs="Times New Roman"/>
                <w:color w:val="auto"/>
                <w:sz w:val="22"/>
                <w:szCs w:val="22"/>
              </w:rPr>
              <w:t>National</w:t>
            </w:r>
          </w:p>
        </w:tc>
        <w:tc>
          <w:tcPr>
            <w:tcW w:w="1433" w:type="dxa"/>
            <w:tcBorders>
              <w:left w:val="single" w:sz="4" w:space="0" w:color="auto"/>
            </w:tcBorders>
            <w:noWrap/>
            <w:vAlign w:val="center"/>
            <w:hideMark/>
          </w:tcPr>
          <w:p w14:paraId="16894BD9"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105</w:t>
            </w:r>
          </w:p>
        </w:tc>
        <w:tc>
          <w:tcPr>
            <w:tcW w:w="1433" w:type="dxa"/>
            <w:noWrap/>
            <w:vAlign w:val="center"/>
            <w:hideMark/>
          </w:tcPr>
          <w:p w14:paraId="2C2F8F96"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437</w:t>
            </w:r>
          </w:p>
        </w:tc>
        <w:tc>
          <w:tcPr>
            <w:tcW w:w="1433" w:type="dxa"/>
            <w:noWrap/>
            <w:vAlign w:val="center"/>
            <w:hideMark/>
          </w:tcPr>
          <w:p w14:paraId="37A43978"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534</w:t>
            </w:r>
          </w:p>
        </w:tc>
        <w:tc>
          <w:tcPr>
            <w:tcW w:w="889" w:type="dxa"/>
            <w:tcBorders>
              <w:right w:val="single" w:sz="4" w:space="0" w:color="auto"/>
            </w:tcBorders>
            <w:noWrap/>
            <w:vAlign w:val="center"/>
            <w:hideMark/>
          </w:tcPr>
          <w:p w14:paraId="323D917A"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1,239</w:t>
            </w:r>
          </w:p>
        </w:tc>
      </w:tr>
      <w:tr w:rsidR="000C3959" w14:paraId="0B971FA8" w14:textId="77777777" w:rsidTr="000C46A6">
        <w:trPr>
          <w:trHeight w:val="220"/>
          <w:jc w:val="center"/>
        </w:trPr>
        <w:tc>
          <w:tcPr>
            <w:tcW w:w="2550" w:type="dxa"/>
            <w:tcBorders>
              <w:left w:val="single" w:sz="4" w:space="0" w:color="auto"/>
              <w:right w:val="single" w:sz="4" w:space="0" w:color="auto"/>
            </w:tcBorders>
            <w:vAlign w:val="center"/>
            <w:hideMark/>
          </w:tcPr>
          <w:p w14:paraId="290612C0" w14:textId="77777777" w:rsidR="002E1A3F" w:rsidRPr="002E1A3F" w:rsidRDefault="00B00100">
            <w:pPr>
              <w:keepNext/>
              <w:keepLines/>
              <w:widowControl/>
              <w:autoSpaceDE/>
              <w:autoSpaceDN/>
              <w:adjustRightInd/>
              <w:spacing w:line="259" w:lineRule="auto"/>
              <w:rPr>
                <w:rFonts w:ascii="Calibri" w:eastAsia="Calibri" w:hAnsi="Calibri" w:cs="Times New Roman"/>
                <w:color w:val="auto"/>
                <w:sz w:val="22"/>
                <w:szCs w:val="22"/>
              </w:rPr>
            </w:pPr>
            <w:r w:rsidRPr="002E1A3F">
              <w:rPr>
                <w:rFonts w:ascii="Calibri" w:eastAsia="Calibri" w:hAnsi="Calibri" w:cs="Times New Roman"/>
                <w:color w:val="auto"/>
                <w:sz w:val="22"/>
                <w:szCs w:val="22"/>
              </w:rPr>
              <w:t>Female</w:t>
            </w:r>
          </w:p>
        </w:tc>
        <w:tc>
          <w:tcPr>
            <w:tcW w:w="1433" w:type="dxa"/>
            <w:tcBorders>
              <w:left w:val="single" w:sz="4" w:space="0" w:color="auto"/>
            </w:tcBorders>
            <w:noWrap/>
            <w:vAlign w:val="center"/>
            <w:hideMark/>
          </w:tcPr>
          <w:p w14:paraId="690A1AE7"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31</w:t>
            </w:r>
          </w:p>
        </w:tc>
        <w:tc>
          <w:tcPr>
            <w:tcW w:w="1433" w:type="dxa"/>
            <w:noWrap/>
            <w:vAlign w:val="center"/>
            <w:hideMark/>
          </w:tcPr>
          <w:p w14:paraId="43B6F0E0"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116</w:t>
            </w:r>
          </w:p>
        </w:tc>
        <w:tc>
          <w:tcPr>
            <w:tcW w:w="1433" w:type="dxa"/>
            <w:noWrap/>
            <w:vAlign w:val="center"/>
            <w:hideMark/>
          </w:tcPr>
          <w:p w14:paraId="5C439CDC"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172</w:t>
            </w:r>
          </w:p>
        </w:tc>
        <w:tc>
          <w:tcPr>
            <w:tcW w:w="889" w:type="dxa"/>
            <w:tcBorders>
              <w:right w:val="single" w:sz="4" w:space="0" w:color="auto"/>
            </w:tcBorders>
            <w:noWrap/>
            <w:vAlign w:val="center"/>
            <w:hideMark/>
          </w:tcPr>
          <w:p w14:paraId="28E59BCF"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342</w:t>
            </w:r>
          </w:p>
        </w:tc>
      </w:tr>
      <w:tr w:rsidR="000C3959" w14:paraId="36A08991" w14:textId="77777777" w:rsidTr="000C46A6">
        <w:trPr>
          <w:trHeight w:val="220"/>
          <w:jc w:val="center"/>
        </w:trPr>
        <w:tc>
          <w:tcPr>
            <w:tcW w:w="2550" w:type="dxa"/>
            <w:tcBorders>
              <w:left w:val="single" w:sz="4" w:space="0" w:color="auto"/>
              <w:bottom w:val="single" w:sz="4" w:space="0" w:color="auto"/>
              <w:right w:val="single" w:sz="4" w:space="0" w:color="auto"/>
            </w:tcBorders>
            <w:vAlign w:val="center"/>
            <w:hideMark/>
          </w:tcPr>
          <w:p w14:paraId="3FA62023" w14:textId="77777777" w:rsidR="002E1A3F" w:rsidRPr="002E1A3F" w:rsidRDefault="00B00100">
            <w:pPr>
              <w:keepNext/>
              <w:keepLines/>
              <w:widowControl/>
              <w:autoSpaceDE/>
              <w:autoSpaceDN/>
              <w:adjustRightInd/>
              <w:spacing w:line="259" w:lineRule="auto"/>
              <w:rPr>
                <w:rFonts w:ascii="Calibri" w:eastAsia="Calibri" w:hAnsi="Calibri" w:cs="Times New Roman"/>
                <w:color w:val="auto"/>
                <w:sz w:val="22"/>
                <w:szCs w:val="22"/>
              </w:rPr>
            </w:pPr>
            <w:r w:rsidRPr="002E1A3F">
              <w:rPr>
                <w:rFonts w:ascii="Calibri" w:eastAsia="Calibri" w:hAnsi="Calibri" w:cs="Times New Roman"/>
                <w:color w:val="auto"/>
                <w:sz w:val="22"/>
                <w:szCs w:val="22"/>
              </w:rPr>
              <w:t>Male</w:t>
            </w:r>
          </w:p>
        </w:tc>
        <w:tc>
          <w:tcPr>
            <w:tcW w:w="1433" w:type="dxa"/>
            <w:tcBorders>
              <w:left w:val="single" w:sz="4" w:space="0" w:color="auto"/>
              <w:bottom w:val="single" w:sz="4" w:space="0" w:color="auto"/>
            </w:tcBorders>
            <w:noWrap/>
            <w:vAlign w:val="center"/>
            <w:hideMark/>
          </w:tcPr>
          <w:p w14:paraId="632BA9B7"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90</w:t>
            </w:r>
          </w:p>
        </w:tc>
        <w:tc>
          <w:tcPr>
            <w:tcW w:w="1433" w:type="dxa"/>
            <w:tcBorders>
              <w:bottom w:val="single" w:sz="4" w:space="0" w:color="auto"/>
            </w:tcBorders>
            <w:noWrap/>
            <w:vAlign w:val="center"/>
            <w:hideMark/>
          </w:tcPr>
          <w:p w14:paraId="1D1ACADE"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398</w:t>
            </w:r>
          </w:p>
        </w:tc>
        <w:tc>
          <w:tcPr>
            <w:tcW w:w="1433" w:type="dxa"/>
            <w:tcBorders>
              <w:bottom w:val="single" w:sz="4" w:space="0" w:color="auto"/>
            </w:tcBorders>
            <w:noWrap/>
            <w:vAlign w:val="center"/>
            <w:hideMark/>
          </w:tcPr>
          <w:p w14:paraId="27E56404"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429</w:t>
            </w:r>
          </w:p>
        </w:tc>
        <w:tc>
          <w:tcPr>
            <w:tcW w:w="889" w:type="dxa"/>
            <w:tcBorders>
              <w:bottom w:val="single" w:sz="4" w:space="0" w:color="auto"/>
              <w:right w:val="single" w:sz="4" w:space="0" w:color="auto"/>
            </w:tcBorders>
            <w:noWrap/>
            <w:vAlign w:val="center"/>
            <w:hideMark/>
          </w:tcPr>
          <w:p w14:paraId="263ABE3A"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1,119</w:t>
            </w:r>
          </w:p>
        </w:tc>
      </w:tr>
      <w:tr w:rsidR="000C3959" w14:paraId="4E5CCFBC" w14:textId="77777777" w:rsidTr="000C46A6">
        <w:trPr>
          <w:trHeight w:val="228"/>
          <w:jc w:val="center"/>
        </w:trPr>
        <w:tc>
          <w:tcPr>
            <w:tcW w:w="2550" w:type="dxa"/>
            <w:tcBorders>
              <w:top w:val="single" w:sz="4" w:space="0" w:color="auto"/>
              <w:left w:val="single" w:sz="4" w:space="0" w:color="auto"/>
              <w:bottom w:val="single" w:sz="4" w:space="0" w:color="auto"/>
              <w:right w:val="single" w:sz="4" w:space="0" w:color="auto"/>
            </w:tcBorders>
            <w:vAlign w:val="center"/>
          </w:tcPr>
          <w:p w14:paraId="47CA58FD" w14:textId="77777777" w:rsidR="002E1A3F" w:rsidRPr="002E1A3F" w:rsidRDefault="00B00100">
            <w:pPr>
              <w:keepNext/>
              <w:keepLines/>
              <w:widowControl/>
              <w:autoSpaceDE/>
              <w:autoSpaceDN/>
              <w:adjustRightInd/>
              <w:spacing w:line="259" w:lineRule="auto"/>
              <w:rPr>
                <w:rFonts w:ascii="Calibri" w:eastAsia="Calibri" w:hAnsi="Calibri" w:cs="Times New Roman"/>
                <w:color w:val="auto"/>
                <w:sz w:val="22"/>
                <w:szCs w:val="22"/>
              </w:rPr>
            </w:pPr>
            <w:r w:rsidRPr="002E1A3F">
              <w:rPr>
                <w:rFonts w:ascii="Calibri" w:eastAsia="Calibri" w:hAnsi="Calibri" w:cs="Times New Roman"/>
                <w:color w:val="auto"/>
                <w:sz w:val="22"/>
                <w:szCs w:val="22"/>
              </w:rPr>
              <w:t>TOTAL</w:t>
            </w:r>
          </w:p>
        </w:tc>
        <w:tc>
          <w:tcPr>
            <w:tcW w:w="1433" w:type="dxa"/>
            <w:tcBorders>
              <w:top w:val="single" w:sz="4" w:space="0" w:color="auto"/>
              <w:left w:val="single" w:sz="4" w:space="0" w:color="auto"/>
              <w:bottom w:val="single" w:sz="4" w:space="0" w:color="auto"/>
            </w:tcBorders>
            <w:noWrap/>
            <w:vAlign w:val="center"/>
          </w:tcPr>
          <w:p w14:paraId="38C4CF88" w14:textId="77777777" w:rsidR="002E1A3F" w:rsidRPr="002E1A3F" w:rsidRDefault="00B00100" w:rsidP="00F463C2">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121</w:t>
            </w:r>
          </w:p>
        </w:tc>
        <w:tc>
          <w:tcPr>
            <w:tcW w:w="1433" w:type="dxa"/>
            <w:tcBorders>
              <w:top w:val="single" w:sz="4" w:space="0" w:color="auto"/>
              <w:bottom w:val="single" w:sz="4" w:space="0" w:color="auto"/>
            </w:tcBorders>
            <w:noWrap/>
            <w:vAlign w:val="center"/>
          </w:tcPr>
          <w:p w14:paraId="715A6447" w14:textId="77777777" w:rsidR="002E1A3F" w:rsidRPr="002E1A3F" w:rsidRDefault="00B00100" w:rsidP="00FC1A97">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514</w:t>
            </w:r>
          </w:p>
        </w:tc>
        <w:tc>
          <w:tcPr>
            <w:tcW w:w="1433" w:type="dxa"/>
            <w:tcBorders>
              <w:top w:val="single" w:sz="4" w:space="0" w:color="auto"/>
              <w:bottom w:val="single" w:sz="4" w:space="0" w:color="auto"/>
            </w:tcBorders>
            <w:noWrap/>
            <w:vAlign w:val="center"/>
          </w:tcPr>
          <w:p w14:paraId="33C5E9C3"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601</w:t>
            </w:r>
          </w:p>
        </w:tc>
        <w:tc>
          <w:tcPr>
            <w:tcW w:w="889" w:type="dxa"/>
            <w:tcBorders>
              <w:top w:val="single" w:sz="4" w:space="0" w:color="auto"/>
              <w:bottom w:val="single" w:sz="4" w:space="0" w:color="auto"/>
              <w:right w:val="single" w:sz="4" w:space="0" w:color="auto"/>
            </w:tcBorders>
            <w:noWrap/>
            <w:vAlign w:val="center"/>
          </w:tcPr>
          <w:p w14:paraId="4AA59BF4" w14:textId="77777777" w:rsidR="002E1A3F" w:rsidRPr="002E1A3F" w:rsidRDefault="00B00100" w:rsidP="003247A0">
            <w:pPr>
              <w:keepNext/>
              <w:keepLines/>
              <w:widowControl/>
              <w:autoSpaceDE/>
              <w:autoSpaceDN/>
              <w:adjustRightInd/>
              <w:spacing w:line="259" w:lineRule="auto"/>
              <w:jc w:val="center"/>
              <w:rPr>
                <w:rFonts w:ascii="Calibri" w:eastAsia="Calibri" w:hAnsi="Calibri" w:cs="Times New Roman"/>
                <w:color w:val="auto"/>
                <w:sz w:val="22"/>
                <w:szCs w:val="22"/>
              </w:rPr>
            </w:pPr>
            <w:r w:rsidRPr="002E1A3F">
              <w:rPr>
                <w:rFonts w:ascii="Calibri" w:eastAsia="Calibri" w:hAnsi="Calibri" w:cs="Times New Roman"/>
                <w:color w:val="auto"/>
                <w:sz w:val="22"/>
                <w:szCs w:val="22"/>
              </w:rPr>
              <w:t>1,461</w:t>
            </w:r>
          </w:p>
        </w:tc>
      </w:tr>
    </w:tbl>
    <w:p w14:paraId="599A2EF2" w14:textId="77777777" w:rsidR="002E1A3F" w:rsidRPr="000C46A6" w:rsidRDefault="00B00100" w:rsidP="008E2709">
      <w:pPr>
        <w:keepNext/>
        <w:keepLines/>
        <w:widowControl/>
        <w:autoSpaceDE/>
        <w:autoSpaceDN/>
        <w:adjustRightInd/>
        <w:spacing w:line="259" w:lineRule="auto"/>
        <w:ind w:left="720"/>
        <w:rPr>
          <w:rFonts w:ascii="Calibri" w:eastAsia="Calibri" w:hAnsi="Calibri" w:cs="Times New Roman"/>
          <w:i/>
          <w:color w:val="auto"/>
          <w:sz w:val="18"/>
          <w:szCs w:val="20"/>
        </w:rPr>
      </w:pPr>
      <w:r>
        <w:rPr>
          <w:rFonts w:ascii="Calibri" w:eastAsia="Calibri" w:hAnsi="Calibri" w:cs="Times New Roman"/>
          <w:i/>
          <w:color w:val="auto"/>
          <w:sz w:val="18"/>
          <w:szCs w:val="20"/>
        </w:rPr>
        <w:t xml:space="preserve">          </w:t>
      </w:r>
      <w:r w:rsidR="004E68F9" w:rsidRPr="000C46A6">
        <w:rPr>
          <w:rFonts w:ascii="Calibri" w:eastAsia="Calibri" w:hAnsi="Calibri" w:cs="Times New Roman"/>
          <w:i/>
          <w:color w:val="auto"/>
          <w:sz w:val="18"/>
          <w:szCs w:val="20"/>
        </w:rPr>
        <w:t xml:space="preserve">Source: World Bank calculations using data on </w:t>
      </w:r>
      <w:r w:rsidR="00BB4A89" w:rsidRPr="000C46A6">
        <w:rPr>
          <w:rFonts w:ascii="Calibri" w:eastAsia="Calibri" w:hAnsi="Calibri" w:cs="Times New Roman"/>
          <w:i/>
          <w:color w:val="auto"/>
          <w:sz w:val="18"/>
          <w:szCs w:val="20"/>
        </w:rPr>
        <w:t>ACE I Project</w:t>
      </w:r>
      <w:r w:rsidR="004E68F9" w:rsidRPr="000C46A6">
        <w:rPr>
          <w:rFonts w:ascii="Calibri" w:eastAsia="Calibri" w:hAnsi="Calibri" w:cs="Times New Roman"/>
          <w:i/>
          <w:color w:val="auto"/>
          <w:sz w:val="18"/>
          <w:szCs w:val="20"/>
        </w:rPr>
        <w:t xml:space="preserve"> results from The World Bank ACE Team, 2017.</w:t>
      </w:r>
    </w:p>
    <w:p w14:paraId="0B07D6FB" w14:textId="77777777" w:rsidR="008E11E8" w:rsidRDefault="008E11E8" w:rsidP="008E2709">
      <w:pPr>
        <w:widowControl/>
        <w:tabs>
          <w:tab w:val="left" w:pos="0"/>
          <w:tab w:val="left" w:pos="720"/>
        </w:tabs>
        <w:autoSpaceDE/>
        <w:autoSpaceDN/>
        <w:adjustRightInd/>
        <w:spacing w:line="259" w:lineRule="auto"/>
        <w:ind w:right="720"/>
        <w:jc w:val="both"/>
        <w:rPr>
          <w:rFonts w:ascii="Calibri" w:eastAsia="Times New Roman" w:hAnsi="Calibri" w:cs="Times New Roman"/>
          <w:b/>
          <w:color w:val="auto"/>
          <w:sz w:val="22"/>
          <w:szCs w:val="22"/>
        </w:rPr>
      </w:pPr>
    </w:p>
    <w:p w14:paraId="46CEFF39"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b/>
          <w:color w:val="auto"/>
          <w:sz w:val="22"/>
          <w:szCs w:val="22"/>
        </w:rPr>
      </w:pPr>
      <w:r w:rsidRPr="002E1A3F">
        <w:rPr>
          <w:rFonts w:ascii="Calibri" w:eastAsia="Times New Roman" w:hAnsi="Calibri" w:cs="Times New Roman"/>
          <w:b/>
          <w:color w:val="auto"/>
          <w:sz w:val="22"/>
          <w:szCs w:val="22"/>
        </w:rPr>
        <w:t xml:space="preserve">The project will assist ACE Impact centers in improving the current university financing schemes which have been a challenge for most SSA countries. </w:t>
      </w:r>
      <w:r w:rsidRPr="002E1A3F">
        <w:rPr>
          <w:rFonts w:ascii="Calibri" w:eastAsia="Times New Roman" w:hAnsi="Calibri" w:cs="Times New Roman"/>
          <w:color w:val="auto"/>
          <w:sz w:val="22"/>
          <w:szCs w:val="22"/>
        </w:rPr>
        <w:t>Higher education, particularly postgraduate education, is expensive and requires continuous investments. By supporting the centers in learning how to generate external revenue, the project will, in the long term, impact the sustainability of the centers and their host universities. This will complement government efforts and help to sustain the transformational change that ACE engenders. To date, over US$</w:t>
      </w:r>
      <w:r w:rsidR="003F3A8C">
        <w:rPr>
          <w:rFonts w:ascii="Calibri" w:eastAsia="Times New Roman" w:hAnsi="Calibri" w:cs="Times New Roman"/>
          <w:color w:val="auto"/>
          <w:sz w:val="22"/>
          <w:szCs w:val="22"/>
        </w:rPr>
        <w:t>50</w:t>
      </w:r>
      <w:r w:rsidRPr="002E1A3F">
        <w:rPr>
          <w:rFonts w:ascii="Calibri" w:eastAsia="Times New Roman" w:hAnsi="Calibri" w:cs="Times New Roman"/>
          <w:color w:val="auto"/>
          <w:sz w:val="22"/>
          <w:szCs w:val="22"/>
        </w:rPr>
        <w:t xml:space="preserve"> million in revenue has been generated through the implementation of the </w:t>
      </w:r>
      <w:r w:rsidR="00BB4A89">
        <w:rPr>
          <w:rFonts w:ascii="Calibri" w:eastAsia="Times New Roman" w:hAnsi="Calibri" w:cs="Times New Roman"/>
          <w:color w:val="auto"/>
          <w:sz w:val="22"/>
          <w:szCs w:val="22"/>
        </w:rPr>
        <w:t>ACE I Project</w:t>
      </w:r>
      <w:r w:rsidRPr="002E1A3F">
        <w:rPr>
          <w:rFonts w:ascii="Calibri" w:eastAsia="Times New Roman" w:hAnsi="Calibri" w:cs="Times New Roman"/>
          <w:color w:val="auto"/>
          <w:sz w:val="22"/>
          <w:szCs w:val="22"/>
        </w:rPr>
        <w:t>. The pace of revenue generation grew from US$0.9 million in 2015 to US$</w:t>
      </w:r>
      <w:r w:rsidR="003F3A8C">
        <w:rPr>
          <w:rFonts w:ascii="Calibri" w:eastAsia="Times New Roman" w:hAnsi="Calibri" w:cs="Times New Roman"/>
          <w:color w:val="auto"/>
          <w:sz w:val="22"/>
          <w:szCs w:val="22"/>
        </w:rPr>
        <w:t>50</w:t>
      </w:r>
      <w:r w:rsidRPr="002E1A3F">
        <w:rPr>
          <w:rFonts w:ascii="Calibri" w:eastAsia="Times New Roman" w:hAnsi="Calibri" w:cs="Times New Roman"/>
          <w:color w:val="auto"/>
          <w:sz w:val="22"/>
          <w:szCs w:val="22"/>
        </w:rPr>
        <w:t>.7 million in 201</w:t>
      </w:r>
      <w:r w:rsidR="005074B8">
        <w:rPr>
          <w:rFonts w:ascii="Calibri" w:eastAsia="Times New Roman" w:hAnsi="Calibri" w:cs="Times New Roman"/>
          <w:color w:val="auto"/>
          <w:sz w:val="22"/>
          <w:szCs w:val="22"/>
        </w:rPr>
        <w:t>9</w:t>
      </w:r>
      <w:r w:rsidRPr="002E1A3F">
        <w:rPr>
          <w:rFonts w:ascii="Calibri" w:eastAsia="Times New Roman" w:hAnsi="Calibri" w:cs="Times New Roman"/>
          <w:color w:val="auto"/>
          <w:sz w:val="22"/>
          <w:szCs w:val="22"/>
        </w:rPr>
        <w:t xml:space="preserve"> – three years into project implementation. If this trend continues, revenue generated by ACEs will assist institutions hosting ACEs to achieve a guaranteed return on investment.</w:t>
      </w:r>
      <w:r w:rsidRPr="002E1A3F">
        <w:rPr>
          <w:rFonts w:ascii="Calibri" w:eastAsia="Times New Roman" w:hAnsi="Calibri" w:cs="Times New Roman"/>
          <w:b/>
          <w:color w:val="auto"/>
          <w:sz w:val="22"/>
          <w:szCs w:val="22"/>
        </w:rPr>
        <w:t xml:space="preserve"> </w:t>
      </w:r>
    </w:p>
    <w:p w14:paraId="0E2215B6" w14:textId="77777777" w:rsidR="008E11E8" w:rsidRPr="002E1A3F" w:rsidRDefault="008E11E8" w:rsidP="008E2709">
      <w:pPr>
        <w:widowControl/>
        <w:tabs>
          <w:tab w:val="left" w:pos="0"/>
          <w:tab w:val="left" w:pos="720"/>
        </w:tabs>
        <w:autoSpaceDE/>
        <w:autoSpaceDN/>
        <w:adjustRightInd/>
        <w:spacing w:line="259" w:lineRule="auto"/>
        <w:ind w:right="720"/>
        <w:jc w:val="both"/>
        <w:rPr>
          <w:rFonts w:ascii="Calibri" w:eastAsia="Times New Roman" w:hAnsi="Calibri" w:cs="Times New Roman"/>
          <w:b/>
          <w:color w:val="auto"/>
          <w:sz w:val="22"/>
          <w:szCs w:val="22"/>
        </w:rPr>
      </w:pPr>
    </w:p>
    <w:p w14:paraId="4CA79F17"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Calibri" w:hAnsi="Calibri" w:cs="Calibri"/>
          <w:color w:val="auto"/>
          <w:sz w:val="22"/>
          <w:szCs w:val="22"/>
        </w:rPr>
      </w:pPr>
      <w:r w:rsidRPr="002E1A3F">
        <w:rPr>
          <w:rFonts w:ascii="Calibri" w:eastAsia="Calibri" w:hAnsi="Calibri" w:cs="Calibri"/>
          <w:b/>
          <w:color w:val="auto"/>
          <w:sz w:val="22"/>
          <w:szCs w:val="22"/>
        </w:rPr>
        <w:t xml:space="preserve">The research activities undertaken by ACE centers are essential to addressing the development challenges facing Africa. </w:t>
      </w:r>
      <w:r w:rsidRPr="002E1A3F">
        <w:rPr>
          <w:rFonts w:ascii="Calibri" w:eastAsia="Calibri" w:hAnsi="Calibri" w:cs="Calibri"/>
          <w:color w:val="auto"/>
          <w:sz w:val="22"/>
          <w:szCs w:val="22"/>
        </w:rPr>
        <w:t>While an increase in the quality and quantity of graduates is important, well-defined research programs contribute to the academic mission of the university and to the success of the ACE center.  As a regionally</w:t>
      </w:r>
      <w:r w:rsidR="00C056FE">
        <w:rPr>
          <w:rFonts w:ascii="Calibri" w:eastAsia="Calibri" w:hAnsi="Calibri" w:cs="Calibri"/>
          <w:color w:val="auto"/>
          <w:sz w:val="22"/>
          <w:szCs w:val="22"/>
        </w:rPr>
        <w:t>-</w:t>
      </w:r>
      <w:r w:rsidRPr="002E1A3F">
        <w:rPr>
          <w:rFonts w:ascii="Calibri" w:eastAsia="Calibri" w:hAnsi="Calibri" w:cs="Calibri"/>
          <w:color w:val="auto"/>
          <w:sz w:val="22"/>
          <w:szCs w:val="22"/>
        </w:rPr>
        <w:t xml:space="preserve">owned project focused on development impact, ACE Impact will train and support African researchers to undertake Africa-centered research.  ACE Impact centers will design – with the input of regional and </w:t>
      </w:r>
      <w:r w:rsidRPr="002E1A3F">
        <w:rPr>
          <w:rFonts w:ascii="Calibri" w:eastAsia="Times New Roman" w:hAnsi="Calibri" w:cs="Times New Roman"/>
          <w:color w:val="auto"/>
          <w:sz w:val="22"/>
          <w:szCs w:val="22"/>
        </w:rPr>
        <w:t>sectoral</w:t>
      </w:r>
      <w:r w:rsidRPr="002E1A3F">
        <w:rPr>
          <w:rFonts w:ascii="Calibri" w:eastAsia="Calibri" w:hAnsi="Calibri" w:cs="Calibri"/>
          <w:color w:val="auto"/>
          <w:sz w:val="22"/>
          <w:szCs w:val="22"/>
        </w:rPr>
        <w:t xml:space="preserve"> stakeholders - integrated research programs with specific milestones and deliverables.  In addition to publications and reports, master’s and PhD graduates are expected to transfer knowledge to the public and private sectors in thematic areas of critical need. The centers are also designed to serve as regional hubs, with the equipment and expertise necessary to conduct applied research for industry to solve timely problems.</w:t>
      </w:r>
    </w:p>
    <w:p w14:paraId="558F0321" w14:textId="77777777" w:rsidR="008E11E8" w:rsidRPr="002E1A3F" w:rsidRDefault="008E11E8" w:rsidP="008E2709">
      <w:pPr>
        <w:widowControl/>
        <w:tabs>
          <w:tab w:val="left" w:pos="0"/>
          <w:tab w:val="left" w:pos="720"/>
        </w:tabs>
        <w:autoSpaceDE/>
        <w:autoSpaceDN/>
        <w:adjustRightInd/>
        <w:spacing w:line="259" w:lineRule="auto"/>
        <w:ind w:right="720"/>
        <w:jc w:val="both"/>
        <w:rPr>
          <w:rFonts w:ascii="Calibri" w:eastAsia="Calibri" w:hAnsi="Calibri" w:cs="Calibri"/>
          <w:color w:val="auto"/>
          <w:sz w:val="22"/>
          <w:szCs w:val="22"/>
        </w:rPr>
      </w:pPr>
    </w:p>
    <w:p w14:paraId="6A77F7A8" w14:textId="77777777" w:rsidR="004249EE" w:rsidRDefault="00B00100" w:rsidP="008E2709">
      <w:pPr>
        <w:widowControl/>
        <w:numPr>
          <w:ilvl w:val="0"/>
          <w:numId w:val="33"/>
        </w:numPr>
        <w:tabs>
          <w:tab w:val="left" w:pos="0"/>
          <w:tab w:val="left" w:pos="720"/>
        </w:tabs>
        <w:autoSpaceDE/>
        <w:autoSpaceDN/>
        <w:adjustRightInd/>
        <w:spacing w:line="259" w:lineRule="auto"/>
        <w:ind w:right="720"/>
        <w:jc w:val="both"/>
        <w:rPr>
          <w:rFonts w:ascii="Calibri" w:eastAsia="Calibri" w:hAnsi="Calibri" w:cs="Calibri"/>
          <w:color w:val="auto"/>
          <w:sz w:val="22"/>
          <w:szCs w:val="22"/>
        </w:rPr>
      </w:pPr>
      <w:r w:rsidRPr="002E1A3F">
        <w:rPr>
          <w:rFonts w:ascii="Calibri" w:eastAsia="Calibri" w:hAnsi="Calibri" w:cs="Calibri"/>
          <w:b/>
          <w:color w:val="auto"/>
          <w:sz w:val="22"/>
          <w:szCs w:val="22"/>
        </w:rPr>
        <w:t xml:space="preserve">The </w:t>
      </w:r>
      <w:r w:rsidR="00C056FE">
        <w:rPr>
          <w:rFonts w:ascii="Calibri" w:eastAsia="Calibri" w:hAnsi="Calibri" w:cs="Calibri"/>
          <w:b/>
          <w:color w:val="auto"/>
          <w:sz w:val="22"/>
          <w:szCs w:val="22"/>
        </w:rPr>
        <w:t xml:space="preserve">proposed </w:t>
      </w:r>
      <w:r w:rsidRPr="002E1A3F">
        <w:rPr>
          <w:rFonts w:ascii="Calibri" w:eastAsia="Calibri" w:hAnsi="Calibri" w:cs="Calibri"/>
          <w:b/>
          <w:color w:val="auto"/>
          <w:sz w:val="22"/>
          <w:szCs w:val="22"/>
        </w:rPr>
        <w:t xml:space="preserve">Second </w:t>
      </w:r>
      <w:r w:rsidR="00BB4A89">
        <w:rPr>
          <w:rFonts w:ascii="Calibri" w:eastAsia="Calibri" w:hAnsi="Calibri" w:cs="Calibri"/>
          <w:b/>
          <w:color w:val="auto"/>
          <w:sz w:val="22"/>
          <w:szCs w:val="22"/>
        </w:rPr>
        <w:t>ACE Impact Project</w:t>
      </w:r>
      <w:r w:rsidRPr="002E1A3F">
        <w:rPr>
          <w:rFonts w:ascii="Calibri" w:eastAsia="Calibri" w:hAnsi="Calibri" w:cs="Calibri"/>
          <w:b/>
          <w:color w:val="auto"/>
          <w:sz w:val="22"/>
          <w:szCs w:val="22"/>
        </w:rPr>
        <w:t xml:space="preserve"> builds Africa-focused regional research capacity in West and Central Africa.</w:t>
      </w:r>
      <w:r w:rsidRPr="002E1A3F">
        <w:rPr>
          <w:rFonts w:ascii="Calibri" w:eastAsia="Calibri" w:hAnsi="Calibri" w:cs="Calibri"/>
          <w:color w:val="auto"/>
          <w:sz w:val="22"/>
          <w:szCs w:val="22"/>
        </w:rPr>
        <w:t xml:space="preserve">  By almost any measure, SSA suffers from a lack of resources and productivity in research (UNESCO Science Report:  Towards 2030; 2015). With 15 percent of the world’s population, SSA accounts for just 1.3 percent of global R&amp;D spending.  Compared to Western Europe and North America (2.4 percent), or East Asia and Pacific (2.1 percent), the percentage of GDP devoted to R&amp;D is just 0.4 percent.  This anemic spending – in both the public and private sphere – limits innovation and economic growth, and</w:t>
      </w:r>
      <w:r w:rsidR="005B759C">
        <w:rPr>
          <w:rFonts w:ascii="Calibri" w:eastAsia="Calibri" w:hAnsi="Calibri" w:cs="Calibri"/>
          <w:color w:val="auto"/>
          <w:sz w:val="22"/>
          <w:szCs w:val="22"/>
        </w:rPr>
        <w:t>,</w:t>
      </w:r>
      <w:r w:rsidRPr="002E1A3F">
        <w:rPr>
          <w:rFonts w:ascii="Calibri" w:eastAsia="Calibri" w:hAnsi="Calibri" w:cs="Calibri"/>
          <w:color w:val="auto"/>
          <w:sz w:val="22"/>
          <w:szCs w:val="22"/>
        </w:rPr>
        <w:t xml:space="preserve"> in particular</w:t>
      </w:r>
      <w:r w:rsidR="005B759C">
        <w:rPr>
          <w:rFonts w:ascii="Calibri" w:eastAsia="Calibri" w:hAnsi="Calibri" w:cs="Calibri"/>
          <w:color w:val="auto"/>
          <w:sz w:val="22"/>
          <w:szCs w:val="22"/>
        </w:rPr>
        <w:t>,</w:t>
      </w:r>
      <w:r w:rsidRPr="002E1A3F">
        <w:rPr>
          <w:rFonts w:ascii="Calibri" w:eastAsia="Calibri" w:hAnsi="Calibri" w:cs="Calibri"/>
          <w:color w:val="auto"/>
          <w:sz w:val="22"/>
          <w:szCs w:val="22"/>
        </w:rPr>
        <w:t xml:space="preserve"> limits African-generated solutions to African challenges.  </w:t>
      </w:r>
    </w:p>
    <w:p w14:paraId="66B60DAE" w14:textId="4FBFAE51" w:rsidR="0083475A" w:rsidRDefault="00B00100" w:rsidP="008E2709">
      <w:pPr>
        <w:widowControl/>
        <w:tabs>
          <w:tab w:val="left" w:pos="0"/>
          <w:tab w:val="left" w:pos="720"/>
        </w:tabs>
        <w:autoSpaceDE/>
        <w:autoSpaceDN/>
        <w:adjustRightInd/>
        <w:spacing w:line="259" w:lineRule="auto"/>
        <w:ind w:right="720"/>
        <w:jc w:val="both"/>
        <w:rPr>
          <w:rFonts w:ascii="Calibri" w:eastAsia="Calibri" w:hAnsi="Calibri" w:cs="Calibri"/>
          <w:color w:val="auto"/>
          <w:sz w:val="22"/>
          <w:szCs w:val="22"/>
        </w:rPr>
      </w:pPr>
      <w:r w:rsidRPr="002E1A3F">
        <w:rPr>
          <w:rFonts w:ascii="Calibri" w:eastAsia="Calibri" w:hAnsi="Calibri" w:cs="Calibri"/>
          <w:color w:val="auto"/>
          <w:sz w:val="22"/>
          <w:szCs w:val="22"/>
        </w:rPr>
        <w:t xml:space="preserve">Scientific publications show similar trends:  Africa produces approximately 1 percent of global research publications, and only one-third of those are in the critical STEM fields.  While international collaboration on publications is high (approximately 70 percent), this may also be a reflection of donor priorities for </w:t>
      </w:r>
      <w:r w:rsidRPr="002E1A3F">
        <w:rPr>
          <w:rFonts w:ascii="Calibri" w:eastAsia="Calibri" w:hAnsi="Calibri" w:cs="Calibri"/>
          <w:color w:val="auto"/>
          <w:sz w:val="22"/>
          <w:szCs w:val="22"/>
        </w:rPr>
        <w:lastRenderedPageBreak/>
        <w:t>research activities and partnerships.  Through regional engagement and national government ownership, ACE Impact centers will aim to contribute to research capacity and knowledge in thematic areas that are priorities for Africa.</w:t>
      </w:r>
    </w:p>
    <w:p w14:paraId="078F2EBC" w14:textId="77777777" w:rsidR="0083475A" w:rsidRPr="002E1A3F" w:rsidRDefault="0083475A" w:rsidP="008E2709">
      <w:pPr>
        <w:widowControl/>
        <w:tabs>
          <w:tab w:val="left" w:pos="0"/>
          <w:tab w:val="left" w:pos="720"/>
        </w:tabs>
        <w:autoSpaceDE/>
        <w:autoSpaceDN/>
        <w:adjustRightInd/>
        <w:spacing w:line="259" w:lineRule="auto"/>
        <w:ind w:right="720"/>
        <w:jc w:val="both"/>
        <w:rPr>
          <w:rFonts w:ascii="Calibri" w:eastAsia="Calibri" w:hAnsi="Calibri" w:cs="Calibri"/>
          <w:color w:val="auto"/>
          <w:sz w:val="22"/>
          <w:szCs w:val="22"/>
        </w:rPr>
      </w:pPr>
    </w:p>
    <w:p w14:paraId="110F26EF" w14:textId="77777777" w:rsidR="00C5210B" w:rsidRPr="008E2709" w:rsidRDefault="00B00100" w:rsidP="00C5210B">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b/>
          <w:color w:val="auto"/>
          <w:sz w:val="22"/>
          <w:szCs w:val="22"/>
        </w:rPr>
      </w:pPr>
      <w:r w:rsidRPr="002E1A3F">
        <w:rPr>
          <w:rFonts w:ascii="Calibri" w:eastAsia="Times New Roman" w:hAnsi="Calibri" w:cs="Times New Roman"/>
          <w:b/>
          <w:color w:val="auto"/>
          <w:sz w:val="22"/>
          <w:szCs w:val="22"/>
        </w:rPr>
        <w:t xml:space="preserve">The </w:t>
      </w:r>
      <w:r w:rsidR="00BB4A89">
        <w:rPr>
          <w:rFonts w:ascii="Calibri" w:eastAsia="Times New Roman" w:hAnsi="Calibri" w:cs="Times New Roman"/>
          <w:b/>
          <w:color w:val="auto"/>
          <w:sz w:val="22"/>
          <w:szCs w:val="22"/>
        </w:rPr>
        <w:t>ACE I Project</w:t>
      </w:r>
      <w:r w:rsidRPr="002E1A3F">
        <w:rPr>
          <w:rFonts w:ascii="Calibri" w:eastAsia="Times New Roman" w:hAnsi="Calibri" w:cs="Times New Roman"/>
          <w:b/>
          <w:color w:val="auto"/>
          <w:sz w:val="22"/>
          <w:szCs w:val="22"/>
        </w:rPr>
        <w:t xml:space="preserve"> has enjoyed some success in producing internationally recognized research outcomes.  </w:t>
      </w:r>
      <w:r w:rsidR="005E0575" w:rsidRPr="000C46A6">
        <w:rPr>
          <w:rFonts w:ascii="Calibri" w:eastAsia="Times New Roman" w:hAnsi="Calibri" w:cs="Times New Roman"/>
          <w:color w:val="auto"/>
          <w:sz w:val="22"/>
          <w:szCs w:val="22"/>
        </w:rPr>
        <w:t>Several</w:t>
      </w:r>
      <w:r w:rsidR="002537E2">
        <w:rPr>
          <w:rFonts w:ascii="Calibri" w:eastAsia="Times New Roman" w:hAnsi="Calibri" w:cs="Times New Roman"/>
          <w:color w:val="auto"/>
          <w:sz w:val="22"/>
          <w:szCs w:val="22"/>
        </w:rPr>
        <w:t xml:space="preserve"> ACE I centers </w:t>
      </w:r>
      <w:r w:rsidR="002528BE">
        <w:rPr>
          <w:rFonts w:ascii="Calibri" w:eastAsia="Times New Roman" w:hAnsi="Calibri" w:cs="Times New Roman"/>
          <w:color w:val="auto"/>
          <w:sz w:val="22"/>
          <w:szCs w:val="22"/>
        </w:rPr>
        <w:t>in Nigeria</w:t>
      </w:r>
      <w:r w:rsidR="00A64BF6">
        <w:rPr>
          <w:rFonts w:ascii="Calibri" w:eastAsia="Times New Roman" w:hAnsi="Calibri" w:cs="Times New Roman"/>
          <w:color w:val="auto"/>
          <w:sz w:val="22"/>
          <w:szCs w:val="22"/>
        </w:rPr>
        <w:t xml:space="preserve"> (</w:t>
      </w:r>
      <w:r w:rsidR="002B756E">
        <w:rPr>
          <w:rFonts w:ascii="Calibri" w:eastAsia="Times New Roman" w:hAnsi="Calibri" w:cs="Times New Roman"/>
          <w:color w:val="auto"/>
          <w:sz w:val="22"/>
          <w:szCs w:val="22"/>
        </w:rPr>
        <w:t xml:space="preserve">ACE </w:t>
      </w:r>
      <w:r w:rsidR="002B756E" w:rsidRPr="002B756E">
        <w:rPr>
          <w:rFonts w:ascii="Calibri" w:eastAsia="Times New Roman" w:hAnsi="Calibri" w:cs="Times New Roman"/>
          <w:color w:val="auto"/>
          <w:sz w:val="22"/>
          <w:szCs w:val="22"/>
        </w:rPr>
        <w:t>in Oil Fields Chemical Research (</w:t>
      </w:r>
      <w:r w:rsidRPr="002E1A3F">
        <w:rPr>
          <w:rFonts w:ascii="Calibri" w:eastAsia="Times New Roman" w:hAnsi="Calibri" w:cs="Times New Roman"/>
          <w:color w:val="auto"/>
          <w:sz w:val="22"/>
          <w:szCs w:val="22"/>
        </w:rPr>
        <w:t>CEFOR</w:t>
      </w:r>
      <w:r w:rsidR="007805A6">
        <w:rPr>
          <w:rFonts w:ascii="Calibri" w:eastAsia="Times New Roman" w:hAnsi="Calibri" w:cs="Times New Roman"/>
          <w:color w:val="auto"/>
          <w:sz w:val="22"/>
          <w:szCs w:val="22"/>
        </w:rPr>
        <w:t>)</w:t>
      </w:r>
      <w:r w:rsidRPr="002E1A3F">
        <w:rPr>
          <w:rFonts w:ascii="Calibri" w:eastAsia="Times New Roman" w:hAnsi="Calibri" w:cs="Times New Roman"/>
          <w:color w:val="auto"/>
          <w:sz w:val="22"/>
          <w:szCs w:val="22"/>
        </w:rPr>
        <w:t xml:space="preserve"> at the </w:t>
      </w:r>
      <w:r w:rsidR="007B0E25">
        <w:rPr>
          <w:rFonts w:ascii="Calibri" w:eastAsia="Times New Roman" w:hAnsi="Calibri" w:cs="Times New Roman"/>
          <w:color w:val="auto"/>
          <w:sz w:val="22"/>
          <w:szCs w:val="22"/>
        </w:rPr>
        <w:t>UniPort</w:t>
      </w:r>
      <w:r w:rsidR="00AA35A6">
        <w:rPr>
          <w:rFonts w:ascii="Calibri" w:eastAsia="Times New Roman" w:hAnsi="Calibri" w:cs="Times New Roman"/>
          <w:color w:val="auto"/>
          <w:sz w:val="22"/>
          <w:szCs w:val="22"/>
        </w:rPr>
        <w:t xml:space="preserve"> and ACE</w:t>
      </w:r>
      <w:r w:rsidR="00A64BF6">
        <w:rPr>
          <w:rFonts w:ascii="Calibri" w:eastAsia="Times New Roman" w:hAnsi="Calibri" w:cs="Times New Roman"/>
          <w:color w:val="auto"/>
          <w:sz w:val="22"/>
          <w:szCs w:val="22"/>
        </w:rPr>
        <w:t xml:space="preserve"> </w:t>
      </w:r>
      <w:r w:rsidR="00AA35A6" w:rsidRPr="00AA35A6">
        <w:rPr>
          <w:rFonts w:ascii="Calibri" w:eastAsia="Times New Roman" w:hAnsi="Calibri" w:cs="Times New Roman"/>
          <w:color w:val="auto"/>
          <w:sz w:val="22"/>
          <w:szCs w:val="22"/>
        </w:rPr>
        <w:t>for Genomics of Infectious Diseases</w:t>
      </w:r>
      <w:r w:rsidR="00AA35A6">
        <w:rPr>
          <w:rFonts w:ascii="Calibri" w:eastAsia="Times New Roman" w:hAnsi="Calibri" w:cs="Times New Roman"/>
          <w:color w:val="auto"/>
          <w:sz w:val="22"/>
          <w:szCs w:val="22"/>
        </w:rPr>
        <w:t xml:space="preserve"> (</w:t>
      </w:r>
      <w:r w:rsidR="00DC27CA">
        <w:rPr>
          <w:rFonts w:ascii="Calibri" w:eastAsia="Times New Roman" w:hAnsi="Calibri" w:cs="Times New Roman"/>
          <w:color w:val="auto"/>
          <w:sz w:val="22"/>
          <w:szCs w:val="22"/>
        </w:rPr>
        <w:t xml:space="preserve">ACEGID at </w:t>
      </w:r>
      <w:r w:rsidR="00423ED0">
        <w:rPr>
          <w:rFonts w:ascii="Calibri" w:eastAsia="Times New Roman" w:hAnsi="Calibri" w:cs="Times New Roman"/>
          <w:color w:val="auto"/>
          <w:sz w:val="22"/>
          <w:szCs w:val="22"/>
        </w:rPr>
        <w:t>RU</w:t>
      </w:r>
      <w:r w:rsidRPr="002E1A3F">
        <w:rPr>
          <w:rFonts w:ascii="Calibri" w:eastAsia="Times New Roman" w:hAnsi="Calibri" w:cs="Times New Roman"/>
          <w:color w:val="auto"/>
          <w:sz w:val="22"/>
          <w:szCs w:val="22"/>
        </w:rPr>
        <w:t xml:space="preserve">) </w:t>
      </w:r>
      <w:r w:rsidR="00A64BF6">
        <w:rPr>
          <w:rFonts w:ascii="Calibri" w:eastAsia="Times New Roman" w:hAnsi="Calibri" w:cs="Times New Roman"/>
          <w:color w:val="auto"/>
          <w:sz w:val="22"/>
          <w:szCs w:val="22"/>
        </w:rPr>
        <w:t xml:space="preserve">and </w:t>
      </w:r>
      <w:r w:rsidR="00255DB5">
        <w:rPr>
          <w:rFonts w:ascii="Calibri" w:eastAsia="Times New Roman" w:hAnsi="Calibri" w:cs="Times New Roman"/>
          <w:color w:val="auto"/>
          <w:sz w:val="22"/>
          <w:szCs w:val="22"/>
        </w:rPr>
        <w:t xml:space="preserve">all centers in Ghana </w:t>
      </w:r>
      <w:r w:rsidRPr="002E1A3F">
        <w:rPr>
          <w:rFonts w:ascii="Calibri" w:eastAsia="Times New Roman" w:hAnsi="Calibri" w:cs="Times New Roman"/>
          <w:color w:val="auto"/>
          <w:sz w:val="22"/>
          <w:szCs w:val="22"/>
        </w:rPr>
        <w:t>has built strong partnerships with both indigenous and multinational industry that has resulted in over US$</w:t>
      </w:r>
      <w:r w:rsidR="002537E2">
        <w:rPr>
          <w:rFonts w:ascii="Calibri" w:eastAsia="Times New Roman" w:hAnsi="Calibri" w:cs="Times New Roman"/>
          <w:color w:val="auto"/>
          <w:sz w:val="22"/>
          <w:szCs w:val="22"/>
        </w:rPr>
        <w:t>1</w:t>
      </w:r>
      <w:r w:rsidR="007949E2">
        <w:rPr>
          <w:rFonts w:ascii="Calibri" w:eastAsia="Times New Roman" w:hAnsi="Calibri" w:cs="Times New Roman"/>
          <w:color w:val="auto"/>
          <w:sz w:val="22"/>
          <w:szCs w:val="22"/>
        </w:rPr>
        <w:t>5</w:t>
      </w:r>
      <w:r w:rsidRPr="002E1A3F">
        <w:rPr>
          <w:rFonts w:ascii="Calibri" w:eastAsia="Times New Roman" w:hAnsi="Calibri" w:cs="Times New Roman"/>
          <w:color w:val="auto"/>
          <w:sz w:val="22"/>
          <w:szCs w:val="22"/>
        </w:rPr>
        <w:t xml:space="preserve"> million in external revenues.  The Center of Excellence in Water, Energy and Environment at 2iE (Burkina Faso) has published over 100 publications in peer reviewed journals since its launch in 2014.  </w:t>
      </w:r>
    </w:p>
    <w:p w14:paraId="0D55621D" w14:textId="77777777" w:rsidR="002A1DBD" w:rsidRPr="002E1A3F" w:rsidRDefault="002A1DBD" w:rsidP="008E2709">
      <w:pPr>
        <w:widowControl/>
        <w:tabs>
          <w:tab w:val="left" w:pos="0"/>
          <w:tab w:val="left" w:pos="720"/>
        </w:tabs>
        <w:autoSpaceDE/>
        <w:autoSpaceDN/>
        <w:adjustRightInd/>
        <w:spacing w:line="259" w:lineRule="auto"/>
        <w:ind w:right="720"/>
        <w:jc w:val="both"/>
        <w:rPr>
          <w:rFonts w:ascii="Calibri" w:eastAsia="Times New Roman" w:hAnsi="Calibri" w:cs="Times New Roman"/>
          <w:b/>
          <w:color w:val="auto"/>
          <w:sz w:val="22"/>
          <w:szCs w:val="22"/>
        </w:rPr>
      </w:pPr>
    </w:p>
    <w:p w14:paraId="1FA1AA5C" w14:textId="77777777" w:rsidR="002E1A3F" w:rsidRPr="002E1A3F" w:rsidRDefault="00B00100" w:rsidP="008E2709">
      <w:pPr>
        <w:keepNext/>
        <w:keepLines/>
        <w:ind w:left="1080" w:right="1080"/>
        <w:jc w:val="center"/>
        <w:rPr>
          <w:rFonts w:ascii="Calibri" w:eastAsia="Times New Roman" w:hAnsi="Calibri" w:cs="Calibri"/>
          <w:sz w:val="22"/>
          <w:szCs w:val="22"/>
        </w:rPr>
      </w:pPr>
      <w:r w:rsidRPr="002E1A3F">
        <w:rPr>
          <w:rFonts w:ascii="Calibri" w:eastAsia="Times New Roman" w:hAnsi="Calibri" w:cs="Calibri"/>
          <w:b/>
          <w:sz w:val="22"/>
          <w:szCs w:val="22"/>
        </w:rPr>
        <w:t xml:space="preserve">Figure A7.3. </w:t>
      </w:r>
      <w:r w:rsidRPr="002E1A3F">
        <w:rPr>
          <w:rFonts w:ascii="Calibri" w:eastAsia="Times New Roman" w:hAnsi="Calibri" w:cs="Calibri"/>
          <w:b/>
          <w:i/>
          <w:sz w:val="22"/>
          <w:szCs w:val="22"/>
        </w:rPr>
        <w:t xml:space="preserve">External </w:t>
      </w:r>
      <w:r w:rsidR="00014B08">
        <w:rPr>
          <w:rFonts w:ascii="Calibri" w:eastAsia="Times New Roman" w:hAnsi="Calibri" w:cs="Calibri"/>
          <w:b/>
          <w:i/>
          <w:sz w:val="22"/>
          <w:szCs w:val="22"/>
        </w:rPr>
        <w:t>R</w:t>
      </w:r>
      <w:r w:rsidRPr="002E1A3F">
        <w:rPr>
          <w:rFonts w:ascii="Calibri" w:eastAsia="Times New Roman" w:hAnsi="Calibri" w:cs="Calibri"/>
          <w:b/>
          <w:i/>
          <w:sz w:val="22"/>
          <w:szCs w:val="22"/>
        </w:rPr>
        <w:t xml:space="preserve">evenue </w:t>
      </w:r>
      <w:r w:rsidR="00014B08">
        <w:rPr>
          <w:rFonts w:ascii="Calibri" w:eastAsia="Times New Roman" w:hAnsi="Calibri" w:cs="Calibri"/>
          <w:b/>
          <w:i/>
          <w:sz w:val="22"/>
          <w:szCs w:val="22"/>
        </w:rPr>
        <w:t>G</w:t>
      </w:r>
      <w:r w:rsidRPr="002E1A3F">
        <w:rPr>
          <w:rFonts w:ascii="Calibri" w:eastAsia="Times New Roman" w:hAnsi="Calibri" w:cs="Calibri"/>
          <w:b/>
          <w:i/>
          <w:sz w:val="22"/>
          <w:szCs w:val="22"/>
        </w:rPr>
        <w:t>enerated by ACEs</w:t>
      </w:r>
    </w:p>
    <w:p w14:paraId="18114B43" w14:textId="77777777" w:rsidR="002E1A3F" w:rsidRPr="002E1A3F" w:rsidRDefault="00B00100" w:rsidP="008E2709">
      <w:pPr>
        <w:keepNext/>
        <w:keepLines/>
        <w:tabs>
          <w:tab w:val="left" w:pos="0"/>
          <w:tab w:val="left" w:pos="720"/>
        </w:tabs>
        <w:jc w:val="center"/>
        <w:rPr>
          <w:rFonts w:eastAsia="Times New Roman" w:cs="Calibri"/>
          <w:b/>
        </w:rPr>
      </w:pPr>
      <w:r w:rsidRPr="002E1A3F">
        <w:rPr>
          <w:rFonts w:eastAsia="Times New Roman"/>
          <w:noProof/>
        </w:rPr>
        <w:drawing>
          <wp:inline distT="0" distB="0" distL="0" distR="0" wp14:anchorId="1D5485A8" wp14:editId="4E984729">
            <wp:extent cx="5029200" cy="27206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4786" name=""/>
                    <pic:cNvPicPr/>
                  </pic:nvPicPr>
                  <pic:blipFill>
                    <a:blip r:embed="rId58"/>
                    <a:stretch>
                      <a:fillRect/>
                    </a:stretch>
                  </pic:blipFill>
                  <pic:spPr>
                    <a:xfrm>
                      <a:off x="0" y="0"/>
                      <a:ext cx="5031187" cy="2721733"/>
                    </a:xfrm>
                    <a:prstGeom prst="rect">
                      <a:avLst/>
                    </a:prstGeom>
                  </pic:spPr>
                </pic:pic>
              </a:graphicData>
            </a:graphic>
          </wp:inline>
        </w:drawing>
      </w:r>
    </w:p>
    <w:p w14:paraId="6A8119E3" w14:textId="77777777" w:rsidR="008E11E8" w:rsidRDefault="00B00100" w:rsidP="00FC1A97">
      <w:pPr>
        <w:widowControl/>
        <w:autoSpaceDE/>
        <w:autoSpaceDN/>
        <w:adjustRightInd/>
        <w:spacing w:line="259" w:lineRule="auto"/>
        <w:jc w:val="both"/>
        <w:rPr>
          <w:rFonts w:ascii="Calibri" w:eastAsia="Calibri" w:hAnsi="Calibri" w:cs="Times New Roman"/>
          <w:i/>
          <w:color w:val="auto"/>
          <w:sz w:val="18"/>
          <w:szCs w:val="20"/>
        </w:rPr>
      </w:pPr>
      <w:r>
        <w:rPr>
          <w:rFonts w:ascii="Calibri" w:eastAsia="Calibri" w:hAnsi="Calibri" w:cs="Times New Roman"/>
          <w:i/>
          <w:color w:val="auto"/>
          <w:sz w:val="18"/>
          <w:szCs w:val="20"/>
        </w:rPr>
        <w:t xml:space="preserve">                          </w:t>
      </w:r>
      <w:r w:rsidR="004E68F9" w:rsidRPr="000C46A6">
        <w:rPr>
          <w:rFonts w:ascii="Calibri" w:eastAsia="Calibri" w:hAnsi="Calibri" w:cs="Times New Roman"/>
          <w:i/>
          <w:color w:val="auto"/>
          <w:sz w:val="18"/>
          <w:szCs w:val="20"/>
        </w:rPr>
        <w:t xml:space="preserve">Source: World Bank calculations using data from </w:t>
      </w:r>
      <w:r w:rsidR="00BB4A89" w:rsidRPr="000C46A6">
        <w:rPr>
          <w:rFonts w:ascii="Calibri" w:eastAsia="Calibri" w:hAnsi="Calibri" w:cs="Times New Roman"/>
          <w:i/>
          <w:color w:val="auto"/>
          <w:sz w:val="18"/>
          <w:szCs w:val="20"/>
        </w:rPr>
        <w:t>ACE I Project</w:t>
      </w:r>
      <w:r w:rsidR="004E68F9" w:rsidRPr="000C46A6">
        <w:rPr>
          <w:rFonts w:ascii="Calibri" w:eastAsia="Calibri" w:hAnsi="Calibri" w:cs="Times New Roman"/>
          <w:i/>
          <w:color w:val="auto"/>
          <w:sz w:val="18"/>
          <w:szCs w:val="20"/>
        </w:rPr>
        <w:t xml:space="preserve"> results from The World Bank ACE Team, 2017.</w:t>
      </w:r>
    </w:p>
    <w:p w14:paraId="75CAFD6B" w14:textId="77777777" w:rsidR="008E11E8" w:rsidRPr="000C46A6" w:rsidRDefault="008E11E8" w:rsidP="008E2709">
      <w:pPr>
        <w:widowControl/>
        <w:autoSpaceDE/>
        <w:autoSpaceDN/>
        <w:adjustRightInd/>
        <w:spacing w:line="259" w:lineRule="auto"/>
        <w:jc w:val="both"/>
        <w:rPr>
          <w:rFonts w:ascii="Calibri" w:eastAsia="Calibri" w:hAnsi="Calibri" w:cs="Times New Roman"/>
          <w:i/>
          <w:color w:val="auto"/>
          <w:sz w:val="18"/>
          <w:szCs w:val="20"/>
        </w:rPr>
      </w:pPr>
    </w:p>
    <w:p w14:paraId="0768D78D" w14:textId="77777777" w:rsidR="002E1A3F" w:rsidRPr="008E2709"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Calibri"/>
          <w:b/>
          <w:color w:val="auto"/>
          <w:sz w:val="22"/>
          <w:szCs w:val="22"/>
        </w:rPr>
      </w:pPr>
      <w:r w:rsidRPr="002E1A3F">
        <w:rPr>
          <w:rFonts w:ascii="Calibri" w:eastAsia="Times New Roman" w:hAnsi="Calibri" w:cs="Calibri"/>
          <w:b/>
          <w:color w:val="auto"/>
          <w:sz w:val="22"/>
          <w:szCs w:val="22"/>
        </w:rPr>
        <w:t xml:space="preserve">The ability of the labor market to absorb a growing labor force with higher education depends not only on economic and job growth but also, critically, on the type of skills that are available to underpin growth. </w:t>
      </w:r>
      <w:r w:rsidRPr="002E1A3F">
        <w:rPr>
          <w:rFonts w:ascii="Calibri" w:eastAsia="Times New Roman" w:hAnsi="Calibri" w:cs="Calibri"/>
          <w:color w:val="auto"/>
          <w:sz w:val="22"/>
          <w:szCs w:val="22"/>
        </w:rPr>
        <w:t xml:space="preserve">The implementation of the </w:t>
      </w:r>
      <w:r w:rsidR="00BB4A89">
        <w:rPr>
          <w:rFonts w:ascii="Calibri" w:eastAsia="Times New Roman" w:hAnsi="Calibri" w:cs="Calibri"/>
          <w:color w:val="auto"/>
          <w:sz w:val="22"/>
          <w:szCs w:val="22"/>
        </w:rPr>
        <w:t>ACE I Project</w:t>
      </w:r>
      <w:r w:rsidRPr="002E1A3F">
        <w:rPr>
          <w:rFonts w:ascii="Calibri" w:eastAsia="Times New Roman" w:hAnsi="Calibri" w:cs="Calibri"/>
          <w:color w:val="auto"/>
          <w:sz w:val="22"/>
          <w:szCs w:val="22"/>
        </w:rPr>
        <w:t xml:space="preserve"> to date provides strong justification for public sector investment in higher education. The </w:t>
      </w:r>
      <w:r w:rsidR="00BB4A89">
        <w:rPr>
          <w:rFonts w:ascii="Calibri" w:eastAsia="Times New Roman" w:hAnsi="Calibri" w:cs="Calibri"/>
          <w:color w:val="auto"/>
          <w:sz w:val="22"/>
          <w:szCs w:val="22"/>
        </w:rPr>
        <w:t>ACE I Project</w:t>
      </w:r>
      <w:r w:rsidRPr="002E1A3F">
        <w:rPr>
          <w:rFonts w:ascii="Calibri" w:eastAsia="Times New Roman" w:hAnsi="Calibri" w:cs="Calibri"/>
          <w:color w:val="auto"/>
          <w:sz w:val="22"/>
          <w:szCs w:val="22"/>
        </w:rPr>
        <w:t xml:space="preserve"> has triggered interest from many countries for support from the WBG, to: (1) develop and sustain their higher education systems, and (2) benefit from ongoing regional specialization initiatives. The Second </w:t>
      </w:r>
      <w:r w:rsidR="00BB4A89">
        <w:rPr>
          <w:rFonts w:ascii="Calibri" w:eastAsia="Times New Roman" w:hAnsi="Calibri" w:cs="Calibri"/>
          <w:color w:val="auto"/>
          <w:sz w:val="22"/>
          <w:szCs w:val="22"/>
        </w:rPr>
        <w:t>ACE Impact Project</w:t>
      </w:r>
      <w:r w:rsidRPr="002E1A3F">
        <w:rPr>
          <w:rFonts w:ascii="Calibri" w:eastAsia="Times New Roman" w:hAnsi="Calibri" w:cs="Calibri"/>
          <w:color w:val="auto"/>
          <w:sz w:val="22"/>
          <w:szCs w:val="22"/>
        </w:rPr>
        <w:t xml:space="preserve"> will support recipient countries to invest in regional specialization among participating universities in areas that address selected regional challenges (energy, extractives, agriculture, health, education, housing/urban planning, quantitative economics, transport and ICT) and strengthen their capacity to deliver quality training and produce applied research. </w:t>
      </w:r>
    </w:p>
    <w:p w14:paraId="5C22026E" w14:textId="77777777" w:rsidR="008E11E8" w:rsidRPr="002E1A3F" w:rsidRDefault="008E11E8" w:rsidP="008E2709">
      <w:pPr>
        <w:widowControl/>
        <w:tabs>
          <w:tab w:val="left" w:pos="0"/>
          <w:tab w:val="left" w:pos="720"/>
        </w:tabs>
        <w:autoSpaceDE/>
        <w:autoSpaceDN/>
        <w:adjustRightInd/>
        <w:spacing w:line="259" w:lineRule="auto"/>
        <w:ind w:right="720"/>
        <w:jc w:val="both"/>
        <w:rPr>
          <w:rFonts w:ascii="Calibri" w:eastAsia="Times New Roman" w:hAnsi="Calibri" w:cs="Calibri"/>
          <w:b/>
          <w:color w:val="auto"/>
          <w:sz w:val="22"/>
          <w:szCs w:val="22"/>
        </w:rPr>
      </w:pPr>
    </w:p>
    <w:p w14:paraId="1FC4175F"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 xml:space="preserve">The economic analysis of the proposed project consists of two parts: a cost-benefit analysis, and a financing sustainability analysis. </w:t>
      </w:r>
      <w:r w:rsidRPr="002E1A3F">
        <w:rPr>
          <w:rFonts w:ascii="Calibri" w:eastAsia="Times New Roman" w:hAnsi="Calibri" w:cs="Times New Roman"/>
          <w:color w:val="auto"/>
          <w:sz w:val="22"/>
          <w:szCs w:val="22"/>
        </w:rPr>
        <w:t xml:space="preserve">First, a cost-benefit methodology will be employed to estimate </w:t>
      </w:r>
      <w:r w:rsidRPr="002E1A3F">
        <w:rPr>
          <w:rFonts w:ascii="Calibri" w:eastAsia="Times New Roman" w:hAnsi="Calibri" w:cs="Times New Roman"/>
          <w:color w:val="auto"/>
          <w:sz w:val="22"/>
          <w:szCs w:val="22"/>
        </w:rPr>
        <w:lastRenderedPageBreak/>
        <w:t xml:space="preserve">NPV of the proposed project as well as the IRR. It will calculate the net benefits generated by each project </w:t>
      </w:r>
      <w:r w:rsidR="000E53FF">
        <w:rPr>
          <w:rFonts w:ascii="Calibri" w:eastAsia="Times New Roman" w:hAnsi="Calibri" w:cs="Times New Roman"/>
          <w:color w:val="auto"/>
          <w:sz w:val="22"/>
          <w:szCs w:val="22"/>
        </w:rPr>
        <w:t>C</w:t>
      </w:r>
      <w:r w:rsidRPr="002E1A3F">
        <w:rPr>
          <w:rFonts w:ascii="Calibri" w:eastAsia="Times New Roman" w:hAnsi="Calibri" w:cs="Times New Roman"/>
          <w:color w:val="auto"/>
          <w:sz w:val="22"/>
          <w:szCs w:val="22"/>
        </w:rPr>
        <w:t xml:space="preserve">omponent on an incremental basis. These net benefits are equal to the difference between the incremental benefits and the project costs (both direct and indirect).  The incremental benefits are </w:t>
      </w:r>
      <w:r w:rsidRPr="002E1A3F">
        <w:rPr>
          <w:rFonts w:ascii="Calibri" w:eastAsia="Times New Roman" w:hAnsi="Calibri" w:cs="Calibri"/>
          <w:color w:val="auto"/>
          <w:sz w:val="22"/>
          <w:szCs w:val="22"/>
        </w:rPr>
        <w:t>defined</w:t>
      </w:r>
      <w:r w:rsidRPr="002E1A3F">
        <w:rPr>
          <w:rFonts w:ascii="Calibri" w:eastAsia="Times New Roman" w:hAnsi="Calibri" w:cs="Times New Roman"/>
          <w:color w:val="auto"/>
          <w:sz w:val="22"/>
          <w:szCs w:val="22"/>
        </w:rPr>
        <w:t xml:space="preserve"> as the positive effects induced by the project, notably: (i) increased earnings and improved employment prospects of </w:t>
      </w:r>
      <w:r w:rsidRPr="002E1A3F">
        <w:rPr>
          <w:rFonts w:ascii="Calibri" w:eastAsia="Times New Roman" w:hAnsi="Calibri" w:cs="Calibri"/>
          <w:color w:val="auto"/>
          <w:sz w:val="22"/>
          <w:szCs w:val="22"/>
        </w:rPr>
        <w:t>project</w:t>
      </w:r>
      <w:r w:rsidRPr="002E1A3F">
        <w:rPr>
          <w:rFonts w:ascii="Calibri" w:eastAsia="Times New Roman" w:hAnsi="Calibri" w:cs="Times New Roman"/>
          <w:color w:val="auto"/>
          <w:sz w:val="22"/>
          <w:szCs w:val="22"/>
        </w:rPr>
        <w:t xml:space="preserve"> beneficiaries; (ii) estimates of the value of improved student learning and the higher quality of education; (iii) estimates of the economic value of reduced skills mismatch; and (iv) cost-savings accruing to regional specialization in higher education. Second, the sustainability analysis will examine the financing of funded university centers to examine the sources of financing for sustainability, including potential fiscal costs, student funding, industry and/or research funding. This analysis will be useful in the World Bank’s advice to the centers and governments to inform policy options for sustainable financing to support quality postgraduate education and research.</w:t>
      </w:r>
    </w:p>
    <w:p w14:paraId="40C15015" w14:textId="77777777" w:rsidR="00231BB1" w:rsidRPr="002E1A3F" w:rsidRDefault="00231BB1" w:rsidP="008E2709">
      <w:pPr>
        <w:widowControl/>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p>
    <w:p w14:paraId="532A14C9" w14:textId="77777777" w:rsidR="002E1A3F" w:rsidRPr="002E1A3F" w:rsidRDefault="00B00100" w:rsidP="008E2709">
      <w:pPr>
        <w:tabs>
          <w:tab w:val="left" w:pos="0"/>
          <w:tab w:val="left" w:pos="720"/>
        </w:tabs>
        <w:ind w:right="720"/>
        <w:jc w:val="both"/>
        <w:rPr>
          <w:rFonts w:ascii="Calibri" w:eastAsia="Times New Roman" w:hAnsi="Calibri" w:cs="Calibri"/>
          <w:b/>
          <w:i/>
          <w:color w:val="0070C0"/>
          <w:sz w:val="22"/>
          <w:szCs w:val="22"/>
        </w:rPr>
      </w:pPr>
      <w:r w:rsidRPr="002E1A3F">
        <w:rPr>
          <w:rFonts w:ascii="Calibri" w:eastAsia="Times New Roman" w:hAnsi="Calibri" w:cs="Calibri"/>
          <w:b/>
          <w:i/>
          <w:color w:val="0070C0"/>
          <w:sz w:val="22"/>
          <w:szCs w:val="22"/>
        </w:rPr>
        <w:t>Cost-Benefit Analysis (CBA)</w:t>
      </w:r>
    </w:p>
    <w:p w14:paraId="106C5716"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r w:rsidRPr="002E1A3F">
        <w:rPr>
          <w:rFonts w:ascii="Calibri" w:eastAsia="Times New Roman" w:hAnsi="Calibri" w:cs="Calibri"/>
          <w:b/>
          <w:color w:val="auto"/>
          <w:sz w:val="22"/>
          <w:szCs w:val="22"/>
        </w:rPr>
        <w:t xml:space="preserve">This section presents an economic analysis of Components 1 and 2 of the </w:t>
      </w:r>
      <w:r w:rsidR="00C056FE">
        <w:rPr>
          <w:rFonts w:ascii="Calibri" w:eastAsia="Times New Roman" w:hAnsi="Calibri" w:cs="Calibri"/>
          <w:b/>
          <w:color w:val="auto"/>
          <w:sz w:val="22"/>
          <w:szCs w:val="22"/>
        </w:rPr>
        <w:t xml:space="preserve">proposed </w:t>
      </w:r>
      <w:r w:rsidRPr="002E1A3F">
        <w:rPr>
          <w:rFonts w:ascii="Calibri" w:eastAsia="Times New Roman" w:hAnsi="Calibri" w:cs="Calibri"/>
          <w:b/>
          <w:color w:val="auto"/>
          <w:sz w:val="22"/>
          <w:szCs w:val="22"/>
        </w:rPr>
        <w:t xml:space="preserve">project using the cost-benefit methodology: </w:t>
      </w:r>
      <w:r w:rsidRPr="002E1A3F">
        <w:rPr>
          <w:rFonts w:ascii="Calibri" w:eastAsia="Times New Roman" w:hAnsi="Calibri" w:cs="Calibri"/>
          <w:b/>
          <w:i/>
          <w:color w:val="auto"/>
          <w:sz w:val="22"/>
          <w:szCs w:val="22"/>
        </w:rPr>
        <w:t xml:space="preserve">Establishing </w:t>
      </w:r>
      <w:r w:rsidR="000B5077">
        <w:rPr>
          <w:rFonts w:ascii="Calibri" w:eastAsia="Times New Roman" w:hAnsi="Calibri" w:cs="Calibri"/>
          <w:b/>
          <w:i/>
          <w:color w:val="auto"/>
          <w:sz w:val="22"/>
          <w:szCs w:val="22"/>
        </w:rPr>
        <w:t>N</w:t>
      </w:r>
      <w:r w:rsidRPr="002E1A3F">
        <w:rPr>
          <w:rFonts w:ascii="Calibri" w:eastAsia="Times New Roman" w:hAnsi="Calibri" w:cs="Calibri"/>
          <w:b/>
          <w:i/>
          <w:color w:val="auto"/>
          <w:sz w:val="22"/>
          <w:szCs w:val="22"/>
        </w:rPr>
        <w:t>ew and scaling up well-performing existing Africa Centers of Excellence for Development Impact</w:t>
      </w:r>
      <w:r w:rsidRPr="002E1A3F">
        <w:rPr>
          <w:rFonts w:ascii="Calibri" w:eastAsia="Times New Roman" w:hAnsi="Calibri" w:cs="Calibri"/>
          <w:b/>
          <w:color w:val="auto"/>
          <w:sz w:val="22"/>
          <w:szCs w:val="22"/>
        </w:rPr>
        <w:t xml:space="preserve"> and </w:t>
      </w:r>
      <w:r w:rsidRPr="002E1A3F">
        <w:rPr>
          <w:rFonts w:ascii="Calibri" w:eastAsia="Times New Roman" w:hAnsi="Calibri" w:cs="Calibri"/>
          <w:b/>
          <w:i/>
          <w:color w:val="auto"/>
          <w:sz w:val="22"/>
          <w:szCs w:val="22"/>
        </w:rPr>
        <w:t>Fostering Regional Partnerships and Scholarships</w:t>
      </w:r>
      <w:r w:rsidRPr="002E1A3F">
        <w:rPr>
          <w:rFonts w:ascii="Calibri" w:eastAsia="Times New Roman" w:hAnsi="Calibri" w:cs="Calibri"/>
          <w:color w:val="auto"/>
          <w:sz w:val="22"/>
          <w:szCs w:val="22"/>
        </w:rPr>
        <w:t xml:space="preserve">. Components 1 and 2 account for the largest quantifiable portion (93 percent) of the project’s total investment with the purpose of improving the labor market outcomes for students in target universities. Component 3 – Enhancing national project facilitation and M&amp;E is non-quantifiable. The main objective of the non-quantifiable portion is to facilitate the effectiveness of the quantifiable portions and, hence, the benefits of the non-quantifiable portion are embodied in the benefits of the quantifiable portions. The economic feasibility of the study is examined through the calculation of an IRR and the NPV.  Calculations used aggregated data for SSA countries. </w:t>
      </w:r>
    </w:p>
    <w:p w14:paraId="2755A855" w14:textId="77777777" w:rsidR="008E11E8" w:rsidRPr="002E1A3F" w:rsidRDefault="008E11E8" w:rsidP="008E2709">
      <w:pPr>
        <w:widowControl/>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p>
    <w:p w14:paraId="1C278758" w14:textId="77777777" w:rsidR="002E1A3F" w:rsidRPr="002E1A3F" w:rsidRDefault="00B00100" w:rsidP="008E2709">
      <w:pPr>
        <w:widowControl/>
        <w:tabs>
          <w:tab w:val="left" w:pos="0"/>
          <w:tab w:val="left" w:pos="720"/>
        </w:tabs>
        <w:autoSpaceDE/>
        <w:autoSpaceDN/>
        <w:adjustRightInd/>
        <w:spacing w:line="259" w:lineRule="auto"/>
        <w:ind w:right="720"/>
        <w:jc w:val="both"/>
        <w:rPr>
          <w:rFonts w:ascii="Calibri" w:eastAsia="Times New Roman" w:hAnsi="Calibri" w:cs="Times New Roman"/>
          <w:b/>
          <w:i/>
          <w:color w:val="auto"/>
          <w:sz w:val="22"/>
          <w:szCs w:val="22"/>
          <w:u w:val="single"/>
        </w:rPr>
      </w:pPr>
      <w:r w:rsidRPr="002E1A3F">
        <w:rPr>
          <w:rFonts w:ascii="Calibri" w:eastAsia="Times New Roman" w:hAnsi="Calibri" w:cs="Times New Roman"/>
          <w:b/>
          <w:i/>
          <w:color w:val="auto"/>
          <w:sz w:val="22"/>
          <w:szCs w:val="22"/>
          <w:u w:val="single"/>
        </w:rPr>
        <w:t>Project benefits</w:t>
      </w:r>
    </w:p>
    <w:p w14:paraId="337FF2DE"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r w:rsidRPr="002E1A3F">
        <w:rPr>
          <w:rFonts w:ascii="Calibri" w:eastAsia="Times New Roman" w:hAnsi="Calibri" w:cs="Calibri"/>
          <w:b/>
          <w:color w:val="auto"/>
          <w:sz w:val="22"/>
          <w:szCs w:val="22"/>
        </w:rPr>
        <w:t>This analysis takes into account beneficiaries represented by regional and national students enrolled in programs to be offered at the ACE Impact centers</w:t>
      </w:r>
      <w:r w:rsidRPr="002E1A3F">
        <w:rPr>
          <w:rFonts w:ascii="Calibri" w:eastAsia="Times New Roman" w:hAnsi="Calibri" w:cs="Calibri"/>
          <w:color w:val="auto"/>
          <w:sz w:val="22"/>
          <w:szCs w:val="22"/>
        </w:rPr>
        <w:t xml:space="preserve">. External revenues generated by the centers are also considered in the estimation of project benefits. Component 1 principally targets both regional and national students while Component 2 emphasizes the promotion of regional students. The total number of students benefitting from the project was estimated using the non-cumulative target values determined under ACE I, since ACE I and ACE Impact projects have similar scope (22 centers in ACE I and </w:t>
      </w:r>
      <w:r w:rsidR="00FB22A3">
        <w:rPr>
          <w:rFonts w:ascii="Calibri" w:eastAsia="Times New Roman" w:hAnsi="Calibri" w:cs="Calibri"/>
          <w:color w:val="auto"/>
          <w:sz w:val="22"/>
          <w:szCs w:val="22"/>
        </w:rPr>
        <w:t>43</w:t>
      </w:r>
      <w:r w:rsidRPr="002E1A3F">
        <w:rPr>
          <w:rFonts w:ascii="Calibri" w:eastAsia="Times New Roman" w:hAnsi="Calibri" w:cs="Calibri"/>
          <w:color w:val="auto"/>
          <w:sz w:val="22"/>
          <w:szCs w:val="22"/>
        </w:rPr>
        <w:t xml:space="preserve"> expected centers for the two phases of the </w:t>
      </w:r>
      <w:r w:rsidR="00BB4A89">
        <w:rPr>
          <w:rFonts w:ascii="Calibri" w:eastAsia="Times New Roman" w:hAnsi="Calibri" w:cs="Calibri"/>
          <w:color w:val="auto"/>
          <w:sz w:val="22"/>
          <w:szCs w:val="22"/>
        </w:rPr>
        <w:t>ACE Impact Project</w:t>
      </w:r>
      <w:r w:rsidRPr="002E1A3F">
        <w:rPr>
          <w:rFonts w:ascii="Calibri" w:eastAsia="Times New Roman" w:hAnsi="Calibri" w:cs="Calibri"/>
          <w:color w:val="auto"/>
          <w:sz w:val="22"/>
          <w:szCs w:val="22"/>
        </w:rPr>
        <w:t>).</w:t>
      </w:r>
    </w:p>
    <w:p w14:paraId="4E94F575" w14:textId="77777777" w:rsidR="008E11E8" w:rsidRPr="002E1A3F" w:rsidRDefault="008E11E8" w:rsidP="008E2709">
      <w:pPr>
        <w:widowControl/>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p>
    <w:p w14:paraId="439955EE"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r w:rsidRPr="002E1A3F">
        <w:rPr>
          <w:rFonts w:ascii="Calibri" w:eastAsia="Times New Roman" w:hAnsi="Calibri" w:cs="Calibri"/>
          <w:b/>
          <w:color w:val="auto"/>
          <w:sz w:val="22"/>
          <w:szCs w:val="22"/>
        </w:rPr>
        <w:t xml:space="preserve">A challenge in calculating both private and social returns to education is the difficulty in objectively measuring the benefits of higher education. </w:t>
      </w:r>
      <w:r w:rsidRPr="002E1A3F">
        <w:rPr>
          <w:rFonts w:ascii="Calibri" w:eastAsia="Times New Roman" w:hAnsi="Calibri" w:cs="Calibri"/>
          <w:color w:val="auto"/>
          <w:sz w:val="22"/>
          <w:szCs w:val="22"/>
        </w:rPr>
        <w:t xml:space="preserve">In this analysis, benefits are measured by earnings, a proxy for productivity, but it does not quantify in monetary terms the improvements in the quality of life of the graduates, mobility, and ability of individuals to re-skilled themselves later in life.  In calculating social returns to education, it is difficult to capture longer-terms benefits associated with an improved supply of graduates with higher education such as improved economic growth linked to investing in human capital, a workforce better able to adapt technologies that help countries catch-up faster, and investments made possible from higher savings.  Consequently, the benefits calculated in this </w:t>
      </w:r>
      <w:r w:rsidRPr="002E1A3F">
        <w:rPr>
          <w:rFonts w:ascii="Calibri" w:eastAsia="Times New Roman" w:hAnsi="Calibri" w:cs="Calibri"/>
          <w:color w:val="auto"/>
          <w:sz w:val="22"/>
          <w:szCs w:val="22"/>
        </w:rPr>
        <w:lastRenderedPageBreak/>
        <w:t xml:space="preserve">cost-benefit analysis are restricted to salaries only, and disregard a number of externalities such as the impact of graduates on co-workers, productivity improvements, innovation, etc. </w:t>
      </w:r>
    </w:p>
    <w:p w14:paraId="6C826FCA" w14:textId="77777777" w:rsidR="008E11E8" w:rsidRDefault="008E11E8" w:rsidP="00FC1A97">
      <w:pPr>
        <w:widowControl/>
        <w:tabs>
          <w:tab w:val="left" w:pos="0"/>
          <w:tab w:val="left" w:pos="720"/>
        </w:tabs>
        <w:autoSpaceDE/>
        <w:autoSpaceDN/>
        <w:adjustRightInd/>
        <w:spacing w:line="259" w:lineRule="auto"/>
        <w:ind w:right="720"/>
        <w:jc w:val="both"/>
        <w:rPr>
          <w:rFonts w:ascii="Calibri" w:eastAsia="Times New Roman" w:hAnsi="Calibri" w:cs="Calibri"/>
          <w:color w:val="auto"/>
          <w:sz w:val="22"/>
          <w:szCs w:val="22"/>
        </w:rPr>
      </w:pPr>
    </w:p>
    <w:p w14:paraId="63077A89" w14:textId="77777777" w:rsidR="002E1A3F" w:rsidRPr="002E1A3F" w:rsidRDefault="00B00100" w:rsidP="008E2709">
      <w:pPr>
        <w:widowControl/>
        <w:tabs>
          <w:tab w:val="left" w:pos="0"/>
          <w:tab w:val="left" w:pos="720"/>
        </w:tabs>
        <w:autoSpaceDE/>
        <w:autoSpaceDN/>
        <w:adjustRightInd/>
        <w:spacing w:line="259" w:lineRule="auto"/>
        <w:ind w:right="720"/>
        <w:jc w:val="both"/>
        <w:rPr>
          <w:rFonts w:ascii="Calibri" w:eastAsia="Times New Roman" w:hAnsi="Calibri" w:cs="Times New Roman"/>
          <w:b/>
          <w:i/>
          <w:color w:val="auto"/>
          <w:sz w:val="22"/>
          <w:szCs w:val="22"/>
          <w:u w:val="single"/>
        </w:rPr>
      </w:pPr>
      <w:r w:rsidRPr="002E1A3F">
        <w:rPr>
          <w:rFonts w:ascii="Calibri" w:eastAsia="Times New Roman" w:hAnsi="Calibri" w:cs="Times New Roman"/>
          <w:b/>
          <w:i/>
          <w:color w:val="auto"/>
          <w:sz w:val="22"/>
          <w:szCs w:val="22"/>
          <w:u w:val="single"/>
        </w:rPr>
        <w:t>Assumptions</w:t>
      </w:r>
    </w:p>
    <w:p w14:paraId="30F4D82D" w14:textId="77777777" w:rsidR="002E1A3F" w:rsidRPr="002E1A3F" w:rsidRDefault="00B00100" w:rsidP="008E2709">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Several assumptions were considered in the sensitivity analysis. The base-case analysis assumes that the project will achieve 100 percent of the estimated students target value</w:t>
      </w:r>
      <w:r w:rsidRPr="002E1A3F">
        <w:rPr>
          <w:rFonts w:ascii="Calibri" w:eastAsia="Times New Roman" w:hAnsi="Calibri" w:cs="Times New Roman"/>
          <w:color w:val="auto"/>
          <w:sz w:val="22"/>
          <w:szCs w:val="22"/>
        </w:rPr>
        <w:t>. For these individuals, the private rates of return are calculated using the assumptions listed below. The benefits are then multiplied by the number of graduates that are expected to enroll in ACE Impact centers’ graduate programs to calculate the cost-benefit analysis estimation. Below is the summary of assumptions adopted for the base scenario:</w:t>
      </w:r>
    </w:p>
    <w:p w14:paraId="3C15FA3C"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Opportunity cost</w:t>
      </w:r>
      <w:r w:rsidRPr="002E1A3F">
        <w:rPr>
          <w:rFonts w:ascii="Calibri" w:eastAsia="Times New Roman" w:hAnsi="Calibri" w:cs="Times New Roman"/>
          <w:color w:val="auto"/>
          <w:sz w:val="22"/>
          <w:szCs w:val="22"/>
        </w:rPr>
        <w:t>—</w:t>
      </w:r>
      <w:r w:rsidRPr="002E1A3F">
        <w:rPr>
          <w:rFonts w:ascii="Calibri" w:eastAsia="Times New Roman" w:hAnsi="Calibri" w:cs="Calibri"/>
          <w:color w:val="auto"/>
          <w:sz w:val="22"/>
          <w:szCs w:val="22"/>
        </w:rPr>
        <w:t>the loss of productive capacity measured as the loss of earnings for individuals that enroll for graduate studies in the Centers of Excellence. The calculation of opportunity costs assumes that students would not be idle or unemployed if they were not enrolled in education</w:t>
      </w:r>
      <w:r w:rsidRPr="002E1A3F">
        <w:rPr>
          <w:rFonts w:ascii="Calibri" w:eastAsia="Times New Roman" w:hAnsi="Calibri" w:cs="Times New Roman"/>
          <w:color w:val="auto"/>
          <w:sz w:val="22"/>
          <w:szCs w:val="22"/>
        </w:rPr>
        <w:t>.</w:t>
      </w:r>
    </w:p>
    <w:p w14:paraId="322D9901"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Discount rate</w:t>
      </w:r>
      <w:r w:rsidRPr="002E1A3F">
        <w:rPr>
          <w:rFonts w:ascii="Calibri" w:eastAsia="Times New Roman" w:hAnsi="Calibri" w:cs="Calibri"/>
          <w:color w:val="auto"/>
          <w:sz w:val="22"/>
          <w:szCs w:val="22"/>
        </w:rPr>
        <w:t>— assumed discount rate of 12 percent based on literature on discount rates that suggest a range of 8 to 12 percent for developing countries.</w:t>
      </w:r>
    </w:p>
    <w:p w14:paraId="1A53809A"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Inflation rate</w:t>
      </w:r>
      <w:r w:rsidRPr="002E1A3F">
        <w:rPr>
          <w:rFonts w:ascii="Calibri" w:eastAsia="Times New Roman" w:hAnsi="Calibri" w:cs="Times New Roman"/>
          <w:color w:val="auto"/>
          <w:sz w:val="22"/>
          <w:szCs w:val="22"/>
        </w:rPr>
        <w:t xml:space="preserve">— </w:t>
      </w:r>
      <w:r w:rsidRPr="002E1A3F">
        <w:rPr>
          <w:rFonts w:ascii="Calibri" w:eastAsia="Times New Roman" w:hAnsi="Calibri" w:cs="Calibri"/>
          <w:color w:val="auto"/>
          <w:sz w:val="22"/>
          <w:szCs w:val="22"/>
        </w:rPr>
        <w:t xml:space="preserve">inflation is assumed to be zero, so that the wage-experience profiles estimated at one point can be used to calculate life-time wage experience profiles for graduates. </w:t>
      </w:r>
    </w:p>
    <w:p w14:paraId="10794121"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Graduates salaries</w:t>
      </w:r>
      <w:r w:rsidRPr="002E1A3F">
        <w:rPr>
          <w:rFonts w:ascii="Calibri" w:eastAsia="Times New Roman" w:hAnsi="Calibri" w:cs="Times New Roman"/>
          <w:color w:val="auto"/>
          <w:sz w:val="22"/>
          <w:szCs w:val="22"/>
        </w:rPr>
        <w:t>—</w:t>
      </w:r>
      <w:r w:rsidRPr="002E1A3F">
        <w:rPr>
          <w:rFonts w:ascii="Calibri" w:eastAsia="Times New Roman" w:hAnsi="Calibri" w:cs="Calibri"/>
          <w:color w:val="auto"/>
          <w:sz w:val="22"/>
          <w:szCs w:val="22"/>
        </w:rPr>
        <w:t>it is assumed that the salary of the graduate does not vary from year to year.  Annual earnings are calculated by multiplying weekly earnings by 52, monthly earning</w:t>
      </w:r>
      <w:r w:rsidR="00C056FE">
        <w:rPr>
          <w:rFonts w:ascii="Calibri" w:eastAsia="Times New Roman" w:hAnsi="Calibri" w:cs="Calibri"/>
          <w:color w:val="auto"/>
          <w:sz w:val="22"/>
          <w:szCs w:val="22"/>
        </w:rPr>
        <w:t>s</w:t>
      </w:r>
      <w:r w:rsidRPr="002E1A3F">
        <w:rPr>
          <w:rFonts w:ascii="Calibri" w:eastAsia="Times New Roman" w:hAnsi="Calibri" w:cs="Calibri"/>
          <w:color w:val="auto"/>
          <w:sz w:val="22"/>
          <w:szCs w:val="22"/>
        </w:rPr>
        <w:t xml:space="preserve"> by 12, etc</w:t>
      </w:r>
      <w:r w:rsidRPr="002E1A3F">
        <w:rPr>
          <w:rFonts w:ascii="Calibri" w:eastAsia="Times New Roman" w:hAnsi="Calibri" w:cs="Times New Roman"/>
          <w:color w:val="auto"/>
          <w:sz w:val="22"/>
          <w:szCs w:val="22"/>
        </w:rPr>
        <w:t>.</w:t>
      </w:r>
    </w:p>
    <w:p w14:paraId="16C456C6"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Benefits</w:t>
      </w:r>
      <w:r w:rsidRPr="002E1A3F">
        <w:rPr>
          <w:rFonts w:ascii="Calibri" w:eastAsia="Times New Roman" w:hAnsi="Calibri" w:cs="Times New Roman"/>
          <w:color w:val="auto"/>
          <w:sz w:val="22"/>
          <w:szCs w:val="22"/>
        </w:rPr>
        <w:t>—</w:t>
      </w:r>
      <w:r w:rsidRPr="002E1A3F">
        <w:rPr>
          <w:rFonts w:ascii="Calibri" w:eastAsia="Times New Roman" w:hAnsi="Calibri" w:cs="Calibri"/>
          <w:color w:val="auto"/>
          <w:sz w:val="22"/>
          <w:szCs w:val="22"/>
        </w:rPr>
        <w:t xml:space="preserve">benefits are calculated using the differences in the life-stream of both the treatment and control groups attributable to higher education. </w:t>
      </w:r>
    </w:p>
    <w:p w14:paraId="05419DDC" w14:textId="77777777" w:rsidR="002E1A3F" w:rsidRPr="002E1A3F" w:rsidRDefault="00B00100" w:rsidP="008E2709">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Retirement age</w:t>
      </w:r>
      <w:r w:rsidRPr="002E1A3F">
        <w:rPr>
          <w:rFonts w:ascii="Calibri" w:eastAsia="Times New Roman" w:hAnsi="Calibri" w:cs="Times New Roman"/>
          <w:color w:val="auto"/>
          <w:sz w:val="22"/>
          <w:szCs w:val="22"/>
        </w:rPr>
        <w:t>—</w:t>
      </w:r>
      <w:r w:rsidRPr="002E1A3F">
        <w:rPr>
          <w:rFonts w:ascii="Calibri" w:eastAsia="Times New Roman" w:hAnsi="Calibri" w:cs="Calibri"/>
          <w:color w:val="auto"/>
          <w:sz w:val="22"/>
          <w:szCs w:val="22"/>
        </w:rPr>
        <w:t xml:space="preserve">it is assumed that individuals work until they are 60 years-old. </w:t>
      </w:r>
    </w:p>
    <w:p w14:paraId="4151AFAD" w14:textId="77777777" w:rsidR="002E1A3F" w:rsidRPr="00404D02" w:rsidRDefault="00B00100" w:rsidP="00FC1A97">
      <w:pPr>
        <w:widowControl/>
        <w:numPr>
          <w:ilvl w:val="0"/>
          <w:numId w:val="38"/>
        </w:numPr>
        <w:autoSpaceDE/>
        <w:autoSpaceDN/>
        <w:adjustRightInd/>
        <w:spacing w:line="259" w:lineRule="auto"/>
        <w:ind w:left="1080"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Regularity of lectures and courses</w:t>
      </w:r>
      <w:r w:rsidRPr="002E1A3F">
        <w:rPr>
          <w:rFonts w:ascii="Calibri" w:eastAsia="Times New Roman" w:hAnsi="Calibri" w:cs="Times New Roman"/>
          <w:color w:val="auto"/>
          <w:sz w:val="22"/>
          <w:szCs w:val="22"/>
        </w:rPr>
        <w:t xml:space="preserve"> – </w:t>
      </w:r>
      <w:r w:rsidRPr="002E1A3F">
        <w:rPr>
          <w:rFonts w:ascii="Calibri" w:eastAsia="Times New Roman" w:hAnsi="Calibri" w:cs="Calibri"/>
          <w:color w:val="auto"/>
          <w:sz w:val="22"/>
          <w:szCs w:val="22"/>
        </w:rPr>
        <w:t>it is assumed that all lectures and courses are delivered on a regular basis (without any interruption such as faculty strike) and that there are no delays in the academic calendar.</w:t>
      </w:r>
    </w:p>
    <w:p w14:paraId="75CD66DF" w14:textId="77777777" w:rsidR="008E11E8" w:rsidRPr="002E1A3F" w:rsidRDefault="008E11E8" w:rsidP="008E2709">
      <w:pPr>
        <w:widowControl/>
        <w:autoSpaceDE/>
        <w:autoSpaceDN/>
        <w:adjustRightInd/>
        <w:spacing w:line="259" w:lineRule="auto"/>
        <w:ind w:left="1080" w:right="720"/>
        <w:jc w:val="both"/>
        <w:rPr>
          <w:rFonts w:ascii="Calibri" w:eastAsia="Times New Roman" w:hAnsi="Calibri" w:cs="Times New Roman"/>
          <w:color w:val="auto"/>
          <w:sz w:val="22"/>
          <w:szCs w:val="22"/>
        </w:rPr>
      </w:pPr>
    </w:p>
    <w:p w14:paraId="63F06FD9" w14:textId="77777777" w:rsidR="002E1A3F" w:rsidRPr="002E1A3F" w:rsidRDefault="00B00100" w:rsidP="008E2709">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 xml:space="preserve">Table A7.4 presents the estimated NPV and IRR for the project. </w:t>
      </w:r>
      <w:r w:rsidRPr="002E1A3F">
        <w:rPr>
          <w:rFonts w:ascii="Calibri" w:eastAsia="Times New Roman" w:hAnsi="Calibri" w:cs="Times New Roman"/>
          <w:color w:val="auto"/>
          <w:sz w:val="22"/>
          <w:szCs w:val="22"/>
        </w:rPr>
        <w:t xml:space="preserve">Table A7.4 presents the CBA for the base scenario. Calculations of the IRRs and NPVs for combined estimates of the quantifiable </w:t>
      </w:r>
      <w:r w:rsidR="000E53FF">
        <w:rPr>
          <w:rFonts w:ascii="Calibri" w:eastAsia="Times New Roman" w:hAnsi="Calibri" w:cs="Times New Roman"/>
          <w:color w:val="auto"/>
          <w:sz w:val="22"/>
          <w:szCs w:val="22"/>
        </w:rPr>
        <w:t>C</w:t>
      </w:r>
      <w:r w:rsidRPr="002E1A3F">
        <w:rPr>
          <w:rFonts w:ascii="Calibri" w:eastAsia="Times New Roman" w:hAnsi="Calibri" w:cs="Times New Roman"/>
          <w:color w:val="auto"/>
          <w:sz w:val="22"/>
          <w:szCs w:val="22"/>
        </w:rPr>
        <w:t>omponents for the project demonstrate that the project is economically viable. The present discounted value of benefits for the overall project is estimated to be US$229.7 million. The corresponding NPV of program benefits is US$35.88 million. The IRR associated with this NPV is 24.7 percent. Overall, the cost-benefit ratio estimated that for every US$1 invested there is a return of US$1.</w:t>
      </w:r>
      <w:r w:rsidR="00FA45D2">
        <w:rPr>
          <w:rFonts w:ascii="Calibri" w:eastAsia="Times New Roman" w:hAnsi="Calibri" w:cs="Times New Roman"/>
          <w:color w:val="auto"/>
          <w:sz w:val="22"/>
          <w:szCs w:val="22"/>
        </w:rPr>
        <w:t>2</w:t>
      </w:r>
      <w:r w:rsidRPr="002E1A3F">
        <w:rPr>
          <w:rFonts w:ascii="Calibri" w:eastAsia="Times New Roman" w:hAnsi="Calibri" w:cs="Times New Roman"/>
          <w:color w:val="auto"/>
          <w:sz w:val="22"/>
          <w:szCs w:val="22"/>
        </w:rPr>
        <w:t xml:space="preserve"> Consequently, while data to measure all benefits are not available, and given the high opportunity costs for project participants, the NPV derived from quantifiable benefits is greater than the NPV of costs, and the results support investment in the proposed project. </w:t>
      </w:r>
    </w:p>
    <w:p w14:paraId="19FFB4F8" w14:textId="77777777" w:rsidR="002E1A3F" w:rsidRPr="002E1A3F" w:rsidRDefault="00B00100" w:rsidP="008E2709">
      <w:pPr>
        <w:keepNext/>
        <w:keepLines/>
        <w:widowControl/>
        <w:autoSpaceDE/>
        <w:autoSpaceDN/>
        <w:adjustRightInd/>
        <w:ind w:left="540" w:right="540"/>
        <w:jc w:val="center"/>
        <w:rPr>
          <w:rFonts w:ascii="Calibri" w:eastAsia="Times New Roman" w:hAnsi="Calibri" w:cs="Calibri"/>
          <w:b/>
          <w:bCs/>
          <w:color w:val="auto"/>
          <w:sz w:val="22"/>
          <w:szCs w:val="22"/>
        </w:rPr>
      </w:pPr>
      <w:r w:rsidRPr="002E1A3F">
        <w:rPr>
          <w:rFonts w:ascii="Calibri" w:eastAsia="Times New Roman" w:hAnsi="Calibri" w:cs="Calibri"/>
          <w:b/>
          <w:bCs/>
          <w:color w:val="auto"/>
          <w:sz w:val="22"/>
          <w:szCs w:val="22"/>
        </w:rPr>
        <w:lastRenderedPageBreak/>
        <w:t>Table A7.4. NPV and IRR for Component 1 and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890"/>
        <w:gridCol w:w="2070"/>
        <w:gridCol w:w="2520"/>
      </w:tblGrid>
      <w:tr w:rsidR="000C3959" w14:paraId="197BB96C" w14:textId="77777777" w:rsidTr="000C46A6">
        <w:trPr>
          <w:trHeight w:val="341"/>
          <w:jc w:val="center"/>
        </w:trPr>
        <w:tc>
          <w:tcPr>
            <w:tcW w:w="2155" w:type="dxa"/>
            <w:shd w:val="clear" w:color="auto" w:fill="AEAAAA"/>
            <w:noWrap/>
            <w:vAlign w:val="center"/>
            <w:hideMark/>
          </w:tcPr>
          <w:p w14:paraId="01CE5F78" w14:textId="77777777" w:rsidR="002E1A3F" w:rsidRPr="000C46A6" w:rsidRDefault="00B00100">
            <w:pPr>
              <w:keepNext/>
              <w:keepLines/>
              <w:widowControl/>
              <w:autoSpaceDE/>
              <w:autoSpaceDN/>
              <w:adjustRightInd/>
              <w:spacing w:line="259" w:lineRule="auto"/>
              <w:jc w:val="center"/>
              <w:rPr>
                <w:rFonts w:ascii="Calibri" w:eastAsia="Calibri" w:hAnsi="Calibri" w:cs="Times New Roman"/>
                <w:color w:val="auto"/>
                <w:sz w:val="20"/>
                <w:szCs w:val="22"/>
              </w:rPr>
            </w:pPr>
            <w:r w:rsidRPr="000C46A6">
              <w:rPr>
                <w:rFonts w:ascii="Calibri" w:eastAsia="Calibri" w:hAnsi="Calibri" w:cs="Times New Roman"/>
                <w:color w:val="auto"/>
                <w:sz w:val="20"/>
                <w:szCs w:val="22"/>
              </w:rPr>
              <w:t>Year</w:t>
            </w:r>
          </w:p>
        </w:tc>
        <w:tc>
          <w:tcPr>
            <w:tcW w:w="1890" w:type="dxa"/>
            <w:shd w:val="clear" w:color="auto" w:fill="AEAAAA"/>
            <w:vAlign w:val="center"/>
            <w:hideMark/>
          </w:tcPr>
          <w:p w14:paraId="65313C1C"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Cost (US$)</w:t>
            </w:r>
          </w:p>
        </w:tc>
        <w:tc>
          <w:tcPr>
            <w:tcW w:w="2070" w:type="dxa"/>
            <w:shd w:val="clear" w:color="auto" w:fill="AEAAAA"/>
            <w:vAlign w:val="center"/>
            <w:hideMark/>
          </w:tcPr>
          <w:p w14:paraId="2CDBDCE3"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Benefits (US$)</w:t>
            </w:r>
          </w:p>
        </w:tc>
        <w:tc>
          <w:tcPr>
            <w:tcW w:w="2520" w:type="dxa"/>
            <w:shd w:val="clear" w:color="auto" w:fill="AEAAAA"/>
            <w:vAlign w:val="center"/>
            <w:hideMark/>
          </w:tcPr>
          <w:p w14:paraId="09B5AB5D"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Benefits - Costs</w:t>
            </w:r>
          </w:p>
        </w:tc>
      </w:tr>
      <w:tr w:rsidR="000C3959" w14:paraId="04FF2A13" w14:textId="77777777" w:rsidTr="00D36977">
        <w:trPr>
          <w:trHeight w:val="320"/>
          <w:jc w:val="center"/>
        </w:trPr>
        <w:tc>
          <w:tcPr>
            <w:tcW w:w="2155" w:type="dxa"/>
            <w:noWrap/>
            <w:vAlign w:val="center"/>
            <w:hideMark/>
          </w:tcPr>
          <w:p w14:paraId="3A852546"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2019</w:t>
            </w:r>
          </w:p>
        </w:tc>
        <w:tc>
          <w:tcPr>
            <w:tcW w:w="1890" w:type="dxa"/>
            <w:noWrap/>
            <w:vAlign w:val="center"/>
            <w:hideMark/>
          </w:tcPr>
          <w:p w14:paraId="20F3BB62"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5,422,667</w:t>
            </w:r>
          </w:p>
        </w:tc>
        <w:tc>
          <w:tcPr>
            <w:tcW w:w="2070" w:type="dxa"/>
            <w:noWrap/>
            <w:vAlign w:val="center"/>
            <w:hideMark/>
          </w:tcPr>
          <w:p w14:paraId="416866FC"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30,376,787</w:t>
            </w:r>
          </w:p>
        </w:tc>
        <w:tc>
          <w:tcPr>
            <w:tcW w:w="2520" w:type="dxa"/>
            <w:noWrap/>
            <w:vAlign w:val="center"/>
            <w:hideMark/>
          </w:tcPr>
          <w:p w14:paraId="5D4396DB"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24,954,121</w:t>
            </w:r>
          </w:p>
        </w:tc>
      </w:tr>
      <w:tr w:rsidR="000C3959" w14:paraId="74E88A97" w14:textId="77777777" w:rsidTr="00D36977">
        <w:trPr>
          <w:trHeight w:val="320"/>
          <w:jc w:val="center"/>
        </w:trPr>
        <w:tc>
          <w:tcPr>
            <w:tcW w:w="2155" w:type="dxa"/>
            <w:noWrap/>
            <w:vAlign w:val="center"/>
            <w:hideMark/>
          </w:tcPr>
          <w:p w14:paraId="4BFDDE90"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2020</w:t>
            </w:r>
          </w:p>
        </w:tc>
        <w:tc>
          <w:tcPr>
            <w:tcW w:w="1890" w:type="dxa"/>
            <w:noWrap/>
            <w:vAlign w:val="center"/>
            <w:hideMark/>
          </w:tcPr>
          <w:p w14:paraId="655014F9"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24,850,000</w:t>
            </w:r>
          </w:p>
        </w:tc>
        <w:tc>
          <w:tcPr>
            <w:tcW w:w="2070" w:type="dxa"/>
            <w:noWrap/>
            <w:vAlign w:val="center"/>
            <w:hideMark/>
          </w:tcPr>
          <w:p w14:paraId="4C418C6B"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28,233,294</w:t>
            </w:r>
          </w:p>
        </w:tc>
        <w:tc>
          <w:tcPr>
            <w:tcW w:w="2520" w:type="dxa"/>
            <w:noWrap/>
            <w:vAlign w:val="center"/>
            <w:hideMark/>
          </w:tcPr>
          <w:p w14:paraId="09B4B74C"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3,383,294</w:t>
            </w:r>
          </w:p>
        </w:tc>
      </w:tr>
      <w:tr w:rsidR="000C3959" w14:paraId="038DD936" w14:textId="77777777" w:rsidTr="00D36977">
        <w:trPr>
          <w:trHeight w:val="320"/>
          <w:jc w:val="center"/>
        </w:trPr>
        <w:tc>
          <w:tcPr>
            <w:tcW w:w="2155" w:type="dxa"/>
            <w:vAlign w:val="center"/>
            <w:hideMark/>
          </w:tcPr>
          <w:p w14:paraId="1819B499"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2021</w:t>
            </w:r>
          </w:p>
        </w:tc>
        <w:tc>
          <w:tcPr>
            <w:tcW w:w="1890" w:type="dxa"/>
            <w:noWrap/>
            <w:vAlign w:val="center"/>
            <w:hideMark/>
          </w:tcPr>
          <w:p w14:paraId="2D32213B"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37,611,607</w:t>
            </w:r>
          </w:p>
        </w:tc>
        <w:tc>
          <w:tcPr>
            <w:tcW w:w="2070" w:type="dxa"/>
            <w:noWrap/>
            <w:vAlign w:val="center"/>
            <w:hideMark/>
          </w:tcPr>
          <w:p w14:paraId="7731B17E"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36,221,119</w:t>
            </w:r>
          </w:p>
        </w:tc>
        <w:tc>
          <w:tcPr>
            <w:tcW w:w="2520" w:type="dxa"/>
            <w:noWrap/>
            <w:vAlign w:val="center"/>
            <w:hideMark/>
          </w:tcPr>
          <w:p w14:paraId="48731F8A"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-1,390,488</w:t>
            </w:r>
          </w:p>
        </w:tc>
      </w:tr>
      <w:tr w:rsidR="000C3959" w14:paraId="211CAB83" w14:textId="77777777" w:rsidTr="00D36977">
        <w:trPr>
          <w:trHeight w:val="320"/>
          <w:jc w:val="center"/>
        </w:trPr>
        <w:tc>
          <w:tcPr>
            <w:tcW w:w="2155" w:type="dxa"/>
            <w:noWrap/>
            <w:vAlign w:val="center"/>
            <w:hideMark/>
          </w:tcPr>
          <w:p w14:paraId="73D2AB8E"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2022</w:t>
            </w:r>
          </w:p>
        </w:tc>
        <w:tc>
          <w:tcPr>
            <w:tcW w:w="1890" w:type="dxa"/>
            <w:noWrap/>
            <w:vAlign w:val="center"/>
            <w:hideMark/>
          </w:tcPr>
          <w:p w14:paraId="740C569A"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45,539,700</w:t>
            </w:r>
          </w:p>
        </w:tc>
        <w:tc>
          <w:tcPr>
            <w:tcW w:w="2070" w:type="dxa"/>
            <w:noWrap/>
            <w:vAlign w:val="center"/>
            <w:hideMark/>
          </w:tcPr>
          <w:p w14:paraId="18634111"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31,927,423</w:t>
            </w:r>
          </w:p>
        </w:tc>
        <w:tc>
          <w:tcPr>
            <w:tcW w:w="2520" w:type="dxa"/>
            <w:noWrap/>
            <w:vAlign w:val="center"/>
            <w:hideMark/>
          </w:tcPr>
          <w:p w14:paraId="32C3EB0A"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-13,612,277</w:t>
            </w:r>
          </w:p>
        </w:tc>
      </w:tr>
      <w:tr w:rsidR="000C3959" w14:paraId="4A8E7936" w14:textId="77777777" w:rsidTr="00D36977">
        <w:trPr>
          <w:trHeight w:val="320"/>
          <w:jc w:val="center"/>
        </w:trPr>
        <w:tc>
          <w:tcPr>
            <w:tcW w:w="2155" w:type="dxa"/>
            <w:noWrap/>
            <w:vAlign w:val="center"/>
            <w:hideMark/>
          </w:tcPr>
          <w:p w14:paraId="63EC8200"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2023</w:t>
            </w:r>
          </w:p>
        </w:tc>
        <w:tc>
          <w:tcPr>
            <w:tcW w:w="1890" w:type="dxa"/>
            <w:noWrap/>
            <w:vAlign w:val="center"/>
            <w:hideMark/>
          </w:tcPr>
          <w:p w14:paraId="034429CC"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42,493,281</w:t>
            </w:r>
          </w:p>
        </w:tc>
        <w:tc>
          <w:tcPr>
            <w:tcW w:w="2070" w:type="dxa"/>
            <w:noWrap/>
            <w:vAlign w:val="center"/>
            <w:hideMark/>
          </w:tcPr>
          <w:p w14:paraId="69042AE2"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33,090,936</w:t>
            </w:r>
          </w:p>
        </w:tc>
        <w:tc>
          <w:tcPr>
            <w:tcW w:w="2520" w:type="dxa"/>
            <w:noWrap/>
            <w:vAlign w:val="center"/>
            <w:hideMark/>
          </w:tcPr>
          <w:p w14:paraId="5FEE0DA6"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-9,402,345</w:t>
            </w:r>
          </w:p>
        </w:tc>
      </w:tr>
      <w:tr w:rsidR="000C3959" w14:paraId="104CE5AF" w14:textId="77777777" w:rsidTr="00D36977">
        <w:trPr>
          <w:trHeight w:val="320"/>
          <w:jc w:val="center"/>
        </w:trPr>
        <w:tc>
          <w:tcPr>
            <w:tcW w:w="2155" w:type="dxa"/>
            <w:noWrap/>
            <w:vAlign w:val="center"/>
            <w:hideMark/>
          </w:tcPr>
          <w:p w14:paraId="56CCF9A3"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2024</w:t>
            </w:r>
          </w:p>
        </w:tc>
        <w:tc>
          <w:tcPr>
            <w:tcW w:w="1890" w:type="dxa"/>
            <w:noWrap/>
            <w:vAlign w:val="center"/>
            <w:hideMark/>
          </w:tcPr>
          <w:p w14:paraId="1091C712"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28,783,673</w:t>
            </w:r>
          </w:p>
        </w:tc>
        <w:tc>
          <w:tcPr>
            <w:tcW w:w="2070" w:type="dxa"/>
            <w:noWrap/>
            <w:vAlign w:val="center"/>
            <w:hideMark/>
          </w:tcPr>
          <w:p w14:paraId="438EC3BF"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34,299,143</w:t>
            </w:r>
          </w:p>
        </w:tc>
        <w:tc>
          <w:tcPr>
            <w:tcW w:w="2520" w:type="dxa"/>
            <w:noWrap/>
            <w:vAlign w:val="center"/>
            <w:hideMark/>
          </w:tcPr>
          <w:p w14:paraId="56F857CB"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5,515,470</w:t>
            </w:r>
          </w:p>
        </w:tc>
      </w:tr>
      <w:tr w:rsidR="000C3959" w14:paraId="4EDA3766" w14:textId="77777777" w:rsidTr="00D36977">
        <w:trPr>
          <w:trHeight w:val="320"/>
          <w:jc w:val="center"/>
        </w:trPr>
        <w:tc>
          <w:tcPr>
            <w:tcW w:w="2155" w:type="dxa"/>
            <w:noWrap/>
            <w:vAlign w:val="center"/>
            <w:hideMark/>
          </w:tcPr>
          <w:p w14:paraId="7114235E"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2025</w:t>
            </w:r>
          </w:p>
        </w:tc>
        <w:tc>
          <w:tcPr>
            <w:tcW w:w="1890" w:type="dxa"/>
            <w:noWrap/>
            <w:vAlign w:val="center"/>
            <w:hideMark/>
          </w:tcPr>
          <w:p w14:paraId="2C9DC137"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9,116,658</w:t>
            </w:r>
          </w:p>
        </w:tc>
        <w:tc>
          <w:tcPr>
            <w:tcW w:w="2070" w:type="dxa"/>
            <w:noWrap/>
            <w:vAlign w:val="center"/>
            <w:hideMark/>
          </w:tcPr>
          <w:p w14:paraId="3B0A1C65"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35,553,864</w:t>
            </w:r>
          </w:p>
        </w:tc>
        <w:tc>
          <w:tcPr>
            <w:tcW w:w="2520" w:type="dxa"/>
            <w:noWrap/>
            <w:vAlign w:val="center"/>
            <w:hideMark/>
          </w:tcPr>
          <w:p w14:paraId="0DF01820"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26,437,206</w:t>
            </w:r>
          </w:p>
        </w:tc>
      </w:tr>
      <w:tr w:rsidR="000C3959" w14:paraId="4D1D1BB3" w14:textId="77777777" w:rsidTr="00D36977">
        <w:trPr>
          <w:trHeight w:val="320"/>
          <w:jc w:val="center"/>
        </w:trPr>
        <w:tc>
          <w:tcPr>
            <w:tcW w:w="2155" w:type="dxa"/>
            <w:noWrap/>
            <w:vAlign w:val="center"/>
            <w:hideMark/>
          </w:tcPr>
          <w:p w14:paraId="248C319A"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Totals (and NPV)</w:t>
            </w:r>
          </w:p>
        </w:tc>
        <w:tc>
          <w:tcPr>
            <w:tcW w:w="1890" w:type="dxa"/>
            <w:noWrap/>
            <w:vAlign w:val="center"/>
            <w:hideMark/>
          </w:tcPr>
          <w:p w14:paraId="3157A9DA" w14:textId="77777777" w:rsidR="002E1A3F" w:rsidRPr="000C46A6" w:rsidRDefault="00B00100" w:rsidP="00F463C2">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193,817,586</w:t>
            </w:r>
          </w:p>
        </w:tc>
        <w:tc>
          <w:tcPr>
            <w:tcW w:w="2070" w:type="dxa"/>
            <w:noWrap/>
            <w:vAlign w:val="center"/>
            <w:hideMark/>
          </w:tcPr>
          <w:p w14:paraId="0B1BDFEC" w14:textId="77777777" w:rsidR="002E1A3F" w:rsidRPr="000C46A6" w:rsidRDefault="00B00100" w:rsidP="00FC1A97">
            <w:pPr>
              <w:keepNext/>
              <w:keepLines/>
              <w:widowControl/>
              <w:autoSpaceDE/>
              <w:autoSpaceDN/>
              <w:adjustRightInd/>
              <w:spacing w:line="259" w:lineRule="auto"/>
              <w:jc w:val="center"/>
              <w:rPr>
                <w:rFonts w:ascii="Calibri" w:eastAsia="Times New Roman" w:hAnsi="Calibri" w:cs="Times New Roman"/>
                <w:color w:val="auto"/>
                <w:sz w:val="20"/>
                <w:szCs w:val="22"/>
              </w:rPr>
            </w:pPr>
            <w:r w:rsidRPr="000C46A6">
              <w:rPr>
                <w:rFonts w:ascii="Calibri" w:eastAsia="Times New Roman" w:hAnsi="Calibri" w:cs="Calibri"/>
                <w:color w:val="auto"/>
                <w:sz w:val="20"/>
                <w:szCs w:val="22"/>
              </w:rPr>
              <w:t>229,702,565</w:t>
            </w:r>
          </w:p>
        </w:tc>
        <w:tc>
          <w:tcPr>
            <w:tcW w:w="2520" w:type="dxa"/>
            <w:noWrap/>
            <w:vAlign w:val="center"/>
            <w:hideMark/>
          </w:tcPr>
          <w:p w14:paraId="476A1E66"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35,884,979</w:t>
            </w:r>
          </w:p>
        </w:tc>
      </w:tr>
      <w:tr w:rsidR="000C3959" w14:paraId="40AEF687" w14:textId="77777777" w:rsidTr="00D36977">
        <w:trPr>
          <w:trHeight w:val="320"/>
          <w:jc w:val="center"/>
        </w:trPr>
        <w:tc>
          <w:tcPr>
            <w:tcW w:w="2155" w:type="dxa"/>
            <w:noWrap/>
            <w:vAlign w:val="center"/>
          </w:tcPr>
          <w:p w14:paraId="70BC8A66" w14:textId="77777777" w:rsidR="002E1A3F" w:rsidRPr="000C46A6" w:rsidRDefault="00B00100">
            <w:pPr>
              <w:keepNext/>
              <w:keepLines/>
              <w:widowControl/>
              <w:autoSpaceDE/>
              <w:autoSpaceDN/>
              <w:adjustRightInd/>
              <w:spacing w:line="259" w:lineRule="auto"/>
              <w:rPr>
                <w:rFonts w:ascii="Calibri" w:eastAsia="Calibri" w:hAnsi="Calibri" w:cs="Times New Roman"/>
                <w:color w:val="auto"/>
                <w:sz w:val="20"/>
                <w:szCs w:val="22"/>
              </w:rPr>
            </w:pPr>
            <w:r w:rsidRPr="000C46A6">
              <w:rPr>
                <w:rFonts w:ascii="Calibri" w:eastAsia="Calibri" w:hAnsi="Calibri" w:cs="Times New Roman"/>
                <w:color w:val="auto"/>
                <w:sz w:val="20"/>
                <w:szCs w:val="22"/>
              </w:rPr>
              <w:t>IRR</w:t>
            </w:r>
          </w:p>
        </w:tc>
        <w:tc>
          <w:tcPr>
            <w:tcW w:w="1890" w:type="dxa"/>
            <w:noWrap/>
            <w:vAlign w:val="center"/>
          </w:tcPr>
          <w:p w14:paraId="0C166C3C" w14:textId="77777777" w:rsidR="002E1A3F" w:rsidRPr="000C46A6" w:rsidRDefault="002E1A3F" w:rsidP="00F463C2">
            <w:pPr>
              <w:keepNext/>
              <w:keepLines/>
              <w:widowControl/>
              <w:autoSpaceDE/>
              <w:autoSpaceDN/>
              <w:adjustRightInd/>
              <w:spacing w:line="259" w:lineRule="auto"/>
              <w:jc w:val="center"/>
              <w:rPr>
                <w:rFonts w:ascii="Calibri" w:eastAsia="Calibri" w:hAnsi="Calibri" w:cs="Calibri"/>
                <w:b/>
                <w:color w:val="auto"/>
                <w:sz w:val="20"/>
                <w:szCs w:val="22"/>
              </w:rPr>
            </w:pPr>
          </w:p>
        </w:tc>
        <w:tc>
          <w:tcPr>
            <w:tcW w:w="2070" w:type="dxa"/>
            <w:noWrap/>
            <w:vAlign w:val="center"/>
          </w:tcPr>
          <w:p w14:paraId="5342F2F7" w14:textId="77777777" w:rsidR="002E1A3F" w:rsidRPr="000C46A6" w:rsidRDefault="002E1A3F" w:rsidP="00FC1A97">
            <w:pPr>
              <w:keepNext/>
              <w:keepLines/>
              <w:widowControl/>
              <w:autoSpaceDE/>
              <w:autoSpaceDN/>
              <w:adjustRightInd/>
              <w:spacing w:line="259" w:lineRule="auto"/>
              <w:jc w:val="center"/>
              <w:rPr>
                <w:rFonts w:ascii="Calibri" w:eastAsia="Calibri" w:hAnsi="Calibri" w:cs="Calibri"/>
                <w:b/>
                <w:color w:val="auto"/>
                <w:sz w:val="20"/>
                <w:szCs w:val="22"/>
              </w:rPr>
            </w:pPr>
          </w:p>
        </w:tc>
        <w:tc>
          <w:tcPr>
            <w:tcW w:w="2520" w:type="dxa"/>
            <w:noWrap/>
            <w:vAlign w:val="center"/>
          </w:tcPr>
          <w:p w14:paraId="4A6FDE46" w14:textId="77777777" w:rsidR="002E1A3F" w:rsidRPr="000C46A6" w:rsidRDefault="00B00100" w:rsidP="003247A0">
            <w:pPr>
              <w:keepNext/>
              <w:keepLines/>
              <w:widowControl/>
              <w:autoSpaceDE/>
              <w:autoSpaceDN/>
              <w:adjustRightInd/>
              <w:spacing w:line="259" w:lineRule="auto"/>
              <w:jc w:val="center"/>
              <w:rPr>
                <w:rFonts w:ascii="Calibri" w:eastAsia="Times New Roman" w:hAnsi="Calibri" w:cs="Times New Roman"/>
                <w:b/>
                <w:color w:val="auto"/>
                <w:sz w:val="20"/>
                <w:szCs w:val="22"/>
              </w:rPr>
            </w:pPr>
            <w:r w:rsidRPr="000C46A6">
              <w:rPr>
                <w:rFonts w:ascii="Calibri" w:eastAsia="Times New Roman" w:hAnsi="Calibri" w:cs="Times New Roman"/>
                <w:b/>
                <w:color w:val="auto"/>
                <w:sz w:val="20"/>
                <w:szCs w:val="22"/>
              </w:rPr>
              <w:t>24.70%</w:t>
            </w:r>
          </w:p>
        </w:tc>
      </w:tr>
    </w:tbl>
    <w:p w14:paraId="13345D61" w14:textId="77777777" w:rsidR="002E1A3F" w:rsidRPr="000C46A6" w:rsidRDefault="00B00100" w:rsidP="008E2709">
      <w:pPr>
        <w:keepNext/>
        <w:keepLines/>
        <w:widowControl/>
        <w:autoSpaceDE/>
        <w:autoSpaceDN/>
        <w:adjustRightInd/>
        <w:spacing w:line="259" w:lineRule="auto"/>
        <w:rPr>
          <w:rFonts w:ascii="Calibri" w:eastAsia="Calibri" w:hAnsi="Calibri" w:cs="Times New Roman"/>
          <w:i/>
          <w:color w:val="auto"/>
          <w:sz w:val="18"/>
          <w:szCs w:val="18"/>
        </w:rPr>
      </w:pPr>
      <w:r w:rsidRPr="000C46A6">
        <w:rPr>
          <w:rFonts w:ascii="Calibri" w:eastAsia="Calibri" w:hAnsi="Calibri" w:cs="Times New Roman"/>
          <w:i/>
          <w:color w:val="auto"/>
          <w:sz w:val="18"/>
          <w:szCs w:val="18"/>
        </w:rPr>
        <w:t>Source: World Bank calculations using data from The World Bank Development Research Group Poverty and Inequality Team, 2013.</w:t>
      </w:r>
    </w:p>
    <w:p w14:paraId="5AEF1EE3" w14:textId="77777777" w:rsidR="00CA7A7E" w:rsidRDefault="00CA7A7E" w:rsidP="00FC1A97">
      <w:pPr>
        <w:tabs>
          <w:tab w:val="left" w:pos="0"/>
          <w:tab w:val="left" w:pos="720"/>
        </w:tabs>
        <w:rPr>
          <w:rFonts w:ascii="Calibri" w:eastAsia="Times New Roman" w:hAnsi="Calibri" w:cs="Calibri"/>
          <w:b/>
          <w:i/>
          <w:sz w:val="22"/>
          <w:szCs w:val="22"/>
          <w:u w:val="single"/>
        </w:rPr>
      </w:pPr>
    </w:p>
    <w:p w14:paraId="2280E3B3" w14:textId="77777777" w:rsidR="002E1A3F" w:rsidRPr="002E1A3F" w:rsidRDefault="00B00100" w:rsidP="008E2709">
      <w:pPr>
        <w:tabs>
          <w:tab w:val="left" w:pos="0"/>
          <w:tab w:val="left" w:pos="720"/>
        </w:tabs>
        <w:rPr>
          <w:rFonts w:ascii="Calibri" w:eastAsia="Times New Roman" w:hAnsi="Calibri" w:cs="Calibri"/>
          <w:i/>
          <w:sz w:val="22"/>
          <w:szCs w:val="22"/>
          <w:u w:val="single"/>
        </w:rPr>
      </w:pPr>
      <w:r w:rsidRPr="002E1A3F">
        <w:rPr>
          <w:rFonts w:ascii="Calibri" w:eastAsia="Times New Roman" w:hAnsi="Calibri" w:cs="Calibri"/>
          <w:b/>
          <w:i/>
          <w:sz w:val="22"/>
          <w:szCs w:val="22"/>
          <w:u w:val="single"/>
        </w:rPr>
        <w:t>Sensitivity Analysis</w:t>
      </w:r>
    </w:p>
    <w:p w14:paraId="45AC1FD2" w14:textId="77777777" w:rsidR="002E1A3F" w:rsidRPr="002E1A3F" w:rsidRDefault="00B00100" w:rsidP="008E2709">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The sensitivity analysis relaxes the base-case assumptions to explore IRR under different scenarios.</w:t>
      </w:r>
      <w:r w:rsidRPr="002E1A3F">
        <w:rPr>
          <w:rFonts w:ascii="Calibri" w:eastAsia="Times New Roman" w:hAnsi="Calibri" w:cs="Times New Roman"/>
          <w:color w:val="auto"/>
          <w:sz w:val="22"/>
          <w:szCs w:val="22"/>
        </w:rPr>
        <w:t xml:space="preserve"> The sensitivity analysis can be done in different ways, in this case, a lower and upper scenario were conducted assuming lower and higher enrollment rates for beneficiary students.</w:t>
      </w:r>
    </w:p>
    <w:p w14:paraId="774D944D"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rPr>
        <w:t>Lower-bound scenario (assuming 85 percent of the student target value):</w:t>
      </w:r>
      <w:r w:rsidRPr="002E1A3F">
        <w:rPr>
          <w:rFonts w:ascii="Calibri" w:eastAsia="Times New Roman" w:hAnsi="Calibri" w:cs="Times New Roman"/>
          <w:color w:val="auto"/>
          <w:sz w:val="22"/>
          <w:szCs w:val="22"/>
        </w:rPr>
        <w:t xml:space="preserve"> Table A7.5 presents projected outcomes if the project achieves 85 percent of its student beneficiary target. While the returns to the project under the lower-case scenario assumptions are lower at 14.5 percent, they remain above the discount rate of 12 percent. Under these assumptions, the </w:t>
      </w:r>
      <w:r w:rsidR="000F27B2">
        <w:rPr>
          <w:rFonts w:ascii="Calibri" w:eastAsia="Times New Roman" w:hAnsi="Calibri" w:cs="Times New Roman"/>
          <w:color w:val="auto"/>
          <w:sz w:val="22"/>
          <w:szCs w:val="22"/>
        </w:rPr>
        <w:t>CBA</w:t>
      </w:r>
      <w:r w:rsidRPr="002E1A3F">
        <w:rPr>
          <w:rFonts w:ascii="Calibri" w:eastAsia="Times New Roman" w:hAnsi="Calibri" w:cs="Times New Roman"/>
          <w:color w:val="auto"/>
          <w:sz w:val="22"/>
          <w:szCs w:val="22"/>
        </w:rPr>
        <w:t xml:space="preserve"> demonstrates that the project will still generate positive returns, and for each dollar invested in the project, US$1.14 will be generated in benefits.</w:t>
      </w:r>
    </w:p>
    <w:p w14:paraId="763F4614" w14:textId="77777777" w:rsidR="00CA7A7E" w:rsidRDefault="00CA7A7E" w:rsidP="008E2709">
      <w:pPr>
        <w:widowControl/>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p>
    <w:p w14:paraId="7470740F" w14:textId="77777777" w:rsidR="002E1A3F" w:rsidRPr="002E1A3F" w:rsidRDefault="00B00100" w:rsidP="008E2709">
      <w:pPr>
        <w:keepNext/>
        <w:keepLines/>
        <w:tabs>
          <w:tab w:val="left" w:pos="720"/>
        </w:tabs>
        <w:ind w:left="180" w:right="180"/>
        <w:jc w:val="center"/>
        <w:rPr>
          <w:rFonts w:ascii="Calibri" w:eastAsia="Times New Roman" w:hAnsi="Calibri" w:cs="Calibri"/>
          <w:sz w:val="22"/>
          <w:szCs w:val="22"/>
        </w:rPr>
      </w:pPr>
      <w:r w:rsidRPr="002E1A3F">
        <w:rPr>
          <w:rFonts w:ascii="Calibri" w:eastAsia="Times New Roman" w:hAnsi="Calibri" w:cs="Calibri"/>
          <w:b/>
          <w:sz w:val="22"/>
          <w:szCs w:val="22"/>
        </w:rPr>
        <w:t xml:space="preserve">Table A7.5: </w:t>
      </w:r>
      <w:r w:rsidRPr="002E1A3F">
        <w:rPr>
          <w:rFonts w:ascii="Calibri" w:eastAsia="Times New Roman" w:hAnsi="Calibri" w:cs="Calibri"/>
          <w:b/>
          <w:i/>
          <w:sz w:val="22"/>
          <w:szCs w:val="22"/>
        </w:rPr>
        <w:t xml:space="preserve">Lower-bound </w:t>
      </w:r>
      <w:r w:rsidR="00014B08">
        <w:rPr>
          <w:rFonts w:ascii="Calibri" w:eastAsia="Times New Roman" w:hAnsi="Calibri" w:cs="Calibri"/>
          <w:b/>
          <w:i/>
          <w:sz w:val="22"/>
          <w:szCs w:val="22"/>
        </w:rPr>
        <w:t>S</w:t>
      </w:r>
      <w:r w:rsidRPr="002E1A3F">
        <w:rPr>
          <w:rFonts w:ascii="Calibri" w:eastAsia="Times New Roman" w:hAnsi="Calibri" w:cs="Calibri"/>
          <w:b/>
          <w:i/>
          <w:sz w:val="22"/>
          <w:szCs w:val="22"/>
        </w:rPr>
        <w:t>cenario: NPV and IRR</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71"/>
        <w:gridCol w:w="1670"/>
        <w:gridCol w:w="1837"/>
      </w:tblGrid>
      <w:tr w:rsidR="000C3959" w14:paraId="06799471" w14:textId="77777777" w:rsidTr="000C46A6">
        <w:trPr>
          <w:trHeight w:val="324"/>
          <w:jc w:val="center"/>
        </w:trPr>
        <w:tc>
          <w:tcPr>
            <w:tcW w:w="2835" w:type="dxa"/>
            <w:shd w:val="clear" w:color="auto" w:fill="AEAAAA"/>
            <w:noWrap/>
            <w:vAlign w:val="center"/>
            <w:hideMark/>
          </w:tcPr>
          <w:p w14:paraId="19215AF6" w14:textId="77777777" w:rsidR="002E1A3F" w:rsidRPr="002E1A3F" w:rsidRDefault="00B00100">
            <w:pPr>
              <w:widowControl/>
              <w:autoSpaceDE/>
              <w:autoSpaceDN/>
              <w:adjustRightInd/>
              <w:jc w:val="center"/>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Year</w:t>
            </w:r>
          </w:p>
        </w:tc>
        <w:tc>
          <w:tcPr>
            <w:tcW w:w="2171" w:type="dxa"/>
            <w:shd w:val="clear" w:color="auto" w:fill="AEAAAA"/>
            <w:vAlign w:val="center"/>
            <w:hideMark/>
          </w:tcPr>
          <w:p w14:paraId="2FAB5E6B" w14:textId="77777777" w:rsidR="002E1A3F" w:rsidRPr="002E1A3F" w:rsidRDefault="00B00100" w:rsidP="00F463C2">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 xml:space="preserve">Cost </w:t>
            </w:r>
            <w:r w:rsidRPr="002E1A3F">
              <w:rPr>
                <w:rFonts w:ascii="Calibri" w:eastAsia="Times New Roman" w:hAnsi="Calibri" w:cs="Calibri"/>
                <w:b/>
                <w:bCs/>
                <w:color w:val="auto"/>
                <w:sz w:val="22"/>
                <w:szCs w:val="22"/>
              </w:rPr>
              <w:t>(US$)</w:t>
            </w:r>
          </w:p>
        </w:tc>
        <w:tc>
          <w:tcPr>
            <w:tcW w:w="1670" w:type="dxa"/>
            <w:shd w:val="clear" w:color="auto" w:fill="AEAAAA"/>
            <w:vAlign w:val="center"/>
            <w:hideMark/>
          </w:tcPr>
          <w:p w14:paraId="5C51FA8C" w14:textId="77777777" w:rsidR="002E1A3F" w:rsidRPr="002E1A3F" w:rsidRDefault="00B00100" w:rsidP="00FC1A97">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 xml:space="preserve">Benefits </w:t>
            </w:r>
            <w:r w:rsidRPr="002E1A3F">
              <w:rPr>
                <w:rFonts w:ascii="Calibri" w:eastAsia="Times New Roman" w:hAnsi="Calibri" w:cs="Calibri"/>
                <w:b/>
                <w:bCs/>
                <w:color w:val="auto"/>
                <w:sz w:val="22"/>
                <w:szCs w:val="22"/>
              </w:rPr>
              <w:t>(US$)</w:t>
            </w:r>
          </w:p>
        </w:tc>
        <w:tc>
          <w:tcPr>
            <w:tcW w:w="1837" w:type="dxa"/>
            <w:shd w:val="clear" w:color="auto" w:fill="AEAAAA"/>
            <w:vAlign w:val="center"/>
            <w:hideMark/>
          </w:tcPr>
          <w:p w14:paraId="5005B83B" w14:textId="77777777" w:rsidR="002E1A3F" w:rsidRPr="002E1A3F" w:rsidRDefault="00B00100" w:rsidP="003247A0">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Benefits - Costs</w:t>
            </w:r>
          </w:p>
        </w:tc>
      </w:tr>
      <w:tr w:rsidR="000C3959" w14:paraId="55819FFB" w14:textId="77777777" w:rsidTr="000C46A6">
        <w:trPr>
          <w:trHeight w:val="304"/>
          <w:jc w:val="center"/>
        </w:trPr>
        <w:tc>
          <w:tcPr>
            <w:tcW w:w="2835" w:type="dxa"/>
            <w:noWrap/>
            <w:vAlign w:val="center"/>
            <w:hideMark/>
          </w:tcPr>
          <w:p w14:paraId="014060D6"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2019</w:t>
            </w:r>
          </w:p>
        </w:tc>
        <w:tc>
          <w:tcPr>
            <w:tcW w:w="2171" w:type="dxa"/>
            <w:noWrap/>
            <w:vAlign w:val="center"/>
            <w:hideMark/>
          </w:tcPr>
          <w:p w14:paraId="1DCFA48C"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5,422,667</w:t>
            </w:r>
          </w:p>
        </w:tc>
        <w:tc>
          <w:tcPr>
            <w:tcW w:w="1670" w:type="dxa"/>
            <w:noWrap/>
            <w:vAlign w:val="center"/>
            <w:hideMark/>
          </w:tcPr>
          <w:p w14:paraId="41E8482E"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29,427,133</w:t>
            </w:r>
          </w:p>
        </w:tc>
        <w:tc>
          <w:tcPr>
            <w:tcW w:w="1837" w:type="dxa"/>
            <w:noWrap/>
            <w:vAlign w:val="center"/>
            <w:hideMark/>
          </w:tcPr>
          <w:p w14:paraId="0725F055"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24,004,466</w:t>
            </w:r>
          </w:p>
        </w:tc>
      </w:tr>
      <w:tr w:rsidR="000C3959" w14:paraId="66FDCE96" w14:textId="77777777" w:rsidTr="000C46A6">
        <w:trPr>
          <w:trHeight w:val="304"/>
          <w:jc w:val="center"/>
        </w:trPr>
        <w:tc>
          <w:tcPr>
            <w:tcW w:w="2835" w:type="dxa"/>
            <w:noWrap/>
            <w:vAlign w:val="center"/>
            <w:hideMark/>
          </w:tcPr>
          <w:p w14:paraId="68E33560"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2020</w:t>
            </w:r>
          </w:p>
        </w:tc>
        <w:tc>
          <w:tcPr>
            <w:tcW w:w="2171" w:type="dxa"/>
            <w:noWrap/>
            <w:vAlign w:val="center"/>
            <w:hideMark/>
          </w:tcPr>
          <w:p w14:paraId="6F8391DE"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24,850,000</w:t>
            </w:r>
          </w:p>
        </w:tc>
        <w:tc>
          <w:tcPr>
            <w:tcW w:w="1670" w:type="dxa"/>
            <w:noWrap/>
            <w:vAlign w:val="center"/>
            <w:hideMark/>
          </w:tcPr>
          <w:p w14:paraId="257FE45E"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27,132,842</w:t>
            </w:r>
          </w:p>
        </w:tc>
        <w:tc>
          <w:tcPr>
            <w:tcW w:w="1837" w:type="dxa"/>
            <w:noWrap/>
            <w:vAlign w:val="center"/>
            <w:hideMark/>
          </w:tcPr>
          <w:p w14:paraId="3668A139"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2,282,842</w:t>
            </w:r>
          </w:p>
        </w:tc>
      </w:tr>
      <w:tr w:rsidR="000C3959" w14:paraId="74207448" w14:textId="77777777" w:rsidTr="000C46A6">
        <w:trPr>
          <w:trHeight w:val="304"/>
          <w:jc w:val="center"/>
        </w:trPr>
        <w:tc>
          <w:tcPr>
            <w:tcW w:w="2835" w:type="dxa"/>
            <w:vAlign w:val="center"/>
            <w:hideMark/>
          </w:tcPr>
          <w:p w14:paraId="31EB4A40"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2021</w:t>
            </w:r>
          </w:p>
        </w:tc>
        <w:tc>
          <w:tcPr>
            <w:tcW w:w="2171" w:type="dxa"/>
            <w:noWrap/>
            <w:vAlign w:val="center"/>
            <w:hideMark/>
          </w:tcPr>
          <w:p w14:paraId="2A8C5976"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37,611,607</w:t>
            </w:r>
          </w:p>
        </w:tc>
        <w:tc>
          <w:tcPr>
            <w:tcW w:w="1670" w:type="dxa"/>
            <w:noWrap/>
            <w:vAlign w:val="center"/>
            <w:hideMark/>
          </w:tcPr>
          <w:p w14:paraId="6550C008"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35,043,854</w:t>
            </w:r>
          </w:p>
        </w:tc>
        <w:tc>
          <w:tcPr>
            <w:tcW w:w="1837" w:type="dxa"/>
            <w:noWrap/>
            <w:vAlign w:val="center"/>
            <w:hideMark/>
          </w:tcPr>
          <w:p w14:paraId="65E3EDA3"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-2,567,753</w:t>
            </w:r>
          </w:p>
        </w:tc>
      </w:tr>
      <w:tr w:rsidR="000C3959" w14:paraId="593DBAB4" w14:textId="77777777" w:rsidTr="000C46A6">
        <w:trPr>
          <w:trHeight w:val="304"/>
          <w:jc w:val="center"/>
        </w:trPr>
        <w:tc>
          <w:tcPr>
            <w:tcW w:w="2835" w:type="dxa"/>
            <w:noWrap/>
            <w:vAlign w:val="center"/>
            <w:hideMark/>
          </w:tcPr>
          <w:p w14:paraId="1C19E7D8"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2022</w:t>
            </w:r>
          </w:p>
        </w:tc>
        <w:tc>
          <w:tcPr>
            <w:tcW w:w="2171" w:type="dxa"/>
            <w:noWrap/>
            <w:vAlign w:val="center"/>
            <w:hideMark/>
          </w:tcPr>
          <w:p w14:paraId="28DFFC59"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45,539,700</w:t>
            </w:r>
          </w:p>
        </w:tc>
        <w:tc>
          <w:tcPr>
            <w:tcW w:w="1670" w:type="dxa"/>
            <w:noWrap/>
            <w:vAlign w:val="center"/>
            <w:hideMark/>
          </w:tcPr>
          <w:p w14:paraId="33E0A29F"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30,835,495</w:t>
            </w:r>
          </w:p>
        </w:tc>
        <w:tc>
          <w:tcPr>
            <w:tcW w:w="1837" w:type="dxa"/>
            <w:noWrap/>
            <w:vAlign w:val="center"/>
            <w:hideMark/>
          </w:tcPr>
          <w:p w14:paraId="4BCB81C2"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-14,704,205</w:t>
            </w:r>
          </w:p>
        </w:tc>
      </w:tr>
      <w:tr w:rsidR="000C3959" w14:paraId="1B8FDA3D" w14:textId="77777777" w:rsidTr="000C46A6">
        <w:trPr>
          <w:trHeight w:val="304"/>
          <w:jc w:val="center"/>
        </w:trPr>
        <w:tc>
          <w:tcPr>
            <w:tcW w:w="2835" w:type="dxa"/>
            <w:noWrap/>
            <w:vAlign w:val="center"/>
            <w:hideMark/>
          </w:tcPr>
          <w:p w14:paraId="30307351"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2023</w:t>
            </w:r>
          </w:p>
        </w:tc>
        <w:tc>
          <w:tcPr>
            <w:tcW w:w="2171" w:type="dxa"/>
            <w:noWrap/>
            <w:vAlign w:val="center"/>
            <w:hideMark/>
          </w:tcPr>
          <w:p w14:paraId="4DC4C1CB"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42,493,281</w:t>
            </w:r>
          </w:p>
        </w:tc>
        <w:tc>
          <w:tcPr>
            <w:tcW w:w="1670" w:type="dxa"/>
            <w:noWrap/>
            <w:vAlign w:val="center"/>
            <w:hideMark/>
          </w:tcPr>
          <w:p w14:paraId="104B5AA5"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31,942,190</w:t>
            </w:r>
          </w:p>
        </w:tc>
        <w:tc>
          <w:tcPr>
            <w:tcW w:w="1837" w:type="dxa"/>
            <w:noWrap/>
            <w:vAlign w:val="center"/>
            <w:hideMark/>
          </w:tcPr>
          <w:p w14:paraId="35E133E0"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-10,551,091</w:t>
            </w:r>
          </w:p>
        </w:tc>
      </w:tr>
      <w:tr w:rsidR="000C3959" w14:paraId="1E545DC1" w14:textId="77777777" w:rsidTr="000C46A6">
        <w:trPr>
          <w:trHeight w:val="304"/>
          <w:jc w:val="center"/>
        </w:trPr>
        <w:tc>
          <w:tcPr>
            <w:tcW w:w="2835" w:type="dxa"/>
            <w:noWrap/>
            <w:vAlign w:val="center"/>
            <w:hideMark/>
          </w:tcPr>
          <w:p w14:paraId="78B42309"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2024</w:t>
            </w:r>
          </w:p>
        </w:tc>
        <w:tc>
          <w:tcPr>
            <w:tcW w:w="2171" w:type="dxa"/>
            <w:noWrap/>
            <w:vAlign w:val="center"/>
            <w:hideMark/>
          </w:tcPr>
          <w:p w14:paraId="31B0F80C"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28,783,673</w:t>
            </w:r>
          </w:p>
        </w:tc>
        <w:tc>
          <w:tcPr>
            <w:tcW w:w="1670" w:type="dxa"/>
            <w:noWrap/>
            <w:vAlign w:val="center"/>
            <w:hideMark/>
          </w:tcPr>
          <w:p w14:paraId="6D28ADDD"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33,090,621</w:t>
            </w:r>
          </w:p>
        </w:tc>
        <w:tc>
          <w:tcPr>
            <w:tcW w:w="1837" w:type="dxa"/>
            <w:noWrap/>
            <w:vAlign w:val="center"/>
            <w:hideMark/>
          </w:tcPr>
          <w:p w14:paraId="4CA2D864"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4,306,948</w:t>
            </w:r>
          </w:p>
        </w:tc>
      </w:tr>
      <w:tr w:rsidR="000C3959" w14:paraId="3A20435B" w14:textId="77777777" w:rsidTr="000C46A6">
        <w:trPr>
          <w:trHeight w:val="304"/>
          <w:jc w:val="center"/>
        </w:trPr>
        <w:tc>
          <w:tcPr>
            <w:tcW w:w="2835" w:type="dxa"/>
            <w:noWrap/>
            <w:vAlign w:val="center"/>
            <w:hideMark/>
          </w:tcPr>
          <w:p w14:paraId="259D7E65"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2025</w:t>
            </w:r>
          </w:p>
        </w:tc>
        <w:tc>
          <w:tcPr>
            <w:tcW w:w="2171" w:type="dxa"/>
            <w:noWrap/>
            <w:vAlign w:val="center"/>
            <w:hideMark/>
          </w:tcPr>
          <w:p w14:paraId="2606B4E5"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9,116,658</w:t>
            </w:r>
          </w:p>
        </w:tc>
        <w:tc>
          <w:tcPr>
            <w:tcW w:w="1670" w:type="dxa"/>
            <w:noWrap/>
            <w:vAlign w:val="center"/>
            <w:hideMark/>
          </w:tcPr>
          <w:p w14:paraId="6A56849D"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34,282,458</w:t>
            </w:r>
          </w:p>
        </w:tc>
        <w:tc>
          <w:tcPr>
            <w:tcW w:w="1837" w:type="dxa"/>
            <w:noWrap/>
            <w:vAlign w:val="center"/>
            <w:hideMark/>
          </w:tcPr>
          <w:p w14:paraId="142A698F" w14:textId="77777777" w:rsidR="002E1A3F" w:rsidRPr="002E1A3F" w:rsidRDefault="00B00100" w:rsidP="003247A0">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25,165,799</w:t>
            </w:r>
          </w:p>
        </w:tc>
      </w:tr>
      <w:tr w:rsidR="000C3959" w14:paraId="571CF50C" w14:textId="77777777" w:rsidTr="000C46A6">
        <w:trPr>
          <w:trHeight w:val="304"/>
          <w:jc w:val="center"/>
        </w:trPr>
        <w:tc>
          <w:tcPr>
            <w:tcW w:w="2835" w:type="dxa"/>
            <w:noWrap/>
            <w:vAlign w:val="center"/>
            <w:hideMark/>
          </w:tcPr>
          <w:p w14:paraId="02C4BA93"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Totals (and NPV)</w:t>
            </w:r>
          </w:p>
        </w:tc>
        <w:tc>
          <w:tcPr>
            <w:tcW w:w="2171" w:type="dxa"/>
            <w:noWrap/>
            <w:vAlign w:val="center"/>
            <w:hideMark/>
          </w:tcPr>
          <w:p w14:paraId="50365BF0" w14:textId="77777777" w:rsidR="002E1A3F" w:rsidRPr="002E1A3F" w:rsidRDefault="00B00100" w:rsidP="00F463C2">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193,817,586</w:t>
            </w:r>
          </w:p>
        </w:tc>
        <w:tc>
          <w:tcPr>
            <w:tcW w:w="1670" w:type="dxa"/>
            <w:noWrap/>
            <w:vAlign w:val="center"/>
            <w:hideMark/>
          </w:tcPr>
          <w:p w14:paraId="5071EB6B" w14:textId="77777777" w:rsidR="002E1A3F" w:rsidRPr="002E1A3F" w:rsidRDefault="00B00100" w:rsidP="00FC1A97">
            <w:pPr>
              <w:keepNext/>
              <w:keepLines/>
              <w:jc w:val="center"/>
              <w:rPr>
                <w:rFonts w:ascii="Calibri" w:eastAsia="Times New Roman" w:hAnsi="Calibri" w:cs="Calibri"/>
                <w:sz w:val="22"/>
                <w:szCs w:val="22"/>
              </w:rPr>
            </w:pPr>
            <w:r w:rsidRPr="002E1A3F">
              <w:rPr>
                <w:rFonts w:ascii="Calibri" w:eastAsia="Times New Roman" w:hAnsi="Calibri" w:cs="Calibri"/>
                <w:sz w:val="22"/>
                <w:szCs w:val="22"/>
              </w:rPr>
              <w:t>221,754,593</w:t>
            </w:r>
          </w:p>
        </w:tc>
        <w:tc>
          <w:tcPr>
            <w:tcW w:w="1837" w:type="dxa"/>
            <w:noWrap/>
            <w:vAlign w:val="center"/>
            <w:hideMark/>
          </w:tcPr>
          <w:p w14:paraId="3D614190" w14:textId="77777777" w:rsidR="002E1A3F" w:rsidRPr="002E1A3F" w:rsidRDefault="00B00100" w:rsidP="003247A0">
            <w:pPr>
              <w:keepNext/>
              <w:keepLines/>
              <w:jc w:val="center"/>
              <w:rPr>
                <w:rFonts w:ascii="Calibri" w:eastAsia="Times New Roman" w:hAnsi="Calibri" w:cs="Calibri"/>
                <w:b/>
                <w:sz w:val="22"/>
                <w:szCs w:val="22"/>
              </w:rPr>
            </w:pPr>
            <w:r w:rsidRPr="002E1A3F">
              <w:rPr>
                <w:rFonts w:ascii="Calibri" w:eastAsia="Times New Roman" w:hAnsi="Calibri" w:cs="Calibri"/>
                <w:b/>
                <w:sz w:val="22"/>
                <w:szCs w:val="22"/>
              </w:rPr>
              <w:t>27,937,007</w:t>
            </w:r>
          </w:p>
        </w:tc>
      </w:tr>
      <w:tr w:rsidR="000C3959" w14:paraId="651AD2B5" w14:textId="77777777" w:rsidTr="000C46A6">
        <w:trPr>
          <w:trHeight w:val="304"/>
          <w:jc w:val="center"/>
        </w:trPr>
        <w:tc>
          <w:tcPr>
            <w:tcW w:w="2835" w:type="dxa"/>
            <w:noWrap/>
            <w:vAlign w:val="center"/>
          </w:tcPr>
          <w:p w14:paraId="0CF1AEFF" w14:textId="77777777" w:rsidR="002E1A3F" w:rsidRPr="002E1A3F" w:rsidRDefault="00B00100">
            <w:pPr>
              <w:widowControl/>
              <w:autoSpaceDE/>
              <w:autoSpaceDN/>
              <w:adjustRightInd/>
              <w:rPr>
                <w:rFonts w:ascii="Calibri" w:eastAsia="Calibri" w:hAnsi="Calibri" w:cs="Times New Roman"/>
                <w:b/>
                <w:bCs/>
                <w:color w:val="auto"/>
                <w:sz w:val="22"/>
                <w:szCs w:val="22"/>
              </w:rPr>
            </w:pPr>
            <w:r w:rsidRPr="002E1A3F">
              <w:rPr>
                <w:rFonts w:ascii="Calibri" w:eastAsia="Calibri" w:hAnsi="Calibri" w:cs="Times New Roman"/>
                <w:b/>
                <w:bCs/>
                <w:color w:val="auto"/>
                <w:sz w:val="22"/>
                <w:szCs w:val="22"/>
              </w:rPr>
              <w:t>IRR</w:t>
            </w:r>
          </w:p>
        </w:tc>
        <w:tc>
          <w:tcPr>
            <w:tcW w:w="2171" w:type="dxa"/>
            <w:noWrap/>
            <w:vAlign w:val="center"/>
          </w:tcPr>
          <w:p w14:paraId="2ED313C0" w14:textId="77777777" w:rsidR="002E1A3F" w:rsidRPr="002E1A3F" w:rsidRDefault="002E1A3F" w:rsidP="00F463C2">
            <w:pPr>
              <w:keepNext/>
              <w:keepLines/>
              <w:jc w:val="center"/>
              <w:rPr>
                <w:rFonts w:ascii="Calibri" w:eastAsia="Times New Roman" w:hAnsi="Calibri" w:cs="Calibri"/>
                <w:b/>
                <w:sz w:val="22"/>
                <w:szCs w:val="22"/>
              </w:rPr>
            </w:pPr>
          </w:p>
        </w:tc>
        <w:tc>
          <w:tcPr>
            <w:tcW w:w="1670" w:type="dxa"/>
            <w:noWrap/>
            <w:vAlign w:val="center"/>
          </w:tcPr>
          <w:p w14:paraId="72A97F8B" w14:textId="77777777" w:rsidR="002E1A3F" w:rsidRPr="002E1A3F" w:rsidRDefault="002E1A3F" w:rsidP="00FC1A97">
            <w:pPr>
              <w:keepNext/>
              <w:keepLines/>
              <w:jc w:val="center"/>
              <w:rPr>
                <w:rFonts w:ascii="Calibri" w:eastAsia="Times New Roman" w:hAnsi="Calibri" w:cs="Calibri"/>
                <w:b/>
                <w:sz w:val="22"/>
                <w:szCs w:val="22"/>
              </w:rPr>
            </w:pPr>
          </w:p>
        </w:tc>
        <w:tc>
          <w:tcPr>
            <w:tcW w:w="1837" w:type="dxa"/>
            <w:noWrap/>
            <w:vAlign w:val="center"/>
          </w:tcPr>
          <w:p w14:paraId="6B8EECAE" w14:textId="77777777" w:rsidR="002E1A3F" w:rsidRPr="002E1A3F" w:rsidRDefault="00B00100" w:rsidP="003247A0">
            <w:pPr>
              <w:keepNext/>
              <w:keepLines/>
              <w:jc w:val="center"/>
              <w:rPr>
                <w:rFonts w:ascii="Calibri" w:eastAsia="Times New Roman" w:hAnsi="Calibri" w:cs="Calibri"/>
                <w:b/>
                <w:sz w:val="22"/>
                <w:szCs w:val="22"/>
              </w:rPr>
            </w:pPr>
            <w:r w:rsidRPr="002E1A3F">
              <w:rPr>
                <w:rFonts w:ascii="Calibri" w:eastAsia="Times New Roman" w:hAnsi="Calibri" w:cs="Calibri"/>
                <w:b/>
                <w:sz w:val="22"/>
                <w:szCs w:val="22"/>
              </w:rPr>
              <w:t>14.54%</w:t>
            </w:r>
          </w:p>
        </w:tc>
      </w:tr>
    </w:tbl>
    <w:p w14:paraId="51126190" w14:textId="77777777" w:rsidR="002E1A3F" w:rsidRDefault="00B00100">
      <w:pPr>
        <w:widowControl/>
        <w:autoSpaceDE/>
        <w:autoSpaceDN/>
        <w:adjustRightInd/>
        <w:rPr>
          <w:rFonts w:ascii="Calibri" w:eastAsia="Calibri" w:hAnsi="Calibri" w:cs="Times New Roman"/>
          <w:i/>
          <w:color w:val="auto"/>
          <w:sz w:val="18"/>
          <w:szCs w:val="20"/>
        </w:rPr>
      </w:pPr>
      <w:r w:rsidRPr="000C46A6">
        <w:rPr>
          <w:rFonts w:ascii="Calibri" w:eastAsia="Calibri" w:hAnsi="Calibri" w:cs="Times New Roman"/>
          <w:i/>
          <w:color w:val="auto"/>
          <w:sz w:val="18"/>
          <w:szCs w:val="20"/>
        </w:rPr>
        <w:t>Source: World Bank calculations using data from The World Bank Development Research Group Poverty and Inequality Team, 2013.</w:t>
      </w:r>
    </w:p>
    <w:p w14:paraId="4935BC29" w14:textId="3818D0B5" w:rsidR="00FE0322" w:rsidRDefault="00FE0322" w:rsidP="00F463C2">
      <w:pPr>
        <w:widowControl/>
        <w:autoSpaceDE/>
        <w:autoSpaceDN/>
        <w:adjustRightInd/>
        <w:rPr>
          <w:rFonts w:ascii="Calibri" w:eastAsia="Calibri" w:hAnsi="Calibri" w:cs="Times New Roman"/>
          <w:i/>
          <w:color w:val="auto"/>
          <w:sz w:val="18"/>
          <w:szCs w:val="20"/>
        </w:rPr>
      </w:pPr>
    </w:p>
    <w:p w14:paraId="2B0B8A0B" w14:textId="74BB9D1D" w:rsidR="000A5F85" w:rsidRDefault="000A5F85" w:rsidP="00F463C2">
      <w:pPr>
        <w:widowControl/>
        <w:autoSpaceDE/>
        <w:autoSpaceDN/>
        <w:adjustRightInd/>
        <w:rPr>
          <w:rFonts w:ascii="Calibri" w:eastAsia="Calibri" w:hAnsi="Calibri" w:cs="Times New Roman"/>
          <w:i/>
          <w:color w:val="auto"/>
          <w:sz w:val="18"/>
          <w:szCs w:val="20"/>
        </w:rPr>
      </w:pPr>
    </w:p>
    <w:p w14:paraId="5C87488F" w14:textId="77777777" w:rsidR="000A5F85" w:rsidRPr="000C46A6" w:rsidRDefault="000A5F85" w:rsidP="00F463C2">
      <w:pPr>
        <w:widowControl/>
        <w:autoSpaceDE/>
        <w:autoSpaceDN/>
        <w:adjustRightInd/>
        <w:rPr>
          <w:rFonts w:ascii="Calibri" w:eastAsia="Calibri" w:hAnsi="Calibri" w:cs="Times New Roman"/>
          <w:i/>
          <w:color w:val="auto"/>
          <w:sz w:val="18"/>
          <w:szCs w:val="20"/>
        </w:rPr>
      </w:pPr>
    </w:p>
    <w:p w14:paraId="2D804B7C"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r w:rsidRPr="002E1A3F">
        <w:rPr>
          <w:rFonts w:ascii="Calibri" w:eastAsia="Times New Roman" w:hAnsi="Calibri" w:cs="Times New Roman"/>
          <w:b/>
          <w:color w:val="auto"/>
          <w:sz w:val="22"/>
          <w:szCs w:val="22"/>
          <w:u w:val="single"/>
        </w:rPr>
        <w:t>Upper-bound scenario:</w:t>
      </w:r>
      <w:r w:rsidRPr="002E1A3F">
        <w:rPr>
          <w:rFonts w:ascii="Calibri" w:eastAsia="Times New Roman" w:hAnsi="Calibri" w:cs="Times New Roman"/>
          <w:b/>
          <w:color w:val="auto"/>
          <w:sz w:val="22"/>
          <w:szCs w:val="22"/>
        </w:rPr>
        <w:t xml:space="preserve"> </w:t>
      </w:r>
      <w:r w:rsidRPr="002E1A3F">
        <w:rPr>
          <w:rFonts w:ascii="Calibri" w:eastAsia="Times New Roman" w:hAnsi="Calibri" w:cs="Times New Roman"/>
          <w:color w:val="auto"/>
          <w:sz w:val="22"/>
          <w:szCs w:val="22"/>
        </w:rPr>
        <w:t xml:space="preserve">Under the assumptions adopted in the higher case scenario, as presented in Table A7.6 below, the project yields an IRR of 32.7 percent, higher than the IRR from the base scenario of 24.7 percent. This increase is mostly due to the changes in the number of students enrolled, an assumed </w:t>
      </w:r>
      <w:r w:rsidRPr="002E1A3F">
        <w:rPr>
          <w:rFonts w:ascii="Calibri" w:eastAsia="Times New Roman" w:hAnsi="Calibri" w:cs="Times New Roman"/>
          <w:color w:val="auto"/>
          <w:sz w:val="22"/>
          <w:szCs w:val="22"/>
        </w:rPr>
        <w:lastRenderedPageBreak/>
        <w:t xml:space="preserve">over-achievement of the enrolled student target value, as experienced in </w:t>
      </w:r>
      <w:r w:rsidR="00BB4A89">
        <w:rPr>
          <w:rFonts w:ascii="Calibri" w:eastAsia="Times New Roman" w:hAnsi="Calibri" w:cs="Times New Roman"/>
          <w:color w:val="auto"/>
          <w:sz w:val="22"/>
          <w:szCs w:val="22"/>
        </w:rPr>
        <w:t>ACE I Project</w:t>
      </w:r>
      <w:r w:rsidR="004249EE">
        <w:rPr>
          <w:rFonts w:ascii="Calibri" w:eastAsia="Times New Roman" w:hAnsi="Calibri" w:cs="Times New Roman"/>
          <w:color w:val="auto"/>
          <w:sz w:val="22"/>
          <w:szCs w:val="22"/>
        </w:rPr>
        <w:t xml:space="preserve"> </w:t>
      </w:r>
      <w:r w:rsidRPr="002E1A3F">
        <w:rPr>
          <w:rFonts w:ascii="Calibri" w:eastAsia="Times New Roman" w:hAnsi="Calibri" w:cs="Times New Roman"/>
          <w:color w:val="auto"/>
          <w:sz w:val="22"/>
          <w:szCs w:val="22"/>
        </w:rPr>
        <w:t>where 111 percent of the target value was achieved in 2016.</w:t>
      </w:r>
    </w:p>
    <w:p w14:paraId="2DDC9EAD" w14:textId="77777777" w:rsidR="00CA7A7E" w:rsidRPr="002E1A3F" w:rsidRDefault="00CA7A7E" w:rsidP="008E2709">
      <w:pPr>
        <w:widowControl/>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p>
    <w:p w14:paraId="03C02965" w14:textId="77777777" w:rsidR="002E1A3F" w:rsidRPr="002E1A3F" w:rsidRDefault="00B00100" w:rsidP="008E2709">
      <w:pPr>
        <w:keepNext/>
        <w:keepLines/>
        <w:tabs>
          <w:tab w:val="left" w:pos="0"/>
          <w:tab w:val="left" w:pos="720"/>
        </w:tabs>
        <w:jc w:val="center"/>
        <w:rPr>
          <w:rFonts w:ascii="Calibri" w:eastAsia="Times New Roman" w:hAnsi="Calibri" w:cs="Calibri"/>
          <w:color w:val="262626"/>
          <w:sz w:val="22"/>
          <w:szCs w:val="22"/>
        </w:rPr>
      </w:pPr>
      <w:r w:rsidRPr="002E1A3F">
        <w:rPr>
          <w:rFonts w:ascii="Calibri" w:eastAsia="Times New Roman" w:hAnsi="Calibri" w:cs="Calibri"/>
          <w:b/>
          <w:sz w:val="22"/>
          <w:szCs w:val="22"/>
        </w:rPr>
        <w:t xml:space="preserve">Table A7.6: </w:t>
      </w:r>
      <w:r w:rsidRPr="002E1A3F">
        <w:rPr>
          <w:rFonts w:ascii="Calibri" w:eastAsia="Times New Roman" w:hAnsi="Calibri" w:cs="Calibri"/>
          <w:b/>
          <w:i/>
          <w:sz w:val="22"/>
          <w:szCs w:val="22"/>
        </w:rPr>
        <w:t>Upper-bound</w:t>
      </w:r>
      <w:r w:rsidR="00014B08">
        <w:rPr>
          <w:rFonts w:ascii="Calibri" w:eastAsia="Times New Roman" w:hAnsi="Calibri" w:cs="Calibri"/>
          <w:b/>
          <w:i/>
          <w:sz w:val="22"/>
          <w:szCs w:val="22"/>
        </w:rPr>
        <w:t xml:space="preserve"> S</w:t>
      </w:r>
      <w:r w:rsidRPr="002E1A3F">
        <w:rPr>
          <w:rFonts w:ascii="Calibri" w:eastAsia="Times New Roman" w:hAnsi="Calibri" w:cs="Calibri"/>
          <w:b/>
          <w:i/>
          <w:sz w:val="22"/>
          <w:szCs w:val="22"/>
        </w:rPr>
        <w:t>cenario: NPV and IRR</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083"/>
        <w:gridCol w:w="2083"/>
        <w:gridCol w:w="2121"/>
      </w:tblGrid>
      <w:tr w:rsidR="000C3959" w14:paraId="036C5DD3" w14:textId="77777777" w:rsidTr="000C46A6">
        <w:trPr>
          <w:trHeight w:val="219"/>
          <w:jc w:val="center"/>
        </w:trPr>
        <w:tc>
          <w:tcPr>
            <w:tcW w:w="2084" w:type="dxa"/>
            <w:shd w:val="clear" w:color="auto" w:fill="AEAAAA"/>
            <w:noWrap/>
            <w:hideMark/>
          </w:tcPr>
          <w:p w14:paraId="7E00B34C" w14:textId="77777777" w:rsidR="002E1A3F" w:rsidRPr="002E1A3F" w:rsidRDefault="00B00100">
            <w:pPr>
              <w:keepNext/>
              <w:keepLines/>
              <w:rPr>
                <w:rFonts w:ascii="Calibri" w:eastAsia="Times New Roman" w:hAnsi="Calibri" w:cs="Calibri"/>
                <w:b/>
                <w:bCs/>
                <w:sz w:val="22"/>
                <w:szCs w:val="22"/>
              </w:rPr>
            </w:pPr>
            <w:r w:rsidRPr="002E1A3F">
              <w:rPr>
                <w:rFonts w:ascii="Calibri" w:eastAsia="Times New Roman" w:hAnsi="Calibri" w:cs="Calibri"/>
                <w:b/>
                <w:bCs/>
                <w:sz w:val="22"/>
                <w:szCs w:val="22"/>
              </w:rPr>
              <w:t>Year</w:t>
            </w:r>
          </w:p>
        </w:tc>
        <w:tc>
          <w:tcPr>
            <w:tcW w:w="2083" w:type="dxa"/>
            <w:shd w:val="clear" w:color="auto" w:fill="AEAAAA"/>
            <w:hideMark/>
          </w:tcPr>
          <w:p w14:paraId="7BEB5FDE" w14:textId="77777777" w:rsidR="002E1A3F" w:rsidRPr="002E1A3F" w:rsidRDefault="00B00100" w:rsidP="00F463C2">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Cost</w:t>
            </w:r>
          </w:p>
        </w:tc>
        <w:tc>
          <w:tcPr>
            <w:tcW w:w="2083" w:type="dxa"/>
            <w:shd w:val="clear" w:color="auto" w:fill="AEAAAA"/>
            <w:hideMark/>
          </w:tcPr>
          <w:p w14:paraId="0FC9D232" w14:textId="77777777" w:rsidR="002E1A3F" w:rsidRPr="002E1A3F" w:rsidRDefault="00B00100" w:rsidP="00FC1A97">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Benefits</w:t>
            </w:r>
          </w:p>
        </w:tc>
        <w:tc>
          <w:tcPr>
            <w:tcW w:w="2121" w:type="dxa"/>
            <w:shd w:val="clear" w:color="auto" w:fill="AEAAAA"/>
            <w:hideMark/>
          </w:tcPr>
          <w:p w14:paraId="4C917618" w14:textId="77777777" w:rsidR="002E1A3F" w:rsidRPr="002E1A3F" w:rsidRDefault="00B00100" w:rsidP="003247A0">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Benefits - Costs</w:t>
            </w:r>
          </w:p>
        </w:tc>
      </w:tr>
      <w:tr w:rsidR="000C3959" w14:paraId="0F3EA39E" w14:textId="77777777" w:rsidTr="000C46A6">
        <w:trPr>
          <w:trHeight w:val="273"/>
          <w:jc w:val="center"/>
        </w:trPr>
        <w:tc>
          <w:tcPr>
            <w:tcW w:w="2084" w:type="dxa"/>
            <w:noWrap/>
            <w:hideMark/>
          </w:tcPr>
          <w:p w14:paraId="6F5818BA"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2019</w:t>
            </w:r>
          </w:p>
        </w:tc>
        <w:tc>
          <w:tcPr>
            <w:tcW w:w="2083" w:type="dxa"/>
            <w:noWrap/>
            <w:hideMark/>
          </w:tcPr>
          <w:p w14:paraId="21B996CD"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5,422,667</w:t>
            </w:r>
          </w:p>
        </w:tc>
        <w:tc>
          <w:tcPr>
            <w:tcW w:w="2083" w:type="dxa"/>
            <w:noWrap/>
            <w:hideMark/>
          </w:tcPr>
          <w:p w14:paraId="67DAFA6E"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31,009,890 </w:t>
            </w:r>
          </w:p>
        </w:tc>
        <w:tc>
          <w:tcPr>
            <w:tcW w:w="2121" w:type="dxa"/>
            <w:noWrap/>
            <w:hideMark/>
          </w:tcPr>
          <w:p w14:paraId="56C6447F"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25,587,224 </w:t>
            </w:r>
          </w:p>
        </w:tc>
      </w:tr>
      <w:tr w:rsidR="000C3959" w14:paraId="41566050" w14:textId="77777777" w:rsidTr="000C46A6">
        <w:trPr>
          <w:trHeight w:val="273"/>
          <w:jc w:val="center"/>
        </w:trPr>
        <w:tc>
          <w:tcPr>
            <w:tcW w:w="2084" w:type="dxa"/>
            <w:noWrap/>
            <w:hideMark/>
          </w:tcPr>
          <w:p w14:paraId="711791F4"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2020</w:t>
            </w:r>
          </w:p>
        </w:tc>
        <w:tc>
          <w:tcPr>
            <w:tcW w:w="2083" w:type="dxa"/>
            <w:noWrap/>
            <w:hideMark/>
          </w:tcPr>
          <w:p w14:paraId="30472844"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24,850,000</w:t>
            </w:r>
          </w:p>
        </w:tc>
        <w:tc>
          <w:tcPr>
            <w:tcW w:w="2083" w:type="dxa"/>
            <w:noWrap/>
            <w:hideMark/>
          </w:tcPr>
          <w:p w14:paraId="34E07E76"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28,966,928 </w:t>
            </w:r>
          </w:p>
        </w:tc>
        <w:tc>
          <w:tcPr>
            <w:tcW w:w="2121" w:type="dxa"/>
            <w:noWrap/>
            <w:hideMark/>
          </w:tcPr>
          <w:p w14:paraId="236052D4"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4,116,928 </w:t>
            </w:r>
          </w:p>
        </w:tc>
      </w:tr>
      <w:tr w:rsidR="000C3959" w14:paraId="71AC106A" w14:textId="77777777" w:rsidTr="000C46A6">
        <w:trPr>
          <w:trHeight w:val="273"/>
          <w:jc w:val="center"/>
        </w:trPr>
        <w:tc>
          <w:tcPr>
            <w:tcW w:w="2084" w:type="dxa"/>
            <w:hideMark/>
          </w:tcPr>
          <w:p w14:paraId="29B9B9FA"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2021</w:t>
            </w:r>
          </w:p>
        </w:tc>
        <w:tc>
          <w:tcPr>
            <w:tcW w:w="2083" w:type="dxa"/>
            <w:noWrap/>
            <w:hideMark/>
          </w:tcPr>
          <w:p w14:paraId="55206849"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37,611,607</w:t>
            </w:r>
          </w:p>
        </w:tc>
        <w:tc>
          <w:tcPr>
            <w:tcW w:w="2083" w:type="dxa"/>
            <w:noWrap/>
            <w:hideMark/>
          </w:tcPr>
          <w:p w14:paraId="574DA8C3"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37,005,962 </w:t>
            </w:r>
          </w:p>
        </w:tc>
        <w:tc>
          <w:tcPr>
            <w:tcW w:w="2121" w:type="dxa"/>
            <w:noWrap/>
            <w:hideMark/>
          </w:tcPr>
          <w:p w14:paraId="59501E6D"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(605,645)</w:t>
            </w:r>
          </w:p>
        </w:tc>
      </w:tr>
      <w:tr w:rsidR="000C3959" w14:paraId="7A5C24EC" w14:textId="77777777" w:rsidTr="000C46A6">
        <w:trPr>
          <w:trHeight w:val="273"/>
          <w:jc w:val="center"/>
        </w:trPr>
        <w:tc>
          <w:tcPr>
            <w:tcW w:w="2084" w:type="dxa"/>
            <w:noWrap/>
            <w:hideMark/>
          </w:tcPr>
          <w:p w14:paraId="70FEA406"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2022</w:t>
            </w:r>
          </w:p>
        </w:tc>
        <w:tc>
          <w:tcPr>
            <w:tcW w:w="2083" w:type="dxa"/>
            <w:noWrap/>
            <w:hideMark/>
          </w:tcPr>
          <w:p w14:paraId="73E75B36"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45,539,700</w:t>
            </w:r>
          </w:p>
        </w:tc>
        <w:tc>
          <w:tcPr>
            <w:tcW w:w="2083" w:type="dxa"/>
            <w:noWrap/>
            <w:hideMark/>
          </w:tcPr>
          <w:p w14:paraId="0DA30927"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32,655,375 </w:t>
            </w:r>
          </w:p>
        </w:tc>
        <w:tc>
          <w:tcPr>
            <w:tcW w:w="2121" w:type="dxa"/>
            <w:noWrap/>
            <w:hideMark/>
          </w:tcPr>
          <w:p w14:paraId="42A2CB40"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(12,884,326)</w:t>
            </w:r>
          </w:p>
        </w:tc>
      </w:tr>
      <w:tr w:rsidR="000C3959" w14:paraId="3E6EBD71" w14:textId="77777777" w:rsidTr="000C46A6">
        <w:trPr>
          <w:trHeight w:val="273"/>
          <w:jc w:val="center"/>
        </w:trPr>
        <w:tc>
          <w:tcPr>
            <w:tcW w:w="2084" w:type="dxa"/>
            <w:noWrap/>
            <w:hideMark/>
          </w:tcPr>
          <w:p w14:paraId="3C01674C"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2023</w:t>
            </w:r>
          </w:p>
        </w:tc>
        <w:tc>
          <w:tcPr>
            <w:tcW w:w="2083" w:type="dxa"/>
            <w:noWrap/>
            <w:hideMark/>
          </w:tcPr>
          <w:p w14:paraId="1CE4A84D"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42,493,281</w:t>
            </w:r>
          </w:p>
        </w:tc>
        <w:tc>
          <w:tcPr>
            <w:tcW w:w="2083" w:type="dxa"/>
            <w:noWrap/>
            <w:hideMark/>
          </w:tcPr>
          <w:p w14:paraId="0B1955B6"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33,856,767 </w:t>
            </w:r>
          </w:p>
        </w:tc>
        <w:tc>
          <w:tcPr>
            <w:tcW w:w="2121" w:type="dxa"/>
            <w:noWrap/>
            <w:hideMark/>
          </w:tcPr>
          <w:p w14:paraId="65F9E262"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(8,636,514)</w:t>
            </w:r>
          </w:p>
        </w:tc>
      </w:tr>
      <w:tr w:rsidR="000C3959" w14:paraId="543AF14D" w14:textId="77777777" w:rsidTr="000C46A6">
        <w:trPr>
          <w:trHeight w:val="273"/>
          <w:jc w:val="center"/>
        </w:trPr>
        <w:tc>
          <w:tcPr>
            <w:tcW w:w="2084" w:type="dxa"/>
            <w:noWrap/>
            <w:hideMark/>
          </w:tcPr>
          <w:p w14:paraId="39666AD9"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2024</w:t>
            </w:r>
          </w:p>
        </w:tc>
        <w:tc>
          <w:tcPr>
            <w:tcW w:w="2083" w:type="dxa"/>
            <w:noWrap/>
            <w:hideMark/>
          </w:tcPr>
          <w:p w14:paraId="291DD5A9"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28,783,673</w:t>
            </w:r>
          </w:p>
        </w:tc>
        <w:tc>
          <w:tcPr>
            <w:tcW w:w="2083" w:type="dxa"/>
            <w:noWrap/>
            <w:hideMark/>
          </w:tcPr>
          <w:p w14:paraId="789A6B2A"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35,104,823 </w:t>
            </w:r>
          </w:p>
        </w:tc>
        <w:tc>
          <w:tcPr>
            <w:tcW w:w="2121" w:type="dxa"/>
            <w:noWrap/>
            <w:hideMark/>
          </w:tcPr>
          <w:p w14:paraId="570E21FE"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6,321,151 </w:t>
            </w:r>
          </w:p>
        </w:tc>
      </w:tr>
      <w:tr w:rsidR="000C3959" w14:paraId="70ED2C04" w14:textId="77777777" w:rsidTr="000C46A6">
        <w:trPr>
          <w:trHeight w:val="273"/>
          <w:jc w:val="center"/>
        </w:trPr>
        <w:tc>
          <w:tcPr>
            <w:tcW w:w="2084" w:type="dxa"/>
            <w:noWrap/>
            <w:hideMark/>
          </w:tcPr>
          <w:p w14:paraId="7448039E"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2025</w:t>
            </w:r>
          </w:p>
        </w:tc>
        <w:tc>
          <w:tcPr>
            <w:tcW w:w="2083" w:type="dxa"/>
            <w:noWrap/>
            <w:hideMark/>
          </w:tcPr>
          <w:p w14:paraId="09BFACC7"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9,116,658</w:t>
            </w:r>
          </w:p>
        </w:tc>
        <w:tc>
          <w:tcPr>
            <w:tcW w:w="2083" w:type="dxa"/>
            <w:noWrap/>
            <w:hideMark/>
          </w:tcPr>
          <w:p w14:paraId="195402D2"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36,401,469 </w:t>
            </w:r>
          </w:p>
        </w:tc>
        <w:tc>
          <w:tcPr>
            <w:tcW w:w="2121" w:type="dxa"/>
            <w:noWrap/>
            <w:hideMark/>
          </w:tcPr>
          <w:p w14:paraId="46FCF26D" w14:textId="77777777" w:rsidR="002E1A3F" w:rsidRPr="002E1A3F" w:rsidRDefault="00B00100" w:rsidP="003247A0">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27,284,811 </w:t>
            </w:r>
          </w:p>
        </w:tc>
      </w:tr>
      <w:tr w:rsidR="000C3959" w14:paraId="6B5432E5" w14:textId="77777777" w:rsidTr="000C46A6">
        <w:trPr>
          <w:trHeight w:val="273"/>
          <w:jc w:val="center"/>
        </w:trPr>
        <w:tc>
          <w:tcPr>
            <w:tcW w:w="2084" w:type="dxa"/>
            <w:noWrap/>
            <w:hideMark/>
          </w:tcPr>
          <w:p w14:paraId="55BE8F49"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Totals (and NPV)</w:t>
            </w:r>
          </w:p>
        </w:tc>
        <w:tc>
          <w:tcPr>
            <w:tcW w:w="2083" w:type="dxa"/>
            <w:noWrap/>
            <w:hideMark/>
          </w:tcPr>
          <w:p w14:paraId="0A8BCAD9" w14:textId="77777777" w:rsidR="002E1A3F" w:rsidRPr="002E1A3F" w:rsidRDefault="00B00100" w:rsidP="00F463C2">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193,817,586</w:t>
            </w:r>
          </w:p>
        </w:tc>
        <w:tc>
          <w:tcPr>
            <w:tcW w:w="2083" w:type="dxa"/>
            <w:noWrap/>
            <w:hideMark/>
          </w:tcPr>
          <w:p w14:paraId="2FF1ACD1" w14:textId="77777777" w:rsidR="002E1A3F" w:rsidRPr="002E1A3F" w:rsidRDefault="00B00100" w:rsidP="00FC1A97">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 xml:space="preserve">235,001,214 </w:t>
            </w:r>
          </w:p>
        </w:tc>
        <w:tc>
          <w:tcPr>
            <w:tcW w:w="2121" w:type="dxa"/>
            <w:noWrap/>
            <w:hideMark/>
          </w:tcPr>
          <w:p w14:paraId="657F9A6D" w14:textId="77777777" w:rsidR="002E1A3F" w:rsidRPr="002E1A3F" w:rsidRDefault="00B00100" w:rsidP="003247A0">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 xml:space="preserve">41,183,628 </w:t>
            </w:r>
          </w:p>
        </w:tc>
      </w:tr>
      <w:tr w:rsidR="000C3959" w14:paraId="154C5F2C" w14:textId="77777777" w:rsidTr="000C46A6">
        <w:trPr>
          <w:trHeight w:val="273"/>
          <w:jc w:val="center"/>
        </w:trPr>
        <w:tc>
          <w:tcPr>
            <w:tcW w:w="2084" w:type="dxa"/>
            <w:noWrap/>
          </w:tcPr>
          <w:p w14:paraId="1831593B" w14:textId="77777777" w:rsidR="002E1A3F" w:rsidRPr="002E1A3F" w:rsidRDefault="00B00100">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IRR</w:t>
            </w:r>
          </w:p>
        </w:tc>
        <w:tc>
          <w:tcPr>
            <w:tcW w:w="2083" w:type="dxa"/>
            <w:noWrap/>
          </w:tcPr>
          <w:p w14:paraId="3838DE69" w14:textId="77777777" w:rsidR="002E1A3F" w:rsidRPr="002E1A3F" w:rsidRDefault="002E1A3F" w:rsidP="00F463C2">
            <w:pPr>
              <w:keepNext/>
              <w:keepLines/>
              <w:jc w:val="center"/>
              <w:rPr>
                <w:rFonts w:ascii="Calibri" w:eastAsia="Times New Roman" w:hAnsi="Calibri" w:cs="Calibri"/>
                <w:b/>
                <w:sz w:val="20"/>
                <w:szCs w:val="20"/>
              </w:rPr>
            </w:pPr>
          </w:p>
        </w:tc>
        <w:tc>
          <w:tcPr>
            <w:tcW w:w="2083" w:type="dxa"/>
            <w:noWrap/>
          </w:tcPr>
          <w:p w14:paraId="78B941E6" w14:textId="77777777" w:rsidR="002E1A3F" w:rsidRPr="002E1A3F" w:rsidRDefault="002E1A3F" w:rsidP="00FC1A97">
            <w:pPr>
              <w:keepNext/>
              <w:keepLines/>
              <w:jc w:val="center"/>
              <w:rPr>
                <w:rFonts w:ascii="Calibri" w:eastAsia="Times New Roman" w:hAnsi="Calibri" w:cs="Calibri"/>
                <w:b/>
                <w:sz w:val="20"/>
                <w:szCs w:val="20"/>
              </w:rPr>
            </w:pPr>
          </w:p>
        </w:tc>
        <w:tc>
          <w:tcPr>
            <w:tcW w:w="2121" w:type="dxa"/>
            <w:noWrap/>
          </w:tcPr>
          <w:p w14:paraId="76221A00" w14:textId="77777777" w:rsidR="002E1A3F" w:rsidRPr="002E1A3F" w:rsidRDefault="00B00100" w:rsidP="003247A0">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32.74%</w:t>
            </w:r>
          </w:p>
        </w:tc>
      </w:tr>
    </w:tbl>
    <w:p w14:paraId="2DEBE77D" w14:textId="77777777" w:rsidR="002E1A3F" w:rsidRPr="000C46A6" w:rsidRDefault="00B00100" w:rsidP="008E2709">
      <w:pPr>
        <w:keepNext/>
        <w:keepLines/>
        <w:widowControl/>
        <w:autoSpaceDE/>
        <w:autoSpaceDN/>
        <w:adjustRightInd/>
        <w:ind w:right="86"/>
        <w:rPr>
          <w:rFonts w:ascii="Calibri" w:eastAsia="Times New Roman" w:hAnsi="Calibri" w:cs="Times New Roman"/>
          <w:color w:val="auto"/>
          <w:sz w:val="18"/>
          <w:szCs w:val="20"/>
        </w:rPr>
      </w:pPr>
      <w:r w:rsidRPr="000C46A6">
        <w:rPr>
          <w:rFonts w:ascii="Calibri" w:eastAsia="Times New Roman" w:hAnsi="Calibri" w:cs="Times New Roman"/>
          <w:i/>
          <w:color w:val="auto"/>
          <w:sz w:val="18"/>
          <w:szCs w:val="20"/>
        </w:rPr>
        <w:t xml:space="preserve">Source: </w:t>
      </w:r>
      <w:r w:rsidRPr="000C46A6">
        <w:rPr>
          <w:rFonts w:ascii="Calibri" w:eastAsia="Times New Roman" w:hAnsi="Calibri" w:cs="Times New Roman"/>
          <w:color w:val="auto"/>
          <w:sz w:val="18"/>
          <w:szCs w:val="20"/>
        </w:rPr>
        <w:t>World Bank calculations using data from The World Bank Development Research Group Poverty and Inequality Team, 2013.</w:t>
      </w:r>
    </w:p>
    <w:p w14:paraId="4E1C6B58" w14:textId="77777777" w:rsidR="00ED4B60" w:rsidRPr="002E1A3F" w:rsidRDefault="00ED4B60" w:rsidP="008E2709">
      <w:pPr>
        <w:tabs>
          <w:tab w:val="left" w:pos="0"/>
          <w:tab w:val="left" w:pos="720"/>
          <w:tab w:val="left" w:pos="3822"/>
        </w:tabs>
        <w:jc w:val="both"/>
        <w:rPr>
          <w:rFonts w:ascii="Calibri" w:eastAsia="Times New Roman" w:hAnsi="Calibri" w:cs="Calibri"/>
          <w:b/>
          <w:i/>
          <w:sz w:val="22"/>
          <w:szCs w:val="22"/>
          <w:u w:val="single"/>
        </w:rPr>
      </w:pPr>
      <w:bookmarkStart w:id="482" w:name="_Hlk508234217"/>
    </w:p>
    <w:p w14:paraId="334EED01" w14:textId="77777777" w:rsidR="002E1A3F" w:rsidRPr="002E1A3F" w:rsidRDefault="00B00100" w:rsidP="008E2709">
      <w:pPr>
        <w:tabs>
          <w:tab w:val="left" w:pos="0"/>
          <w:tab w:val="left" w:pos="720"/>
          <w:tab w:val="left" w:pos="3822"/>
        </w:tabs>
        <w:jc w:val="both"/>
        <w:rPr>
          <w:rFonts w:ascii="Calibri" w:eastAsia="Times New Roman" w:hAnsi="Calibri" w:cs="Calibri"/>
          <w:i/>
          <w:sz w:val="22"/>
          <w:szCs w:val="22"/>
          <w:u w:val="single"/>
        </w:rPr>
      </w:pPr>
      <w:r w:rsidRPr="002E1A3F">
        <w:rPr>
          <w:rFonts w:ascii="Calibri" w:eastAsia="Times New Roman" w:hAnsi="Calibri" w:cs="Calibri"/>
          <w:b/>
          <w:i/>
          <w:sz w:val="22"/>
          <w:szCs w:val="22"/>
          <w:u w:val="single"/>
        </w:rPr>
        <w:t>F</w:t>
      </w:r>
      <w:bookmarkEnd w:id="482"/>
      <w:r w:rsidRPr="002E1A3F">
        <w:rPr>
          <w:rFonts w:ascii="Calibri" w:eastAsia="Times New Roman" w:hAnsi="Calibri" w:cs="Calibri"/>
          <w:b/>
          <w:i/>
          <w:sz w:val="22"/>
          <w:szCs w:val="22"/>
          <w:u w:val="single"/>
        </w:rPr>
        <w:t>iscal sustainability analysis</w:t>
      </w:r>
    </w:p>
    <w:p w14:paraId="75E717A0" w14:textId="77777777" w:rsidR="002E1A3F" w:rsidRDefault="00B00100" w:rsidP="00FC1A97">
      <w:pPr>
        <w:widowControl/>
        <w:numPr>
          <w:ilvl w:val="0"/>
          <w:numId w:val="33"/>
        </w:numPr>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bookmarkStart w:id="483" w:name="_Hlk508378699"/>
      <w:r w:rsidRPr="002E1A3F">
        <w:rPr>
          <w:rFonts w:ascii="Calibri" w:eastAsia="Times New Roman" w:hAnsi="Calibri" w:cs="Times New Roman"/>
          <w:b/>
          <w:color w:val="auto"/>
          <w:sz w:val="22"/>
          <w:szCs w:val="22"/>
        </w:rPr>
        <w:t xml:space="preserve">The Second </w:t>
      </w:r>
      <w:r w:rsidR="00BB4A89">
        <w:rPr>
          <w:rFonts w:ascii="Calibri" w:eastAsia="Times New Roman" w:hAnsi="Calibri" w:cs="Times New Roman"/>
          <w:b/>
          <w:color w:val="auto"/>
          <w:sz w:val="22"/>
          <w:szCs w:val="22"/>
        </w:rPr>
        <w:t>ACE Impact Project</w:t>
      </w:r>
      <w:r w:rsidRPr="002E1A3F">
        <w:rPr>
          <w:rFonts w:ascii="Calibri" w:eastAsia="Times New Roman" w:hAnsi="Calibri" w:cs="Times New Roman"/>
          <w:b/>
          <w:color w:val="auto"/>
          <w:sz w:val="22"/>
          <w:szCs w:val="22"/>
        </w:rPr>
        <w:t xml:space="preserve"> has developed well-defined mechanisms to ensure sustainable financing for the future of ACE Impact centers. </w:t>
      </w:r>
      <w:r w:rsidRPr="002E1A3F">
        <w:rPr>
          <w:rFonts w:ascii="Calibri" w:eastAsia="Times New Roman" w:hAnsi="Calibri" w:cs="Times New Roman"/>
          <w:color w:val="auto"/>
          <w:sz w:val="22"/>
          <w:szCs w:val="22"/>
        </w:rPr>
        <w:t xml:space="preserve">These mechanisms ensure that the centers are sustainable beyond World Bank funding. Revenue generation – derived from student fees, institutional (and governmental) support, research grants, consulting fees, short courses, corporate partnerships and other sources – is a critical measure ensuring the sustainability of centers. Results from the </w:t>
      </w:r>
      <w:r w:rsidR="00BB4A89">
        <w:rPr>
          <w:rFonts w:ascii="Calibri" w:eastAsia="Times New Roman" w:hAnsi="Calibri" w:cs="Times New Roman"/>
          <w:color w:val="auto"/>
          <w:sz w:val="22"/>
          <w:szCs w:val="22"/>
        </w:rPr>
        <w:t>ACE I Project</w:t>
      </w:r>
      <w:r w:rsidRPr="002E1A3F">
        <w:rPr>
          <w:rFonts w:ascii="Calibri" w:eastAsia="Times New Roman" w:hAnsi="Calibri" w:cs="Times New Roman"/>
          <w:color w:val="auto"/>
          <w:sz w:val="22"/>
          <w:szCs w:val="22"/>
        </w:rPr>
        <w:t xml:space="preserve"> demonstrate that US$29,376,708 (see Table A7.7) worth of revenue has been generated since the project started in 2014, which is higher than the total funds of US$26,420,377 used by the centers as of 2017. On average, every ACE I center generates US$1,398,891, and for every US$1.00 spent by an ACE I center, US$1.20 is generated.</w:t>
      </w:r>
    </w:p>
    <w:p w14:paraId="3D825447" w14:textId="77777777" w:rsidR="000E6C2B" w:rsidRPr="002E1A3F" w:rsidRDefault="000E6C2B" w:rsidP="008E2709">
      <w:pPr>
        <w:widowControl/>
        <w:tabs>
          <w:tab w:val="left" w:pos="0"/>
          <w:tab w:val="left" w:pos="720"/>
        </w:tabs>
        <w:autoSpaceDE/>
        <w:autoSpaceDN/>
        <w:adjustRightInd/>
        <w:spacing w:line="259" w:lineRule="auto"/>
        <w:ind w:right="720"/>
        <w:jc w:val="both"/>
        <w:rPr>
          <w:rFonts w:ascii="Calibri" w:eastAsia="Times New Roman" w:hAnsi="Calibri" w:cs="Times New Roman"/>
          <w:color w:val="auto"/>
          <w:sz w:val="22"/>
          <w:szCs w:val="22"/>
        </w:rPr>
      </w:pPr>
    </w:p>
    <w:p w14:paraId="4BE80B13" w14:textId="77777777" w:rsidR="002E1A3F" w:rsidRPr="002E1A3F" w:rsidRDefault="00B00100" w:rsidP="002E1A3F">
      <w:pPr>
        <w:keepNext/>
        <w:keepLines/>
        <w:tabs>
          <w:tab w:val="left" w:pos="720"/>
        </w:tabs>
        <w:spacing w:after="120"/>
        <w:ind w:right="630"/>
        <w:jc w:val="center"/>
        <w:rPr>
          <w:rFonts w:ascii="Calibri" w:eastAsia="Times New Roman" w:hAnsi="Calibri" w:cs="Calibri"/>
          <w:sz w:val="22"/>
          <w:szCs w:val="22"/>
        </w:rPr>
      </w:pPr>
      <w:r w:rsidRPr="002E1A3F">
        <w:rPr>
          <w:rFonts w:ascii="Calibri" w:eastAsia="Times New Roman" w:hAnsi="Calibri" w:cs="Calibri"/>
          <w:b/>
          <w:sz w:val="22"/>
          <w:szCs w:val="22"/>
        </w:rPr>
        <w:t xml:space="preserve">Table A7.7. </w:t>
      </w:r>
      <w:r w:rsidRPr="002E1A3F">
        <w:rPr>
          <w:rFonts w:ascii="Calibri" w:eastAsia="Times New Roman" w:hAnsi="Calibri" w:cs="Calibri"/>
          <w:b/>
          <w:i/>
          <w:sz w:val="22"/>
          <w:szCs w:val="22"/>
        </w:rPr>
        <w:t xml:space="preserve">Distribution of Funds </w:t>
      </w:r>
      <w:r w:rsidR="00014B08">
        <w:rPr>
          <w:rFonts w:ascii="Calibri" w:eastAsia="Times New Roman" w:hAnsi="Calibri" w:cs="Calibri"/>
          <w:b/>
          <w:i/>
          <w:sz w:val="22"/>
          <w:szCs w:val="22"/>
        </w:rPr>
        <w:t>U</w:t>
      </w:r>
      <w:r w:rsidR="004249EE" w:rsidRPr="002E1A3F">
        <w:rPr>
          <w:rFonts w:ascii="Calibri" w:eastAsia="Times New Roman" w:hAnsi="Calibri" w:cs="Calibri"/>
          <w:b/>
          <w:i/>
          <w:sz w:val="22"/>
          <w:szCs w:val="22"/>
        </w:rPr>
        <w:t>tilized,</w:t>
      </w:r>
      <w:r w:rsidRPr="002E1A3F">
        <w:rPr>
          <w:rFonts w:ascii="Calibri" w:eastAsia="Times New Roman" w:hAnsi="Calibri" w:cs="Calibri"/>
          <w:b/>
          <w:i/>
          <w:sz w:val="22"/>
          <w:szCs w:val="22"/>
        </w:rPr>
        <w:t xml:space="preserve"> and Revenue </w:t>
      </w:r>
      <w:r w:rsidR="00014B08">
        <w:rPr>
          <w:rFonts w:ascii="Calibri" w:eastAsia="Times New Roman" w:hAnsi="Calibri" w:cs="Calibri"/>
          <w:b/>
          <w:i/>
          <w:sz w:val="22"/>
          <w:szCs w:val="22"/>
        </w:rPr>
        <w:t>G</w:t>
      </w:r>
      <w:r w:rsidRPr="002E1A3F">
        <w:rPr>
          <w:rFonts w:ascii="Calibri" w:eastAsia="Times New Roman" w:hAnsi="Calibri" w:cs="Calibri"/>
          <w:b/>
          <w:i/>
          <w:sz w:val="22"/>
          <w:szCs w:val="22"/>
        </w:rPr>
        <w:t xml:space="preserve">enerated </w:t>
      </w:r>
      <w:r w:rsidR="00014B08">
        <w:rPr>
          <w:rFonts w:ascii="Calibri" w:eastAsia="Times New Roman" w:hAnsi="Calibri" w:cs="Calibri"/>
          <w:b/>
          <w:i/>
          <w:sz w:val="22"/>
          <w:szCs w:val="22"/>
        </w:rPr>
        <w:t>A</w:t>
      </w:r>
      <w:r w:rsidRPr="002E1A3F">
        <w:rPr>
          <w:rFonts w:ascii="Calibri" w:eastAsia="Times New Roman" w:hAnsi="Calibri" w:cs="Calibri"/>
          <w:b/>
          <w:i/>
          <w:sz w:val="22"/>
          <w:szCs w:val="22"/>
        </w:rPr>
        <w:t>cross Countries Participating in the ACE I Project</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159"/>
        <w:gridCol w:w="3159"/>
      </w:tblGrid>
      <w:tr w:rsidR="000C3959" w14:paraId="69CFD272" w14:textId="77777777" w:rsidTr="009277AD">
        <w:trPr>
          <w:trHeight w:val="296"/>
        </w:trPr>
        <w:tc>
          <w:tcPr>
            <w:tcW w:w="3160" w:type="dxa"/>
            <w:shd w:val="clear" w:color="auto" w:fill="D0CECE"/>
            <w:noWrap/>
            <w:hideMark/>
          </w:tcPr>
          <w:p w14:paraId="1FFDA53B" w14:textId="77777777" w:rsidR="002E1A3F" w:rsidRPr="002E1A3F" w:rsidRDefault="00B00100" w:rsidP="002E1A3F">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ACE Country</w:t>
            </w:r>
          </w:p>
        </w:tc>
        <w:tc>
          <w:tcPr>
            <w:tcW w:w="3159" w:type="dxa"/>
            <w:shd w:val="clear" w:color="auto" w:fill="D0CECE"/>
            <w:hideMark/>
          </w:tcPr>
          <w:p w14:paraId="60B88D4B" w14:textId="77777777" w:rsidR="002E1A3F" w:rsidRPr="002E1A3F" w:rsidRDefault="00B00100" w:rsidP="002E1A3F">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Total IDA Funds as of 2017 US$</w:t>
            </w:r>
          </w:p>
        </w:tc>
        <w:tc>
          <w:tcPr>
            <w:tcW w:w="3159" w:type="dxa"/>
            <w:shd w:val="clear" w:color="auto" w:fill="D0CECE"/>
            <w:hideMark/>
          </w:tcPr>
          <w:p w14:paraId="23114D51" w14:textId="77777777" w:rsidR="002E1A3F" w:rsidRPr="002E1A3F" w:rsidRDefault="00B00100" w:rsidP="002E1A3F">
            <w:pPr>
              <w:keepNext/>
              <w:keepLines/>
              <w:jc w:val="center"/>
              <w:rPr>
                <w:rFonts w:ascii="Calibri" w:eastAsia="Times New Roman" w:hAnsi="Calibri" w:cs="Calibri"/>
                <w:b/>
                <w:bCs/>
                <w:sz w:val="22"/>
                <w:szCs w:val="22"/>
              </w:rPr>
            </w:pPr>
            <w:r w:rsidRPr="002E1A3F">
              <w:rPr>
                <w:rFonts w:ascii="Calibri" w:eastAsia="Times New Roman" w:hAnsi="Calibri" w:cs="Calibri"/>
                <w:b/>
                <w:bCs/>
                <w:sz w:val="22"/>
                <w:szCs w:val="22"/>
              </w:rPr>
              <w:t>Revenue Generated (US$)</w:t>
            </w:r>
          </w:p>
        </w:tc>
      </w:tr>
      <w:tr w:rsidR="000C3959" w14:paraId="195F95D6" w14:textId="77777777" w:rsidTr="009277AD">
        <w:trPr>
          <w:trHeight w:val="178"/>
        </w:trPr>
        <w:tc>
          <w:tcPr>
            <w:tcW w:w="3160" w:type="dxa"/>
            <w:noWrap/>
            <w:hideMark/>
          </w:tcPr>
          <w:p w14:paraId="64C95E31"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Nigeria</w:t>
            </w:r>
          </w:p>
        </w:tc>
        <w:tc>
          <w:tcPr>
            <w:tcW w:w="3159" w:type="dxa"/>
            <w:noWrap/>
            <w:hideMark/>
          </w:tcPr>
          <w:p w14:paraId="1C2F6488"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4,994,069.52</w:t>
            </w:r>
          </w:p>
        </w:tc>
        <w:tc>
          <w:tcPr>
            <w:tcW w:w="3159" w:type="dxa"/>
            <w:noWrap/>
            <w:hideMark/>
          </w:tcPr>
          <w:p w14:paraId="61306A01"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10,603,323.29</w:t>
            </w:r>
          </w:p>
        </w:tc>
      </w:tr>
      <w:tr w:rsidR="000C3959" w14:paraId="4DCD08D5" w14:textId="77777777" w:rsidTr="009277AD">
        <w:trPr>
          <w:trHeight w:val="178"/>
        </w:trPr>
        <w:tc>
          <w:tcPr>
            <w:tcW w:w="3160" w:type="dxa"/>
            <w:noWrap/>
            <w:hideMark/>
          </w:tcPr>
          <w:p w14:paraId="0303F4AF"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Ghana</w:t>
            </w:r>
          </w:p>
        </w:tc>
        <w:tc>
          <w:tcPr>
            <w:tcW w:w="3159" w:type="dxa"/>
            <w:noWrap/>
            <w:hideMark/>
          </w:tcPr>
          <w:p w14:paraId="49CE8B0E"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3,278,605.61</w:t>
            </w:r>
          </w:p>
        </w:tc>
        <w:tc>
          <w:tcPr>
            <w:tcW w:w="3159" w:type="dxa"/>
            <w:noWrap/>
            <w:hideMark/>
          </w:tcPr>
          <w:p w14:paraId="13B97BBF"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10,969,015.87</w:t>
            </w:r>
          </w:p>
        </w:tc>
      </w:tr>
      <w:tr w:rsidR="000C3959" w14:paraId="6B00FC70" w14:textId="77777777" w:rsidTr="009277AD">
        <w:trPr>
          <w:trHeight w:val="178"/>
        </w:trPr>
        <w:tc>
          <w:tcPr>
            <w:tcW w:w="3160" w:type="dxa"/>
            <w:noWrap/>
            <w:hideMark/>
          </w:tcPr>
          <w:p w14:paraId="4DD8A0EE"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Senegal</w:t>
            </w:r>
          </w:p>
        </w:tc>
        <w:tc>
          <w:tcPr>
            <w:tcW w:w="3159" w:type="dxa"/>
            <w:noWrap/>
            <w:hideMark/>
          </w:tcPr>
          <w:p w14:paraId="0AA2A43B"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1,177,581.32</w:t>
            </w:r>
          </w:p>
        </w:tc>
        <w:tc>
          <w:tcPr>
            <w:tcW w:w="3159" w:type="dxa"/>
            <w:noWrap/>
            <w:hideMark/>
          </w:tcPr>
          <w:p w14:paraId="1C830FC7"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331,492.46</w:t>
            </w:r>
          </w:p>
        </w:tc>
      </w:tr>
      <w:tr w:rsidR="000C3959" w14:paraId="06664D81" w14:textId="77777777" w:rsidTr="009277AD">
        <w:trPr>
          <w:trHeight w:val="178"/>
        </w:trPr>
        <w:tc>
          <w:tcPr>
            <w:tcW w:w="3160" w:type="dxa"/>
            <w:noWrap/>
            <w:hideMark/>
          </w:tcPr>
          <w:p w14:paraId="1FE148E7"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Benin</w:t>
            </w:r>
          </w:p>
        </w:tc>
        <w:tc>
          <w:tcPr>
            <w:tcW w:w="3159" w:type="dxa"/>
            <w:noWrap/>
            <w:hideMark/>
          </w:tcPr>
          <w:p w14:paraId="20B69545"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686,876.55</w:t>
            </w:r>
          </w:p>
        </w:tc>
        <w:tc>
          <w:tcPr>
            <w:tcW w:w="3159" w:type="dxa"/>
            <w:noWrap/>
            <w:hideMark/>
          </w:tcPr>
          <w:p w14:paraId="17893942"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845,437.32</w:t>
            </w:r>
          </w:p>
        </w:tc>
      </w:tr>
      <w:tr w:rsidR="000C3959" w14:paraId="07E72C92" w14:textId="77777777" w:rsidTr="009277AD">
        <w:trPr>
          <w:trHeight w:val="178"/>
        </w:trPr>
        <w:tc>
          <w:tcPr>
            <w:tcW w:w="3160" w:type="dxa"/>
            <w:noWrap/>
            <w:hideMark/>
          </w:tcPr>
          <w:p w14:paraId="1DB80E01"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Burkina Faso</w:t>
            </w:r>
          </w:p>
        </w:tc>
        <w:tc>
          <w:tcPr>
            <w:tcW w:w="3159" w:type="dxa"/>
            <w:noWrap/>
            <w:hideMark/>
          </w:tcPr>
          <w:p w14:paraId="38FE026C"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1,402,157.86</w:t>
            </w:r>
          </w:p>
        </w:tc>
        <w:tc>
          <w:tcPr>
            <w:tcW w:w="3159" w:type="dxa"/>
            <w:noWrap/>
            <w:hideMark/>
          </w:tcPr>
          <w:p w14:paraId="03AFBCB5"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4,123,232.29</w:t>
            </w:r>
          </w:p>
        </w:tc>
      </w:tr>
      <w:tr w:rsidR="000C3959" w14:paraId="3A4B4A8C" w14:textId="77777777" w:rsidTr="009277AD">
        <w:trPr>
          <w:trHeight w:val="178"/>
        </w:trPr>
        <w:tc>
          <w:tcPr>
            <w:tcW w:w="3160" w:type="dxa"/>
            <w:noWrap/>
            <w:hideMark/>
          </w:tcPr>
          <w:p w14:paraId="4AA59516"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Cameroon</w:t>
            </w:r>
          </w:p>
        </w:tc>
        <w:tc>
          <w:tcPr>
            <w:tcW w:w="3159" w:type="dxa"/>
            <w:noWrap/>
            <w:hideMark/>
          </w:tcPr>
          <w:p w14:paraId="4D5541BC"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689,217.02</w:t>
            </w:r>
          </w:p>
        </w:tc>
        <w:tc>
          <w:tcPr>
            <w:tcW w:w="3159" w:type="dxa"/>
            <w:noWrap/>
            <w:hideMark/>
          </w:tcPr>
          <w:p w14:paraId="5AC7B3D8"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1,100,000.00</w:t>
            </w:r>
          </w:p>
        </w:tc>
      </w:tr>
      <w:tr w:rsidR="000C3959" w14:paraId="59DCD86A" w14:textId="77777777" w:rsidTr="009277AD">
        <w:trPr>
          <w:trHeight w:val="178"/>
        </w:trPr>
        <w:tc>
          <w:tcPr>
            <w:tcW w:w="3160" w:type="dxa"/>
            <w:noWrap/>
            <w:hideMark/>
          </w:tcPr>
          <w:p w14:paraId="7577B7F8"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Togo</w:t>
            </w:r>
          </w:p>
        </w:tc>
        <w:tc>
          <w:tcPr>
            <w:tcW w:w="3159" w:type="dxa"/>
            <w:noWrap/>
            <w:hideMark/>
          </w:tcPr>
          <w:p w14:paraId="0CD9A081"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687,856.01</w:t>
            </w:r>
          </w:p>
        </w:tc>
        <w:tc>
          <w:tcPr>
            <w:tcW w:w="3159" w:type="dxa"/>
            <w:noWrap/>
            <w:hideMark/>
          </w:tcPr>
          <w:p w14:paraId="13EF2EA3"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178,516.00</w:t>
            </w:r>
          </w:p>
        </w:tc>
      </w:tr>
      <w:tr w:rsidR="000C3959" w14:paraId="371425C4" w14:textId="77777777" w:rsidTr="009277AD">
        <w:trPr>
          <w:trHeight w:val="178"/>
        </w:trPr>
        <w:tc>
          <w:tcPr>
            <w:tcW w:w="3160" w:type="dxa"/>
            <w:noWrap/>
            <w:hideMark/>
          </w:tcPr>
          <w:p w14:paraId="08673300"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C</w:t>
            </w:r>
            <w:r w:rsidR="00B04A2E">
              <w:rPr>
                <w:rFonts w:ascii="Calibri" w:eastAsia="Times New Roman" w:hAnsi="Calibri" w:cs="Calibri"/>
                <w:b/>
                <w:bCs/>
                <w:sz w:val="20"/>
                <w:szCs w:val="20"/>
              </w:rPr>
              <w:t>ô</w:t>
            </w:r>
            <w:r w:rsidRPr="002E1A3F">
              <w:rPr>
                <w:rFonts w:ascii="Calibri" w:eastAsia="Times New Roman" w:hAnsi="Calibri" w:cs="Calibri"/>
                <w:b/>
                <w:bCs/>
                <w:sz w:val="20"/>
                <w:szCs w:val="20"/>
              </w:rPr>
              <w:t>te d'Ivoire`</w:t>
            </w:r>
          </w:p>
        </w:tc>
        <w:tc>
          <w:tcPr>
            <w:tcW w:w="3159" w:type="dxa"/>
            <w:noWrap/>
            <w:hideMark/>
          </w:tcPr>
          <w:p w14:paraId="7A1C4E54"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13,504,012.75</w:t>
            </w:r>
          </w:p>
        </w:tc>
        <w:tc>
          <w:tcPr>
            <w:tcW w:w="3159" w:type="dxa"/>
            <w:noWrap/>
            <w:hideMark/>
          </w:tcPr>
          <w:p w14:paraId="2AF5E9B9" w14:textId="77777777" w:rsidR="002E1A3F" w:rsidRPr="002E1A3F" w:rsidRDefault="00B00100" w:rsidP="002E1A3F">
            <w:pPr>
              <w:keepNext/>
              <w:keepLines/>
              <w:jc w:val="center"/>
              <w:rPr>
                <w:rFonts w:ascii="Calibri" w:eastAsia="Times New Roman" w:hAnsi="Calibri" w:cs="Calibri"/>
                <w:sz w:val="20"/>
                <w:szCs w:val="20"/>
              </w:rPr>
            </w:pPr>
            <w:r w:rsidRPr="002E1A3F">
              <w:rPr>
                <w:rFonts w:ascii="Calibri" w:eastAsia="Times New Roman" w:hAnsi="Calibri" w:cs="Calibri"/>
                <w:sz w:val="20"/>
                <w:szCs w:val="20"/>
              </w:rPr>
              <w:t>1,225,691.05</w:t>
            </w:r>
          </w:p>
        </w:tc>
      </w:tr>
      <w:tr w:rsidR="000C3959" w14:paraId="10959E77" w14:textId="77777777" w:rsidTr="009277AD">
        <w:trPr>
          <w:trHeight w:val="178"/>
        </w:trPr>
        <w:tc>
          <w:tcPr>
            <w:tcW w:w="3160" w:type="dxa"/>
            <w:noWrap/>
            <w:hideMark/>
          </w:tcPr>
          <w:p w14:paraId="1AF99597"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TOTAL</w:t>
            </w:r>
          </w:p>
        </w:tc>
        <w:tc>
          <w:tcPr>
            <w:tcW w:w="3159" w:type="dxa"/>
            <w:noWrap/>
            <w:hideMark/>
          </w:tcPr>
          <w:p w14:paraId="73EC7CF9"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26,420,376.64</w:t>
            </w:r>
          </w:p>
        </w:tc>
        <w:tc>
          <w:tcPr>
            <w:tcW w:w="3159" w:type="dxa"/>
            <w:noWrap/>
            <w:hideMark/>
          </w:tcPr>
          <w:p w14:paraId="5283425C"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29,376,708.27</w:t>
            </w:r>
          </w:p>
        </w:tc>
      </w:tr>
      <w:tr w:rsidR="000C3959" w14:paraId="58AD1D4D" w14:textId="77777777" w:rsidTr="009277AD">
        <w:trPr>
          <w:trHeight w:val="178"/>
        </w:trPr>
        <w:tc>
          <w:tcPr>
            <w:tcW w:w="3160" w:type="dxa"/>
            <w:noWrap/>
            <w:hideMark/>
          </w:tcPr>
          <w:p w14:paraId="56ECE2F1"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AVERAGE</w:t>
            </w:r>
          </w:p>
        </w:tc>
        <w:tc>
          <w:tcPr>
            <w:tcW w:w="3159" w:type="dxa"/>
            <w:noWrap/>
            <w:hideMark/>
          </w:tcPr>
          <w:p w14:paraId="58CB1BBB"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1,258,113.17</w:t>
            </w:r>
          </w:p>
        </w:tc>
        <w:tc>
          <w:tcPr>
            <w:tcW w:w="3159" w:type="dxa"/>
            <w:noWrap/>
            <w:hideMark/>
          </w:tcPr>
          <w:p w14:paraId="02F3A928"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1,398,890.87</w:t>
            </w:r>
          </w:p>
        </w:tc>
      </w:tr>
      <w:tr w:rsidR="000C3959" w14:paraId="265D8CC3" w14:textId="77777777" w:rsidTr="009277AD">
        <w:trPr>
          <w:trHeight w:val="178"/>
        </w:trPr>
        <w:tc>
          <w:tcPr>
            <w:tcW w:w="3160" w:type="dxa"/>
            <w:noWrap/>
            <w:hideMark/>
          </w:tcPr>
          <w:p w14:paraId="0449EE8B" w14:textId="77777777" w:rsidR="002E1A3F" w:rsidRPr="002E1A3F" w:rsidRDefault="00B00100" w:rsidP="002E1A3F">
            <w:pPr>
              <w:keepNext/>
              <w:keepLines/>
              <w:jc w:val="center"/>
              <w:rPr>
                <w:rFonts w:ascii="Calibri" w:eastAsia="Times New Roman" w:hAnsi="Calibri" w:cs="Calibri"/>
                <w:b/>
                <w:bCs/>
                <w:sz w:val="20"/>
                <w:szCs w:val="20"/>
              </w:rPr>
            </w:pPr>
            <w:r w:rsidRPr="002E1A3F">
              <w:rPr>
                <w:rFonts w:ascii="Calibri" w:eastAsia="Times New Roman" w:hAnsi="Calibri" w:cs="Calibri"/>
                <w:b/>
                <w:bCs/>
                <w:sz w:val="20"/>
                <w:szCs w:val="20"/>
              </w:rPr>
              <w:t>RETURN on $ 1</w:t>
            </w:r>
          </w:p>
        </w:tc>
        <w:tc>
          <w:tcPr>
            <w:tcW w:w="3159" w:type="dxa"/>
            <w:noWrap/>
            <w:hideMark/>
          </w:tcPr>
          <w:p w14:paraId="2350ED44"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1.2</w:t>
            </w:r>
          </w:p>
        </w:tc>
        <w:tc>
          <w:tcPr>
            <w:tcW w:w="3159" w:type="dxa"/>
            <w:noWrap/>
            <w:hideMark/>
          </w:tcPr>
          <w:p w14:paraId="72AB07F7" w14:textId="77777777" w:rsidR="002E1A3F" w:rsidRPr="002E1A3F" w:rsidRDefault="00B00100" w:rsidP="002E1A3F">
            <w:pPr>
              <w:keepNext/>
              <w:keepLines/>
              <w:jc w:val="center"/>
              <w:rPr>
                <w:rFonts w:ascii="Calibri" w:eastAsia="Times New Roman" w:hAnsi="Calibri" w:cs="Calibri"/>
                <w:b/>
                <w:sz w:val="20"/>
                <w:szCs w:val="20"/>
              </w:rPr>
            </w:pPr>
            <w:r w:rsidRPr="002E1A3F">
              <w:rPr>
                <w:rFonts w:ascii="Calibri" w:eastAsia="Times New Roman" w:hAnsi="Calibri" w:cs="Calibri"/>
                <w:b/>
                <w:sz w:val="20"/>
                <w:szCs w:val="20"/>
              </w:rPr>
              <w:t>1.2</w:t>
            </w:r>
          </w:p>
        </w:tc>
      </w:tr>
      <w:bookmarkEnd w:id="483"/>
    </w:tbl>
    <w:p w14:paraId="6DEDDC65" w14:textId="77777777" w:rsidR="002E1A3F" w:rsidRPr="002E1A3F" w:rsidRDefault="002E1A3F" w:rsidP="002E1A3F">
      <w:pPr>
        <w:tabs>
          <w:tab w:val="left" w:pos="0"/>
          <w:tab w:val="left" w:pos="720"/>
        </w:tabs>
        <w:ind w:left="360"/>
        <w:jc w:val="both"/>
        <w:rPr>
          <w:rFonts w:ascii="Calibri" w:eastAsia="Calibri" w:hAnsi="Calibri" w:cs="Calibri"/>
          <w:b/>
          <w:color w:val="auto"/>
          <w:sz w:val="22"/>
          <w:szCs w:val="22"/>
        </w:rPr>
      </w:pPr>
    </w:p>
    <w:p w14:paraId="592CFA70" w14:textId="77777777" w:rsidR="002E1A3F" w:rsidRPr="002E1A3F" w:rsidRDefault="00B00100" w:rsidP="008E2709">
      <w:pPr>
        <w:widowControl/>
        <w:numPr>
          <w:ilvl w:val="0"/>
          <w:numId w:val="33"/>
        </w:numPr>
        <w:tabs>
          <w:tab w:val="left" w:pos="0"/>
          <w:tab w:val="left" w:pos="720"/>
        </w:tabs>
        <w:autoSpaceDE/>
        <w:autoSpaceDN/>
        <w:adjustRightInd/>
        <w:spacing w:after="160"/>
        <w:ind w:right="720"/>
        <w:jc w:val="both"/>
        <w:rPr>
          <w:rFonts w:ascii="Calibri" w:eastAsia="Times New Roman" w:hAnsi="Calibri" w:cs="Calibri"/>
          <w:b/>
          <w:sz w:val="22"/>
          <w:szCs w:val="22"/>
        </w:rPr>
      </w:pPr>
      <w:r w:rsidRPr="002E1A3F">
        <w:rPr>
          <w:rFonts w:ascii="Calibri" w:eastAsia="Times New Roman" w:hAnsi="Calibri" w:cs="Times New Roman"/>
          <w:b/>
          <w:color w:val="auto"/>
          <w:sz w:val="22"/>
          <w:szCs w:val="22"/>
        </w:rPr>
        <w:lastRenderedPageBreak/>
        <w:t xml:space="preserve">The cost of an ACE Impact center represents a small portion of government expenditure on higher education.  </w:t>
      </w:r>
      <w:r w:rsidRPr="002E1A3F">
        <w:rPr>
          <w:rFonts w:ascii="Calibri" w:eastAsia="Times New Roman" w:hAnsi="Calibri" w:cs="Times New Roman"/>
          <w:color w:val="auto"/>
          <w:sz w:val="22"/>
          <w:szCs w:val="22"/>
        </w:rPr>
        <w:t xml:space="preserve">The </w:t>
      </w:r>
      <w:r w:rsidR="00BB4A89">
        <w:rPr>
          <w:rFonts w:ascii="Calibri" w:eastAsia="Times New Roman" w:hAnsi="Calibri" w:cs="Times New Roman"/>
          <w:color w:val="auto"/>
          <w:sz w:val="22"/>
          <w:szCs w:val="22"/>
        </w:rPr>
        <w:t>ACE Impact Project</w:t>
      </w:r>
      <w:r w:rsidRPr="002E1A3F">
        <w:rPr>
          <w:rFonts w:ascii="Calibri" w:eastAsia="Times New Roman" w:hAnsi="Calibri" w:cs="Times New Roman"/>
          <w:color w:val="auto"/>
          <w:sz w:val="22"/>
          <w:szCs w:val="22"/>
        </w:rPr>
        <w:t xml:space="preserve"> will be implemented over a period of four years.  Each ACE Impact center will be awarded US$4 to US$6 million at a maximum.  If one assumes that in each year center will receive </w:t>
      </w:r>
      <w:r w:rsidR="003F4B5C">
        <w:rPr>
          <w:rFonts w:ascii="Calibri" w:eastAsia="Times New Roman" w:hAnsi="Calibri" w:cs="Times New Roman"/>
          <w:color w:val="auto"/>
          <w:sz w:val="22"/>
          <w:szCs w:val="22"/>
        </w:rPr>
        <w:t xml:space="preserve">between </w:t>
      </w:r>
      <w:r w:rsidRPr="002E1A3F">
        <w:rPr>
          <w:rFonts w:ascii="Calibri" w:eastAsia="Times New Roman" w:hAnsi="Calibri" w:cs="Times New Roman"/>
          <w:color w:val="auto"/>
          <w:sz w:val="22"/>
          <w:szCs w:val="22"/>
        </w:rPr>
        <w:t>US$</w:t>
      </w:r>
      <w:r w:rsidR="00CB2E95">
        <w:rPr>
          <w:rFonts w:ascii="Calibri" w:eastAsia="Times New Roman" w:hAnsi="Calibri" w:cs="Times New Roman"/>
          <w:color w:val="auto"/>
          <w:sz w:val="22"/>
          <w:szCs w:val="22"/>
        </w:rPr>
        <w:t>0.8</w:t>
      </w:r>
      <w:r w:rsidRPr="002E1A3F">
        <w:rPr>
          <w:rFonts w:ascii="Calibri" w:eastAsia="Times New Roman" w:hAnsi="Calibri" w:cs="Times New Roman"/>
          <w:color w:val="auto"/>
          <w:sz w:val="22"/>
          <w:szCs w:val="22"/>
        </w:rPr>
        <w:t xml:space="preserve"> </w:t>
      </w:r>
      <w:r w:rsidR="003F4B5C">
        <w:rPr>
          <w:rFonts w:ascii="Calibri" w:eastAsia="Times New Roman" w:hAnsi="Calibri" w:cs="Times New Roman"/>
          <w:color w:val="auto"/>
          <w:sz w:val="22"/>
          <w:szCs w:val="22"/>
        </w:rPr>
        <w:t>to 1.2</w:t>
      </w:r>
      <w:r w:rsidRPr="002E1A3F">
        <w:rPr>
          <w:rFonts w:ascii="Calibri" w:eastAsia="Times New Roman" w:hAnsi="Calibri" w:cs="Times New Roman"/>
          <w:color w:val="auto"/>
          <w:sz w:val="22"/>
          <w:szCs w:val="22"/>
        </w:rPr>
        <w:t xml:space="preserve">million, this means that each center is equivalent to between </w:t>
      </w:r>
      <w:r w:rsidR="00AF77CF">
        <w:rPr>
          <w:rFonts w:ascii="Calibri" w:eastAsia="Times New Roman" w:hAnsi="Calibri" w:cs="Times New Roman"/>
          <w:color w:val="auto"/>
          <w:sz w:val="22"/>
          <w:szCs w:val="22"/>
        </w:rPr>
        <w:t>0.91</w:t>
      </w:r>
      <w:r w:rsidRPr="002E1A3F">
        <w:rPr>
          <w:rFonts w:ascii="Calibri" w:eastAsia="Times New Roman" w:hAnsi="Calibri" w:cs="Times New Roman"/>
          <w:color w:val="auto"/>
          <w:sz w:val="22"/>
          <w:szCs w:val="22"/>
        </w:rPr>
        <w:t xml:space="preserve"> and </w:t>
      </w:r>
      <w:r w:rsidR="00AF77CF">
        <w:rPr>
          <w:rFonts w:ascii="Calibri" w:eastAsia="Times New Roman" w:hAnsi="Calibri" w:cs="Times New Roman"/>
          <w:color w:val="auto"/>
          <w:sz w:val="22"/>
          <w:szCs w:val="22"/>
        </w:rPr>
        <w:t>1</w:t>
      </w:r>
      <w:r w:rsidRPr="002E1A3F">
        <w:rPr>
          <w:rFonts w:ascii="Calibri" w:eastAsia="Times New Roman" w:hAnsi="Calibri" w:cs="Times New Roman"/>
          <w:color w:val="auto"/>
          <w:sz w:val="22"/>
          <w:szCs w:val="22"/>
        </w:rPr>
        <w:t>.</w:t>
      </w:r>
      <w:r w:rsidR="00AF77CF">
        <w:rPr>
          <w:rFonts w:ascii="Calibri" w:eastAsia="Times New Roman" w:hAnsi="Calibri" w:cs="Times New Roman"/>
          <w:color w:val="auto"/>
          <w:sz w:val="22"/>
          <w:szCs w:val="22"/>
        </w:rPr>
        <w:t>37</w:t>
      </w:r>
      <w:r w:rsidRPr="002E1A3F">
        <w:rPr>
          <w:rFonts w:ascii="Calibri" w:eastAsia="Times New Roman" w:hAnsi="Calibri" w:cs="Times New Roman"/>
          <w:color w:val="auto"/>
          <w:sz w:val="22"/>
          <w:szCs w:val="22"/>
        </w:rPr>
        <w:t xml:space="preserve"> percent of the Government of Benin’s annual </w:t>
      </w:r>
      <w:r w:rsidR="000A17CC">
        <w:rPr>
          <w:rFonts w:ascii="Calibri" w:eastAsia="Times New Roman" w:hAnsi="Calibri" w:cs="Times New Roman"/>
          <w:color w:val="auto"/>
          <w:sz w:val="22"/>
          <w:szCs w:val="22"/>
        </w:rPr>
        <w:t xml:space="preserve">public </w:t>
      </w:r>
      <w:r w:rsidRPr="002E1A3F">
        <w:rPr>
          <w:rFonts w:ascii="Calibri" w:eastAsia="Times New Roman" w:hAnsi="Calibri" w:cs="Times New Roman"/>
          <w:color w:val="auto"/>
          <w:sz w:val="22"/>
          <w:szCs w:val="22"/>
        </w:rPr>
        <w:t xml:space="preserve">expenditure on higher education, </w:t>
      </w:r>
      <w:r w:rsidR="00834C0E">
        <w:rPr>
          <w:rFonts w:ascii="Calibri" w:eastAsia="Times New Roman" w:hAnsi="Calibri" w:cs="Times New Roman"/>
          <w:color w:val="auto"/>
          <w:sz w:val="22"/>
          <w:szCs w:val="22"/>
        </w:rPr>
        <w:t>0.67</w:t>
      </w:r>
      <w:r w:rsidRPr="002E1A3F">
        <w:rPr>
          <w:rFonts w:ascii="Calibri" w:eastAsia="Times New Roman" w:hAnsi="Calibri" w:cs="Times New Roman"/>
          <w:color w:val="auto"/>
          <w:sz w:val="22"/>
          <w:szCs w:val="22"/>
        </w:rPr>
        <w:t xml:space="preserve"> to </w:t>
      </w:r>
      <w:r w:rsidR="008D5D9E">
        <w:rPr>
          <w:rFonts w:ascii="Calibri" w:eastAsia="Times New Roman" w:hAnsi="Calibri" w:cs="Times New Roman"/>
          <w:color w:val="auto"/>
          <w:sz w:val="22"/>
          <w:szCs w:val="22"/>
        </w:rPr>
        <w:t>1.01</w:t>
      </w:r>
      <w:r w:rsidRPr="002E1A3F">
        <w:rPr>
          <w:rFonts w:ascii="Calibri" w:eastAsia="Times New Roman" w:hAnsi="Calibri" w:cs="Times New Roman"/>
          <w:color w:val="auto"/>
          <w:sz w:val="22"/>
          <w:szCs w:val="22"/>
        </w:rPr>
        <w:t xml:space="preserve"> in </w:t>
      </w:r>
      <w:r w:rsidR="00C03588">
        <w:rPr>
          <w:rFonts w:ascii="Calibri" w:eastAsia="Times New Roman" w:hAnsi="Calibri" w:cs="Times New Roman"/>
          <w:color w:val="auto"/>
          <w:sz w:val="22"/>
          <w:szCs w:val="22"/>
        </w:rPr>
        <w:t>Burkina Faso</w:t>
      </w:r>
      <w:r w:rsidRPr="002E1A3F">
        <w:rPr>
          <w:rFonts w:ascii="Calibri" w:eastAsia="Times New Roman" w:hAnsi="Calibri" w:cs="Times New Roman"/>
          <w:color w:val="auto"/>
          <w:sz w:val="22"/>
          <w:szCs w:val="22"/>
        </w:rPr>
        <w:t xml:space="preserve">, </w:t>
      </w:r>
      <w:r w:rsidR="00C03588">
        <w:rPr>
          <w:rFonts w:ascii="Calibri" w:eastAsia="Times New Roman" w:hAnsi="Calibri" w:cs="Times New Roman"/>
          <w:color w:val="auto"/>
          <w:sz w:val="22"/>
          <w:szCs w:val="22"/>
        </w:rPr>
        <w:t>0.</w:t>
      </w:r>
      <w:r w:rsidR="008D5D9E">
        <w:rPr>
          <w:rFonts w:ascii="Calibri" w:eastAsia="Times New Roman" w:hAnsi="Calibri" w:cs="Times New Roman"/>
          <w:color w:val="auto"/>
          <w:sz w:val="22"/>
          <w:szCs w:val="22"/>
        </w:rPr>
        <w:t>22</w:t>
      </w:r>
      <w:r w:rsidRPr="002E1A3F">
        <w:rPr>
          <w:rFonts w:ascii="Calibri" w:eastAsia="Times New Roman" w:hAnsi="Calibri" w:cs="Times New Roman"/>
          <w:color w:val="auto"/>
          <w:sz w:val="22"/>
          <w:szCs w:val="22"/>
        </w:rPr>
        <w:t xml:space="preserve"> to </w:t>
      </w:r>
      <w:r w:rsidR="008D5D9E">
        <w:rPr>
          <w:rFonts w:ascii="Calibri" w:eastAsia="Times New Roman" w:hAnsi="Calibri" w:cs="Times New Roman"/>
          <w:color w:val="auto"/>
          <w:sz w:val="22"/>
          <w:szCs w:val="22"/>
        </w:rPr>
        <w:t>0.33</w:t>
      </w:r>
      <w:r w:rsidRPr="002E1A3F">
        <w:rPr>
          <w:rFonts w:ascii="Calibri" w:eastAsia="Times New Roman" w:hAnsi="Calibri" w:cs="Times New Roman"/>
          <w:color w:val="auto"/>
          <w:sz w:val="22"/>
          <w:szCs w:val="22"/>
        </w:rPr>
        <w:t xml:space="preserve"> percent in </w:t>
      </w:r>
      <w:r w:rsidR="00C03588" w:rsidRPr="002E1A3F">
        <w:rPr>
          <w:rFonts w:ascii="Calibri" w:eastAsia="Times New Roman" w:hAnsi="Calibri" w:cs="Times New Roman"/>
          <w:color w:val="auto"/>
          <w:sz w:val="22"/>
          <w:szCs w:val="22"/>
        </w:rPr>
        <w:t>C</w:t>
      </w:r>
      <w:r w:rsidR="0032111C" w:rsidRPr="0032111C">
        <w:rPr>
          <w:rFonts w:ascii="Calibri" w:eastAsia="Times New Roman" w:hAnsi="Calibri" w:cs="Times New Roman"/>
          <w:color w:val="auto"/>
          <w:sz w:val="22"/>
          <w:szCs w:val="22"/>
        </w:rPr>
        <w:t>ô</w:t>
      </w:r>
      <w:r w:rsidR="00C03588">
        <w:rPr>
          <w:rFonts w:ascii="Calibri" w:eastAsia="Times New Roman" w:hAnsi="Calibri" w:cs="Times New Roman"/>
          <w:color w:val="auto"/>
          <w:sz w:val="22"/>
          <w:szCs w:val="22"/>
        </w:rPr>
        <w:t>te d’Ivoire</w:t>
      </w:r>
      <w:r w:rsidRPr="002E1A3F">
        <w:rPr>
          <w:rFonts w:ascii="Calibri" w:eastAsia="Times New Roman" w:hAnsi="Calibri" w:cs="Times New Roman"/>
          <w:color w:val="auto"/>
          <w:sz w:val="22"/>
          <w:szCs w:val="22"/>
        </w:rPr>
        <w:t xml:space="preserve">, and </w:t>
      </w:r>
      <w:r w:rsidR="007437A4">
        <w:rPr>
          <w:rFonts w:ascii="Calibri" w:eastAsia="Times New Roman" w:hAnsi="Calibri" w:cs="Times New Roman"/>
          <w:color w:val="auto"/>
          <w:sz w:val="22"/>
          <w:szCs w:val="22"/>
        </w:rPr>
        <w:t>0.14</w:t>
      </w:r>
      <w:r w:rsidRPr="002E1A3F">
        <w:rPr>
          <w:rFonts w:ascii="Calibri" w:eastAsia="Times New Roman" w:hAnsi="Calibri" w:cs="Times New Roman"/>
          <w:color w:val="auto"/>
          <w:sz w:val="22"/>
          <w:szCs w:val="22"/>
        </w:rPr>
        <w:t xml:space="preserve"> to </w:t>
      </w:r>
      <w:r w:rsidR="007437A4">
        <w:rPr>
          <w:rFonts w:ascii="Calibri" w:eastAsia="Times New Roman" w:hAnsi="Calibri" w:cs="Times New Roman"/>
          <w:color w:val="auto"/>
          <w:sz w:val="22"/>
          <w:szCs w:val="22"/>
        </w:rPr>
        <w:t>0</w:t>
      </w:r>
      <w:r w:rsidRPr="002E1A3F">
        <w:rPr>
          <w:rFonts w:ascii="Calibri" w:eastAsia="Times New Roman" w:hAnsi="Calibri" w:cs="Times New Roman"/>
          <w:color w:val="auto"/>
          <w:sz w:val="22"/>
          <w:szCs w:val="22"/>
        </w:rPr>
        <w:t>.</w:t>
      </w:r>
      <w:r w:rsidR="007437A4">
        <w:rPr>
          <w:rFonts w:ascii="Calibri" w:eastAsia="Times New Roman" w:hAnsi="Calibri" w:cs="Times New Roman"/>
          <w:color w:val="auto"/>
          <w:sz w:val="22"/>
          <w:szCs w:val="22"/>
        </w:rPr>
        <w:t>21</w:t>
      </w:r>
      <w:r w:rsidRPr="002E1A3F">
        <w:rPr>
          <w:rFonts w:ascii="Calibri" w:eastAsia="Times New Roman" w:hAnsi="Calibri" w:cs="Times New Roman"/>
          <w:color w:val="auto"/>
          <w:sz w:val="22"/>
          <w:szCs w:val="22"/>
        </w:rPr>
        <w:t xml:space="preserve"> percent in Ghana (see Table A7.8).  </w:t>
      </w:r>
    </w:p>
    <w:p w14:paraId="2D907C52" w14:textId="77777777" w:rsidR="002E1A3F" w:rsidRPr="002E1A3F" w:rsidRDefault="00B00100">
      <w:pPr>
        <w:spacing w:after="120"/>
        <w:ind w:left="180" w:right="270"/>
        <w:jc w:val="center"/>
        <w:rPr>
          <w:rFonts w:ascii="Calibri" w:eastAsia="Times New Roman" w:hAnsi="Calibri" w:cs="Calibri"/>
          <w:b/>
          <w:sz w:val="22"/>
          <w:szCs w:val="22"/>
        </w:rPr>
      </w:pPr>
      <w:r w:rsidRPr="002E1A3F">
        <w:rPr>
          <w:rFonts w:ascii="Calibri" w:eastAsia="Times New Roman" w:hAnsi="Calibri" w:cs="Calibri"/>
          <w:b/>
          <w:sz w:val="22"/>
          <w:szCs w:val="22"/>
        </w:rPr>
        <w:t xml:space="preserve">Table A7.8: </w:t>
      </w:r>
      <w:r w:rsidRPr="002E1A3F">
        <w:rPr>
          <w:rFonts w:ascii="Calibri" w:eastAsia="Times New Roman" w:hAnsi="Calibri" w:cs="Calibri"/>
          <w:b/>
          <w:i/>
          <w:sz w:val="22"/>
          <w:szCs w:val="22"/>
        </w:rPr>
        <w:t xml:space="preserve">Key </w:t>
      </w:r>
      <w:r w:rsidR="00014B08">
        <w:rPr>
          <w:rFonts w:ascii="Calibri" w:eastAsia="Times New Roman" w:hAnsi="Calibri" w:cs="Calibri"/>
          <w:b/>
          <w:i/>
          <w:sz w:val="22"/>
          <w:szCs w:val="22"/>
        </w:rPr>
        <w:t>F</w:t>
      </w:r>
      <w:r w:rsidRPr="002E1A3F">
        <w:rPr>
          <w:rFonts w:ascii="Calibri" w:eastAsia="Times New Roman" w:hAnsi="Calibri" w:cs="Calibri"/>
          <w:b/>
          <w:i/>
          <w:sz w:val="22"/>
          <w:szCs w:val="22"/>
        </w:rPr>
        <w:t xml:space="preserve">inancial </w:t>
      </w:r>
      <w:r w:rsidR="00014B08">
        <w:rPr>
          <w:rFonts w:ascii="Calibri" w:eastAsia="Times New Roman" w:hAnsi="Calibri" w:cs="Calibri"/>
          <w:b/>
          <w:i/>
          <w:sz w:val="22"/>
          <w:szCs w:val="22"/>
        </w:rPr>
        <w:t>I</w:t>
      </w:r>
      <w:r w:rsidRPr="002E1A3F">
        <w:rPr>
          <w:rFonts w:ascii="Calibri" w:eastAsia="Times New Roman" w:hAnsi="Calibri" w:cs="Calibri"/>
          <w:b/>
          <w:i/>
          <w:sz w:val="22"/>
          <w:szCs w:val="22"/>
        </w:rPr>
        <w:t xml:space="preserve">ndicators for </w:t>
      </w:r>
      <w:r w:rsidR="00014B08">
        <w:rPr>
          <w:rFonts w:ascii="Calibri" w:eastAsia="Times New Roman" w:hAnsi="Calibri" w:cs="Calibri"/>
          <w:b/>
          <w:i/>
          <w:sz w:val="22"/>
          <w:szCs w:val="22"/>
        </w:rPr>
        <w:t>H</w:t>
      </w:r>
      <w:r w:rsidRPr="002E1A3F">
        <w:rPr>
          <w:rFonts w:ascii="Calibri" w:eastAsia="Times New Roman" w:hAnsi="Calibri" w:cs="Calibri"/>
          <w:b/>
          <w:i/>
          <w:sz w:val="22"/>
          <w:szCs w:val="22"/>
        </w:rPr>
        <w:t xml:space="preserve">igher </w:t>
      </w:r>
      <w:r w:rsidR="00014B08">
        <w:rPr>
          <w:rFonts w:ascii="Calibri" w:eastAsia="Times New Roman" w:hAnsi="Calibri" w:cs="Calibri"/>
          <w:b/>
          <w:i/>
          <w:sz w:val="22"/>
          <w:szCs w:val="22"/>
        </w:rPr>
        <w:t>E</w:t>
      </w:r>
      <w:r w:rsidRPr="002E1A3F">
        <w:rPr>
          <w:rFonts w:ascii="Calibri" w:eastAsia="Times New Roman" w:hAnsi="Calibri" w:cs="Calibri"/>
          <w:b/>
          <w:i/>
          <w:sz w:val="22"/>
          <w:szCs w:val="22"/>
        </w:rPr>
        <w:t>ducation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5"/>
        <w:gridCol w:w="990"/>
        <w:gridCol w:w="1080"/>
        <w:gridCol w:w="1080"/>
        <w:gridCol w:w="1170"/>
      </w:tblGrid>
      <w:tr w:rsidR="000C3959" w14:paraId="1C2D297F" w14:textId="77777777" w:rsidTr="009A4C56">
        <w:trPr>
          <w:trHeight w:val="216"/>
          <w:jc w:val="center"/>
        </w:trPr>
        <w:tc>
          <w:tcPr>
            <w:tcW w:w="3695" w:type="dxa"/>
            <w:hideMark/>
          </w:tcPr>
          <w:p w14:paraId="1AFE2344"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0C46A6">
              <w:rPr>
                <w:rFonts w:ascii="Calibri" w:eastAsia="Calibri" w:hAnsi="Calibri" w:cs="Times New Roman"/>
                <w:b/>
                <w:color w:val="auto"/>
                <w:sz w:val="18"/>
                <w:szCs w:val="18"/>
              </w:rPr>
              <w:t>Indicator (2013)</w:t>
            </w:r>
          </w:p>
        </w:tc>
        <w:tc>
          <w:tcPr>
            <w:tcW w:w="990" w:type="dxa"/>
            <w:hideMark/>
          </w:tcPr>
          <w:p w14:paraId="229BBA80"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0C46A6">
              <w:rPr>
                <w:rFonts w:ascii="Calibri" w:eastAsia="Calibri" w:hAnsi="Calibri" w:cs="Times New Roman"/>
                <w:b/>
                <w:color w:val="auto"/>
                <w:sz w:val="18"/>
                <w:szCs w:val="18"/>
              </w:rPr>
              <w:t>Benin</w:t>
            </w:r>
          </w:p>
        </w:tc>
        <w:tc>
          <w:tcPr>
            <w:tcW w:w="1080" w:type="dxa"/>
            <w:hideMark/>
          </w:tcPr>
          <w:p w14:paraId="4B4E8F53"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0C46A6">
              <w:rPr>
                <w:rFonts w:ascii="Calibri" w:eastAsia="Calibri" w:hAnsi="Calibri" w:cs="Times New Roman"/>
                <w:b/>
                <w:color w:val="auto"/>
                <w:sz w:val="18"/>
                <w:szCs w:val="18"/>
              </w:rPr>
              <w:t>Burkina Faso</w:t>
            </w:r>
          </w:p>
        </w:tc>
        <w:tc>
          <w:tcPr>
            <w:tcW w:w="1080" w:type="dxa"/>
            <w:hideMark/>
          </w:tcPr>
          <w:p w14:paraId="1FDD404A"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0C46A6">
              <w:rPr>
                <w:rFonts w:ascii="Calibri" w:eastAsia="Calibri" w:hAnsi="Calibri" w:cs="Times New Roman"/>
                <w:b/>
                <w:color w:val="auto"/>
                <w:sz w:val="18"/>
                <w:szCs w:val="18"/>
              </w:rPr>
              <w:t>Côte d'Ivoire</w:t>
            </w:r>
          </w:p>
        </w:tc>
        <w:tc>
          <w:tcPr>
            <w:tcW w:w="1170" w:type="dxa"/>
            <w:hideMark/>
          </w:tcPr>
          <w:p w14:paraId="05F82842"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0C46A6">
              <w:rPr>
                <w:rFonts w:ascii="Calibri" w:eastAsia="Calibri" w:hAnsi="Calibri" w:cs="Times New Roman"/>
                <w:b/>
                <w:color w:val="auto"/>
                <w:sz w:val="18"/>
                <w:szCs w:val="18"/>
              </w:rPr>
              <w:t>Ghana</w:t>
            </w:r>
          </w:p>
        </w:tc>
      </w:tr>
      <w:tr w:rsidR="000C3959" w14:paraId="49E9EF45" w14:textId="77777777" w:rsidTr="009A4C56">
        <w:trPr>
          <w:trHeight w:val="144"/>
          <w:jc w:val="center"/>
        </w:trPr>
        <w:tc>
          <w:tcPr>
            <w:tcW w:w="3695" w:type="dxa"/>
            <w:hideMark/>
          </w:tcPr>
          <w:p w14:paraId="0B9DA57C" w14:textId="77777777" w:rsidR="002E1A3F" w:rsidRPr="000C46A6" w:rsidRDefault="00A90848" w:rsidP="008E2709">
            <w:pPr>
              <w:widowControl/>
              <w:autoSpaceDE/>
              <w:autoSpaceDN/>
              <w:adjustRightInd/>
              <w:rPr>
                <w:rFonts w:ascii="Calibri" w:eastAsia="Calibri" w:hAnsi="Calibri" w:cs="Calibri"/>
                <w:color w:val="auto"/>
                <w:sz w:val="18"/>
                <w:szCs w:val="18"/>
              </w:rPr>
            </w:pPr>
            <w:hyperlink r:id="rId59" w:tooltip="Click once to display linked information. Click and hold to select this cell." w:history="1">
              <w:r w:rsidR="00960F3E" w:rsidRPr="000C46A6">
                <w:rPr>
                  <w:rFonts w:ascii="Calibri" w:eastAsia="Calibri" w:hAnsi="Calibri" w:cs="Calibri"/>
                  <w:color w:val="auto"/>
                  <w:sz w:val="18"/>
                  <w:szCs w:val="18"/>
                </w:rPr>
                <w:t xml:space="preserve">Government expenditure on education as a percentage of GDP (%) </w:t>
              </w:r>
            </w:hyperlink>
          </w:p>
        </w:tc>
        <w:tc>
          <w:tcPr>
            <w:tcW w:w="990" w:type="dxa"/>
            <w:noWrap/>
            <w:vAlign w:val="center"/>
            <w:hideMark/>
          </w:tcPr>
          <w:p w14:paraId="39E2504D"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4.55</w:t>
            </w:r>
          </w:p>
        </w:tc>
        <w:tc>
          <w:tcPr>
            <w:tcW w:w="1080" w:type="dxa"/>
            <w:noWrap/>
            <w:vAlign w:val="center"/>
            <w:hideMark/>
          </w:tcPr>
          <w:p w14:paraId="3A2F740A"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4.59</w:t>
            </w:r>
          </w:p>
        </w:tc>
        <w:tc>
          <w:tcPr>
            <w:tcW w:w="1080" w:type="dxa"/>
            <w:noWrap/>
            <w:vAlign w:val="center"/>
            <w:hideMark/>
          </w:tcPr>
          <w:p w14:paraId="498363D9"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4.73</w:t>
            </w:r>
          </w:p>
        </w:tc>
        <w:tc>
          <w:tcPr>
            <w:tcW w:w="1170" w:type="dxa"/>
            <w:noWrap/>
            <w:vAlign w:val="center"/>
            <w:hideMark/>
          </w:tcPr>
          <w:p w14:paraId="509A48DC"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6.10</w:t>
            </w:r>
          </w:p>
        </w:tc>
      </w:tr>
      <w:tr w:rsidR="000C3959" w14:paraId="5590C6AA" w14:textId="77777777" w:rsidTr="009A4C56">
        <w:trPr>
          <w:trHeight w:val="308"/>
          <w:jc w:val="center"/>
        </w:trPr>
        <w:tc>
          <w:tcPr>
            <w:tcW w:w="3695" w:type="dxa"/>
            <w:hideMark/>
          </w:tcPr>
          <w:p w14:paraId="2E8D119E" w14:textId="77777777" w:rsidR="002E1A3F" w:rsidRPr="000C46A6" w:rsidRDefault="00A90848" w:rsidP="008E2709">
            <w:pPr>
              <w:widowControl/>
              <w:autoSpaceDE/>
              <w:autoSpaceDN/>
              <w:adjustRightInd/>
              <w:rPr>
                <w:rFonts w:ascii="Calibri" w:eastAsia="Calibri" w:hAnsi="Calibri" w:cs="Calibri"/>
                <w:color w:val="auto"/>
                <w:sz w:val="18"/>
                <w:szCs w:val="18"/>
              </w:rPr>
            </w:pPr>
            <w:hyperlink r:id="rId60" w:tooltip="Click once to display linked information. Click and hold to select this cell." w:history="1">
              <w:r w:rsidR="00960F3E" w:rsidRPr="000C46A6">
                <w:rPr>
                  <w:rFonts w:ascii="Calibri" w:eastAsia="Calibri" w:hAnsi="Calibri" w:cs="Calibri"/>
                  <w:color w:val="auto"/>
                  <w:sz w:val="18"/>
                  <w:szCs w:val="18"/>
                </w:rPr>
                <w:t xml:space="preserve">Government expenditure on tertiary education as a percentage of GDP </w:t>
              </w:r>
            </w:hyperlink>
            <w:r w:rsidR="00960F3E" w:rsidRPr="000C46A6">
              <w:rPr>
                <w:rFonts w:ascii="Calibri" w:eastAsia="Calibri" w:hAnsi="Calibri" w:cs="Calibri"/>
                <w:color w:val="auto"/>
                <w:sz w:val="18"/>
                <w:szCs w:val="18"/>
              </w:rPr>
              <w:t>(%)</w:t>
            </w:r>
          </w:p>
        </w:tc>
        <w:tc>
          <w:tcPr>
            <w:tcW w:w="990" w:type="dxa"/>
            <w:noWrap/>
            <w:vAlign w:val="center"/>
            <w:hideMark/>
          </w:tcPr>
          <w:p w14:paraId="74E9B549"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0.96</w:t>
            </w:r>
          </w:p>
        </w:tc>
        <w:tc>
          <w:tcPr>
            <w:tcW w:w="1080" w:type="dxa"/>
            <w:noWrap/>
            <w:vAlign w:val="center"/>
            <w:hideMark/>
          </w:tcPr>
          <w:p w14:paraId="44DC9805"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1.00</w:t>
            </w:r>
          </w:p>
        </w:tc>
        <w:tc>
          <w:tcPr>
            <w:tcW w:w="1080" w:type="dxa"/>
            <w:noWrap/>
            <w:vAlign w:val="center"/>
            <w:hideMark/>
          </w:tcPr>
          <w:p w14:paraId="5DC0E43C"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1.18</w:t>
            </w:r>
          </w:p>
        </w:tc>
        <w:tc>
          <w:tcPr>
            <w:tcW w:w="1170" w:type="dxa"/>
            <w:noWrap/>
            <w:vAlign w:val="center"/>
            <w:hideMark/>
          </w:tcPr>
          <w:p w14:paraId="4C00CBA1"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1.18</w:t>
            </w:r>
          </w:p>
        </w:tc>
      </w:tr>
      <w:tr w:rsidR="000C3959" w14:paraId="4727D0B9" w14:textId="77777777" w:rsidTr="009A4C56">
        <w:trPr>
          <w:trHeight w:val="40"/>
          <w:jc w:val="center"/>
        </w:trPr>
        <w:tc>
          <w:tcPr>
            <w:tcW w:w="3695" w:type="dxa"/>
            <w:hideMark/>
          </w:tcPr>
          <w:p w14:paraId="2E22462B" w14:textId="77777777" w:rsidR="002E1A3F" w:rsidRPr="000C46A6" w:rsidRDefault="00A90848" w:rsidP="008E2709">
            <w:pPr>
              <w:widowControl/>
              <w:autoSpaceDE/>
              <w:autoSpaceDN/>
              <w:adjustRightInd/>
              <w:rPr>
                <w:rFonts w:ascii="Calibri" w:eastAsia="Calibri" w:hAnsi="Calibri" w:cs="Calibri"/>
                <w:color w:val="auto"/>
                <w:sz w:val="18"/>
                <w:szCs w:val="18"/>
              </w:rPr>
            </w:pPr>
            <w:hyperlink r:id="rId61" w:tooltip="Click once to display linked information. Click and hold to select this cell." w:history="1">
              <w:r w:rsidR="00960F3E" w:rsidRPr="000C46A6">
                <w:rPr>
                  <w:rFonts w:ascii="Calibri" w:eastAsia="Calibri" w:hAnsi="Calibri" w:cs="Calibri"/>
                  <w:color w:val="auto"/>
                  <w:sz w:val="18"/>
                  <w:szCs w:val="18"/>
                </w:rPr>
                <w:t>Expenditure on tertiary as a percentage of total government expenditure</w:t>
              </w:r>
            </w:hyperlink>
            <w:r w:rsidR="00960F3E" w:rsidRPr="000C46A6">
              <w:rPr>
                <w:rFonts w:ascii="Calibri" w:eastAsia="Calibri" w:hAnsi="Calibri" w:cs="Calibri"/>
                <w:color w:val="auto"/>
                <w:sz w:val="18"/>
                <w:szCs w:val="18"/>
              </w:rPr>
              <w:t xml:space="preserve"> (%)</w:t>
            </w:r>
          </w:p>
        </w:tc>
        <w:tc>
          <w:tcPr>
            <w:tcW w:w="990" w:type="dxa"/>
            <w:noWrap/>
            <w:vAlign w:val="center"/>
            <w:hideMark/>
          </w:tcPr>
          <w:p w14:paraId="73EAB45D"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4.70</w:t>
            </w:r>
          </w:p>
        </w:tc>
        <w:tc>
          <w:tcPr>
            <w:tcW w:w="1080" w:type="dxa"/>
            <w:noWrap/>
            <w:vAlign w:val="center"/>
            <w:hideMark/>
          </w:tcPr>
          <w:p w14:paraId="0E163E56"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3.51</w:t>
            </w:r>
          </w:p>
        </w:tc>
        <w:tc>
          <w:tcPr>
            <w:tcW w:w="1080" w:type="dxa"/>
            <w:noWrap/>
            <w:vAlign w:val="center"/>
            <w:hideMark/>
          </w:tcPr>
          <w:p w14:paraId="0662281C"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5.37</w:t>
            </w:r>
          </w:p>
        </w:tc>
        <w:tc>
          <w:tcPr>
            <w:tcW w:w="1170" w:type="dxa"/>
            <w:noWrap/>
            <w:vAlign w:val="center"/>
            <w:hideMark/>
          </w:tcPr>
          <w:p w14:paraId="7EA97CDB"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4.12</w:t>
            </w:r>
          </w:p>
        </w:tc>
      </w:tr>
      <w:tr w:rsidR="000C3959" w14:paraId="2BCA1215" w14:textId="77777777" w:rsidTr="009A4C56">
        <w:trPr>
          <w:trHeight w:val="40"/>
          <w:jc w:val="center"/>
        </w:trPr>
        <w:tc>
          <w:tcPr>
            <w:tcW w:w="3695" w:type="dxa"/>
            <w:hideMark/>
          </w:tcPr>
          <w:p w14:paraId="5D7F2A16" w14:textId="77777777" w:rsidR="002E1A3F" w:rsidRPr="000C46A6" w:rsidRDefault="00A90848" w:rsidP="008E2709">
            <w:pPr>
              <w:widowControl/>
              <w:autoSpaceDE/>
              <w:autoSpaceDN/>
              <w:adjustRightInd/>
              <w:rPr>
                <w:rFonts w:ascii="Calibri" w:eastAsia="Calibri" w:hAnsi="Calibri" w:cs="Calibri"/>
                <w:color w:val="auto"/>
                <w:sz w:val="18"/>
                <w:szCs w:val="18"/>
              </w:rPr>
            </w:pPr>
            <w:hyperlink r:id="rId62" w:tooltip="Click once to display linked information. Click and hold to select this cell." w:history="1">
              <w:r w:rsidR="00960F3E" w:rsidRPr="000C46A6">
                <w:rPr>
                  <w:rFonts w:ascii="Calibri" w:eastAsia="Calibri" w:hAnsi="Calibri" w:cs="Calibri"/>
                  <w:color w:val="auto"/>
                  <w:sz w:val="18"/>
                  <w:szCs w:val="18"/>
                </w:rPr>
                <w:t>Expenditure on tertiary as a percentage of government expenditure on education (%)</w:t>
              </w:r>
            </w:hyperlink>
          </w:p>
        </w:tc>
        <w:tc>
          <w:tcPr>
            <w:tcW w:w="990" w:type="dxa"/>
            <w:noWrap/>
            <w:vAlign w:val="center"/>
            <w:hideMark/>
          </w:tcPr>
          <w:p w14:paraId="727E88DF"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21.04</w:t>
            </w:r>
          </w:p>
        </w:tc>
        <w:tc>
          <w:tcPr>
            <w:tcW w:w="1080" w:type="dxa"/>
            <w:noWrap/>
            <w:vAlign w:val="center"/>
            <w:hideMark/>
          </w:tcPr>
          <w:p w14:paraId="7B55CF04"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21.72</w:t>
            </w:r>
          </w:p>
        </w:tc>
        <w:tc>
          <w:tcPr>
            <w:tcW w:w="1080" w:type="dxa"/>
            <w:noWrap/>
            <w:vAlign w:val="center"/>
            <w:hideMark/>
          </w:tcPr>
          <w:p w14:paraId="25F3BDF9"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24.90</w:t>
            </w:r>
          </w:p>
        </w:tc>
        <w:tc>
          <w:tcPr>
            <w:tcW w:w="1170" w:type="dxa"/>
            <w:noWrap/>
            <w:vAlign w:val="center"/>
            <w:hideMark/>
          </w:tcPr>
          <w:p w14:paraId="12CBB421"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19.42</w:t>
            </w:r>
          </w:p>
        </w:tc>
      </w:tr>
      <w:tr w:rsidR="000C3959" w14:paraId="61D4F310" w14:textId="77777777" w:rsidTr="009A4C56">
        <w:trPr>
          <w:trHeight w:val="40"/>
          <w:jc w:val="center"/>
        </w:trPr>
        <w:tc>
          <w:tcPr>
            <w:tcW w:w="3695" w:type="dxa"/>
            <w:vAlign w:val="center"/>
            <w:hideMark/>
          </w:tcPr>
          <w:p w14:paraId="02247D09" w14:textId="77777777" w:rsidR="002E1A3F" w:rsidRPr="000C46A6" w:rsidRDefault="00B00100" w:rsidP="008E2709">
            <w:pPr>
              <w:widowControl/>
              <w:autoSpaceDE/>
              <w:autoSpaceDN/>
              <w:adjustRightInd/>
              <w:rPr>
                <w:rFonts w:ascii="Calibri" w:eastAsia="Calibri" w:hAnsi="Calibri" w:cs="Times New Roman"/>
                <w:color w:val="auto"/>
                <w:sz w:val="18"/>
                <w:szCs w:val="18"/>
              </w:rPr>
            </w:pPr>
            <w:r w:rsidRPr="000C46A6">
              <w:rPr>
                <w:rFonts w:ascii="Calibri" w:eastAsia="Calibri" w:hAnsi="Calibri" w:cs="Times New Roman"/>
                <w:color w:val="auto"/>
                <w:sz w:val="18"/>
                <w:szCs w:val="18"/>
              </w:rPr>
              <w:t>GDP (current US$ ‘000)</w:t>
            </w:r>
          </w:p>
        </w:tc>
        <w:tc>
          <w:tcPr>
            <w:tcW w:w="990" w:type="dxa"/>
            <w:noWrap/>
            <w:vAlign w:val="center"/>
            <w:hideMark/>
          </w:tcPr>
          <w:p w14:paraId="4CDD67BC"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9,156,748</w:t>
            </w:r>
          </w:p>
        </w:tc>
        <w:tc>
          <w:tcPr>
            <w:tcW w:w="1080" w:type="dxa"/>
            <w:noWrap/>
            <w:vAlign w:val="center"/>
            <w:hideMark/>
          </w:tcPr>
          <w:p w14:paraId="64E16A3E"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11,947,176</w:t>
            </w:r>
          </w:p>
        </w:tc>
        <w:tc>
          <w:tcPr>
            <w:tcW w:w="1080" w:type="dxa"/>
            <w:noWrap/>
            <w:vAlign w:val="center"/>
            <w:hideMark/>
          </w:tcPr>
          <w:p w14:paraId="36B5C04A"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31,273,049</w:t>
            </w:r>
          </w:p>
        </w:tc>
        <w:tc>
          <w:tcPr>
            <w:tcW w:w="1170" w:type="dxa"/>
            <w:noWrap/>
            <w:vAlign w:val="center"/>
            <w:hideMark/>
          </w:tcPr>
          <w:p w14:paraId="759EA2B5"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47,805,069</w:t>
            </w:r>
          </w:p>
        </w:tc>
      </w:tr>
      <w:tr w:rsidR="000C3959" w14:paraId="69F0B5DE" w14:textId="77777777" w:rsidTr="009A4C56">
        <w:trPr>
          <w:trHeight w:val="345"/>
          <w:jc w:val="center"/>
        </w:trPr>
        <w:tc>
          <w:tcPr>
            <w:tcW w:w="3695" w:type="dxa"/>
            <w:hideMark/>
          </w:tcPr>
          <w:p w14:paraId="417D89A6" w14:textId="77777777" w:rsidR="002E1A3F" w:rsidRPr="000C46A6" w:rsidRDefault="00B00100" w:rsidP="008E2709">
            <w:pPr>
              <w:widowControl/>
              <w:autoSpaceDE/>
              <w:autoSpaceDN/>
              <w:adjustRightInd/>
              <w:rPr>
                <w:rFonts w:ascii="Calibri" w:eastAsia="Calibri" w:hAnsi="Calibri" w:cs="Times New Roman"/>
                <w:color w:val="auto"/>
                <w:sz w:val="18"/>
                <w:szCs w:val="18"/>
              </w:rPr>
            </w:pPr>
            <w:r w:rsidRPr="000C46A6">
              <w:rPr>
                <w:rFonts w:ascii="Calibri" w:eastAsia="Calibri" w:hAnsi="Calibri" w:cs="Times New Roman"/>
                <w:color w:val="auto"/>
                <w:sz w:val="18"/>
                <w:szCs w:val="18"/>
              </w:rPr>
              <w:t>Total expenditure on tertiary education (current US$ ‘000)</w:t>
            </w:r>
          </w:p>
        </w:tc>
        <w:tc>
          <w:tcPr>
            <w:tcW w:w="990" w:type="dxa"/>
            <w:noWrap/>
            <w:vAlign w:val="center"/>
            <w:hideMark/>
          </w:tcPr>
          <w:p w14:paraId="0816812C"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87,596</w:t>
            </w:r>
          </w:p>
        </w:tc>
        <w:tc>
          <w:tcPr>
            <w:tcW w:w="1080" w:type="dxa"/>
            <w:noWrap/>
            <w:vAlign w:val="center"/>
            <w:hideMark/>
          </w:tcPr>
          <w:p w14:paraId="62661C9F"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119,198</w:t>
            </w:r>
          </w:p>
        </w:tc>
        <w:tc>
          <w:tcPr>
            <w:tcW w:w="1080" w:type="dxa"/>
            <w:noWrap/>
            <w:vAlign w:val="center"/>
            <w:hideMark/>
          </w:tcPr>
          <w:p w14:paraId="0264DCFA"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368,199</w:t>
            </w:r>
          </w:p>
        </w:tc>
        <w:tc>
          <w:tcPr>
            <w:tcW w:w="1170" w:type="dxa"/>
            <w:noWrap/>
            <w:vAlign w:val="center"/>
            <w:hideMark/>
          </w:tcPr>
          <w:p w14:paraId="727E14CB" w14:textId="77777777" w:rsidR="002E1A3F" w:rsidRPr="000C46A6" w:rsidRDefault="00B00100" w:rsidP="008E2709">
            <w:pPr>
              <w:widowControl/>
              <w:autoSpaceDE/>
              <w:autoSpaceDN/>
              <w:adjustRightInd/>
              <w:jc w:val="center"/>
              <w:rPr>
                <w:rFonts w:ascii="Calibri" w:eastAsia="Calibri" w:hAnsi="Calibri" w:cs="Times New Roman"/>
                <w:color w:val="auto"/>
                <w:sz w:val="18"/>
                <w:szCs w:val="18"/>
              </w:rPr>
            </w:pPr>
            <w:r w:rsidRPr="000C46A6">
              <w:rPr>
                <w:rFonts w:ascii="Calibri" w:eastAsia="Calibri" w:hAnsi="Calibri" w:cs="Times New Roman"/>
                <w:color w:val="auto"/>
                <w:sz w:val="18"/>
                <w:szCs w:val="18"/>
              </w:rPr>
              <w:t>566,136</w:t>
            </w:r>
          </w:p>
        </w:tc>
      </w:tr>
      <w:tr w:rsidR="000C3959" w14:paraId="36F8725D" w14:textId="77777777" w:rsidTr="003F4B5C">
        <w:trPr>
          <w:trHeight w:val="216"/>
          <w:jc w:val="center"/>
        </w:trPr>
        <w:tc>
          <w:tcPr>
            <w:tcW w:w="3695" w:type="dxa"/>
            <w:hideMark/>
          </w:tcPr>
          <w:p w14:paraId="527DFBCF" w14:textId="77777777" w:rsidR="002E1A3F" w:rsidRPr="000C46A6" w:rsidRDefault="00B00100" w:rsidP="008E2709">
            <w:pPr>
              <w:widowControl/>
              <w:autoSpaceDE/>
              <w:autoSpaceDN/>
              <w:adjustRightInd/>
              <w:rPr>
                <w:rFonts w:ascii="Calibri" w:eastAsia="Calibri" w:hAnsi="Calibri" w:cs="Times New Roman"/>
                <w:color w:val="auto"/>
                <w:sz w:val="18"/>
                <w:szCs w:val="18"/>
              </w:rPr>
            </w:pPr>
            <w:r w:rsidRPr="000C46A6">
              <w:rPr>
                <w:rFonts w:ascii="Calibri" w:eastAsia="Calibri" w:hAnsi="Calibri" w:cs="Times New Roman"/>
                <w:b/>
                <w:color w:val="auto"/>
                <w:sz w:val="18"/>
                <w:szCs w:val="18"/>
              </w:rPr>
              <w:t>Percentage of ACE Impact center’s cost (US$</w:t>
            </w:r>
            <w:r w:rsidR="00CB2E95">
              <w:rPr>
                <w:rFonts w:ascii="Calibri" w:eastAsia="Calibri" w:hAnsi="Calibri" w:cs="Times New Roman"/>
                <w:b/>
                <w:color w:val="auto"/>
                <w:sz w:val="18"/>
                <w:szCs w:val="18"/>
              </w:rPr>
              <w:t>0.8</w:t>
            </w:r>
            <w:r w:rsidRPr="000C46A6">
              <w:rPr>
                <w:rFonts w:ascii="Calibri" w:eastAsia="Calibri" w:hAnsi="Calibri" w:cs="Times New Roman"/>
                <w:b/>
                <w:color w:val="auto"/>
                <w:sz w:val="18"/>
                <w:szCs w:val="18"/>
              </w:rPr>
              <w:t xml:space="preserve"> million) as share of public expenditure on higher education</w:t>
            </w:r>
          </w:p>
        </w:tc>
        <w:tc>
          <w:tcPr>
            <w:tcW w:w="990" w:type="dxa"/>
            <w:noWrap/>
            <w:vAlign w:val="center"/>
            <w:hideMark/>
          </w:tcPr>
          <w:p w14:paraId="46321F32"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0.91</w:t>
            </w:r>
            <w:r w:rsidR="00D1502D" w:rsidRPr="008E2709">
              <w:rPr>
                <w:rFonts w:ascii="Calibri" w:eastAsia="Calibri" w:hAnsi="Calibri" w:cs="Times New Roman"/>
                <w:b/>
                <w:color w:val="auto"/>
                <w:sz w:val="18"/>
                <w:szCs w:val="18"/>
              </w:rPr>
              <w:t>%</w:t>
            </w:r>
          </w:p>
        </w:tc>
        <w:tc>
          <w:tcPr>
            <w:tcW w:w="1080" w:type="dxa"/>
            <w:noWrap/>
            <w:vAlign w:val="center"/>
            <w:hideMark/>
          </w:tcPr>
          <w:p w14:paraId="0BE3A9B1"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0.67</w:t>
            </w:r>
            <w:r w:rsidR="00D1502D" w:rsidRPr="008E2709">
              <w:rPr>
                <w:rFonts w:ascii="Calibri" w:eastAsia="Calibri" w:hAnsi="Calibri" w:cs="Times New Roman"/>
                <w:b/>
                <w:color w:val="auto"/>
                <w:sz w:val="18"/>
                <w:szCs w:val="18"/>
              </w:rPr>
              <w:t>%</w:t>
            </w:r>
          </w:p>
        </w:tc>
        <w:tc>
          <w:tcPr>
            <w:tcW w:w="1080" w:type="dxa"/>
            <w:noWrap/>
            <w:vAlign w:val="center"/>
          </w:tcPr>
          <w:p w14:paraId="37F1ADB0"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w:t>
            </w:r>
            <w:r w:rsidR="00D638ED" w:rsidRPr="008E2709">
              <w:rPr>
                <w:rFonts w:ascii="Calibri" w:eastAsia="Calibri" w:hAnsi="Calibri" w:cs="Times New Roman"/>
                <w:b/>
                <w:color w:val="auto"/>
                <w:sz w:val="18"/>
                <w:szCs w:val="18"/>
              </w:rPr>
              <w:t>22</w:t>
            </w:r>
            <w:r w:rsidR="00D1502D" w:rsidRPr="008E2709">
              <w:rPr>
                <w:rFonts w:ascii="Calibri" w:eastAsia="Calibri" w:hAnsi="Calibri" w:cs="Times New Roman"/>
                <w:b/>
                <w:color w:val="auto"/>
                <w:sz w:val="18"/>
                <w:szCs w:val="18"/>
              </w:rPr>
              <w:t>%</w:t>
            </w:r>
          </w:p>
        </w:tc>
        <w:tc>
          <w:tcPr>
            <w:tcW w:w="1170" w:type="dxa"/>
            <w:noWrap/>
            <w:vAlign w:val="center"/>
          </w:tcPr>
          <w:p w14:paraId="4DA1103A"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0.14</w:t>
            </w:r>
            <w:r w:rsidR="00D1502D" w:rsidRPr="008E2709">
              <w:rPr>
                <w:rFonts w:ascii="Calibri" w:eastAsia="Calibri" w:hAnsi="Calibri" w:cs="Times New Roman"/>
                <w:b/>
                <w:color w:val="auto"/>
                <w:sz w:val="18"/>
                <w:szCs w:val="18"/>
              </w:rPr>
              <w:t>%</w:t>
            </w:r>
          </w:p>
        </w:tc>
      </w:tr>
      <w:tr w:rsidR="000C3959" w14:paraId="3DF5C9C0" w14:textId="77777777" w:rsidTr="003F4B5C">
        <w:trPr>
          <w:trHeight w:val="216"/>
          <w:jc w:val="center"/>
        </w:trPr>
        <w:tc>
          <w:tcPr>
            <w:tcW w:w="3695" w:type="dxa"/>
            <w:hideMark/>
          </w:tcPr>
          <w:p w14:paraId="744825D6" w14:textId="77777777" w:rsidR="002E1A3F" w:rsidRPr="000C46A6" w:rsidRDefault="00B00100" w:rsidP="008E2709">
            <w:pPr>
              <w:widowControl/>
              <w:autoSpaceDE/>
              <w:autoSpaceDN/>
              <w:adjustRightInd/>
              <w:rPr>
                <w:rFonts w:ascii="Calibri" w:eastAsia="Calibri" w:hAnsi="Calibri" w:cs="Times New Roman"/>
                <w:color w:val="auto"/>
                <w:sz w:val="18"/>
                <w:szCs w:val="18"/>
              </w:rPr>
            </w:pPr>
            <w:r w:rsidRPr="000C46A6">
              <w:rPr>
                <w:rFonts w:ascii="Calibri" w:eastAsia="Calibri" w:hAnsi="Calibri" w:cs="Times New Roman"/>
                <w:b/>
                <w:color w:val="auto"/>
                <w:sz w:val="18"/>
                <w:szCs w:val="18"/>
              </w:rPr>
              <w:t>Percentage of ACE Impact center’s cost (US$</w:t>
            </w:r>
            <w:r w:rsidR="00CB2E95">
              <w:rPr>
                <w:rFonts w:ascii="Calibri" w:eastAsia="Calibri" w:hAnsi="Calibri" w:cs="Times New Roman"/>
                <w:b/>
                <w:color w:val="auto"/>
                <w:sz w:val="18"/>
                <w:szCs w:val="18"/>
              </w:rPr>
              <w:t>1.2</w:t>
            </w:r>
            <w:r w:rsidRPr="000C46A6">
              <w:rPr>
                <w:rFonts w:ascii="Calibri" w:eastAsia="Calibri" w:hAnsi="Calibri" w:cs="Times New Roman"/>
                <w:b/>
                <w:color w:val="auto"/>
                <w:sz w:val="18"/>
                <w:szCs w:val="18"/>
              </w:rPr>
              <w:t xml:space="preserve"> million) as share of public expenditure on higher education</w:t>
            </w:r>
          </w:p>
        </w:tc>
        <w:tc>
          <w:tcPr>
            <w:tcW w:w="990" w:type="dxa"/>
            <w:noWrap/>
            <w:vAlign w:val="center"/>
            <w:hideMark/>
          </w:tcPr>
          <w:p w14:paraId="0EE06A99"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1.37</w:t>
            </w:r>
            <w:r w:rsidR="00D1502D" w:rsidRPr="008E2709">
              <w:rPr>
                <w:rFonts w:ascii="Calibri" w:eastAsia="Calibri" w:hAnsi="Calibri" w:cs="Times New Roman"/>
                <w:b/>
                <w:color w:val="auto"/>
                <w:sz w:val="18"/>
                <w:szCs w:val="18"/>
              </w:rPr>
              <w:t>%</w:t>
            </w:r>
          </w:p>
        </w:tc>
        <w:tc>
          <w:tcPr>
            <w:tcW w:w="1080" w:type="dxa"/>
            <w:noWrap/>
            <w:vAlign w:val="center"/>
            <w:hideMark/>
          </w:tcPr>
          <w:p w14:paraId="526619C4"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1.01</w:t>
            </w:r>
            <w:r w:rsidR="00D1502D" w:rsidRPr="008E2709">
              <w:rPr>
                <w:rFonts w:ascii="Calibri" w:eastAsia="Calibri" w:hAnsi="Calibri" w:cs="Times New Roman"/>
                <w:b/>
                <w:color w:val="auto"/>
                <w:sz w:val="18"/>
                <w:szCs w:val="18"/>
              </w:rPr>
              <w:t>%</w:t>
            </w:r>
          </w:p>
        </w:tc>
        <w:tc>
          <w:tcPr>
            <w:tcW w:w="1080" w:type="dxa"/>
            <w:noWrap/>
            <w:vAlign w:val="center"/>
          </w:tcPr>
          <w:p w14:paraId="31F75829"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0.33</w:t>
            </w:r>
            <w:r w:rsidR="00D1502D" w:rsidRPr="008E2709">
              <w:rPr>
                <w:rFonts w:ascii="Calibri" w:eastAsia="Calibri" w:hAnsi="Calibri" w:cs="Times New Roman"/>
                <w:b/>
                <w:color w:val="auto"/>
                <w:sz w:val="18"/>
                <w:szCs w:val="18"/>
              </w:rPr>
              <w:t>%</w:t>
            </w:r>
          </w:p>
        </w:tc>
        <w:tc>
          <w:tcPr>
            <w:tcW w:w="1170" w:type="dxa"/>
            <w:noWrap/>
            <w:vAlign w:val="center"/>
          </w:tcPr>
          <w:p w14:paraId="78FDDC35" w14:textId="77777777" w:rsidR="002E1A3F" w:rsidRPr="000C46A6" w:rsidRDefault="00B00100" w:rsidP="008E2709">
            <w:pPr>
              <w:widowControl/>
              <w:autoSpaceDE/>
              <w:autoSpaceDN/>
              <w:adjustRightInd/>
              <w:jc w:val="center"/>
              <w:rPr>
                <w:rFonts w:ascii="Calibri" w:eastAsia="Calibri" w:hAnsi="Calibri" w:cs="Times New Roman"/>
                <w:b/>
                <w:color w:val="auto"/>
                <w:sz w:val="18"/>
                <w:szCs w:val="18"/>
              </w:rPr>
            </w:pPr>
            <w:r w:rsidRPr="008E2709">
              <w:rPr>
                <w:rFonts w:ascii="Calibri" w:eastAsia="Calibri" w:hAnsi="Calibri" w:cs="Times New Roman"/>
                <w:b/>
                <w:color w:val="auto"/>
                <w:sz w:val="18"/>
                <w:szCs w:val="18"/>
              </w:rPr>
              <w:t>0.21</w:t>
            </w:r>
            <w:r w:rsidR="00D1502D" w:rsidRPr="008E2709">
              <w:rPr>
                <w:rFonts w:ascii="Calibri" w:eastAsia="Calibri" w:hAnsi="Calibri" w:cs="Times New Roman"/>
                <w:b/>
                <w:color w:val="auto"/>
                <w:sz w:val="18"/>
                <w:szCs w:val="18"/>
              </w:rPr>
              <w:t>%</w:t>
            </w:r>
          </w:p>
        </w:tc>
      </w:tr>
    </w:tbl>
    <w:p w14:paraId="1949A531" w14:textId="77777777" w:rsidR="00ED4B60" w:rsidRDefault="00B00100" w:rsidP="00FC1A97">
      <w:pPr>
        <w:jc w:val="center"/>
        <w:rPr>
          <w:rFonts w:ascii="Calibri" w:eastAsia="Times New Roman" w:hAnsi="Calibri" w:cs="Times New Roman"/>
          <w:i/>
          <w:color w:val="auto"/>
          <w:sz w:val="18"/>
          <w:szCs w:val="22"/>
        </w:rPr>
      </w:pPr>
      <w:r w:rsidRPr="000C46A6">
        <w:rPr>
          <w:rFonts w:ascii="Calibri" w:eastAsia="Times New Roman" w:hAnsi="Calibri" w:cs="Times New Roman"/>
          <w:i/>
          <w:color w:val="auto"/>
          <w:sz w:val="18"/>
          <w:szCs w:val="22"/>
        </w:rPr>
        <w:t>Source: UNESCO UIS, http://stats.uis.unesco.org retrieved on March 8, 2018</w:t>
      </w:r>
    </w:p>
    <w:p w14:paraId="3953057E" w14:textId="77777777" w:rsidR="008F43C2" w:rsidRDefault="008F43C2">
      <w:pPr>
        <w:jc w:val="center"/>
        <w:rPr>
          <w:rFonts w:eastAsia="Times New Roman"/>
        </w:rPr>
      </w:pPr>
    </w:p>
    <w:p w14:paraId="4106918F" w14:textId="77777777" w:rsidR="008F43C2" w:rsidRDefault="008F43C2" w:rsidP="008E2709">
      <w:pPr>
        <w:keepNext/>
        <w:keepLines/>
        <w:widowControl/>
        <w:autoSpaceDE/>
        <w:autoSpaceDN/>
        <w:adjustRightInd/>
        <w:spacing w:before="40"/>
        <w:jc w:val="center"/>
        <w:outlineLvl w:val="3"/>
        <w:rPr>
          <w:rFonts w:ascii="Calibri" w:eastAsia="Times New Roman" w:hAnsi="Calibri" w:cs="Times New Roman"/>
          <w:b/>
          <w:iCs/>
          <w:color w:val="auto"/>
          <w:sz w:val="22"/>
          <w:szCs w:val="22"/>
        </w:rPr>
        <w:sectPr w:rsidR="008F43C2" w:rsidSect="00E65496">
          <w:headerReference w:type="even" r:id="rId63"/>
          <w:headerReference w:type="default" r:id="rId64"/>
          <w:footerReference w:type="default" r:id="rId65"/>
          <w:headerReference w:type="first" r:id="rId66"/>
          <w:pgSz w:w="12240" w:h="15840"/>
          <w:pgMar w:top="1440" w:right="720" w:bottom="1440" w:left="1440" w:header="720" w:footer="720" w:gutter="0"/>
          <w:cols w:space="720"/>
          <w:docGrid w:linePitch="360"/>
        </w:sectPr>
      </w:pPr>
      <w:bookmarkStart w:id="484" w:name="_Toc256000133"/>
      <w:bookmarkStart w:id="485" w:name="_Toc256000103"/>
      <w:bookmarkStart w:id="486" w:name="_Toc256000071"/>
      <w:bookmarkStart w:id="487" w:name="_Toc256000040"/>
      <w:bookmarkStart w:id="488" w:name="_Toc22655935"/>
      <w:bookmarkStart w:id="489" w:name="_Toc23779861"/>
      <w:bookmarkStart w:id="490" w:name="_Toc13811161"/>
    </w:p>
    <w:tbl>
      <w:tblPr>
        <w:tblW w:w="10962" w:type="dxa"/>
        <w:tblInd w:w="-882" w:type="dxa"/>
        <w:shd w:val="clear" w:color="auto" w:fill="F2F7FC"/>
        <w:tblLayout w:type="fixed"/>
        <w:tblLook w:val="04A0" w:firstRow="1" w:lastRow="0" w:firstColumn="1" w:lastColumn="0" w:noHBand="0" w:noVBand="1"/>
      </w:tblPr>
      <w:tblGrid>
        <w:gridCol w:w="10962"/>
      </w:tblGrid>
      <w:tr w:rsidR="000C3959" w14:paraId="221329EE" w14:textId="77777777" w:rsidTr="000C7C3D">
        <w:trPr>
          <w:trHeight w:val="432"/>
        </w:trPr>
        <w:tc>
          <w:tcPr>
            <w:tcW w:w="10962" w:type="dxa"/>
            <w:shd w:val="clear" w:color="auto" w:fill="F2F7FC"/>
            <w:vAlign w:val="center"/>
          </w:tcPr>
          <w:p w14:paraId="340AEC2C" w14:textId="77777777" w:rsidR="00837AE1" w:rsidRPr="002E1A3F" w:rsidRDefault="00B00100">
            <w:pPr>
              <w:keepNext/>
              <w:keepLines/>
              <w:widowControl/>
              <w:autoSpaceDE/>
              <w:autoSpaceDN/>
              <w:adjustRightInd/>
              <w:spacing w:before="40"/>
              <w:jc w:val="center"/>
              <w:outlineLvl w:val="3"/>
              <w:rPr>
                <w:rFonts w:ascii="Calibri" w:eastAsia="Times New Roman" w:hAnsi="Calibri" w:cs="Times New Roman"/>
                <w:b/>
                <w:iCs/>
                <w:color w:val="auto"/>
                <w:sz w:val="22"/>
                <w:szCs w:val="22"/>
              </w:rPr>
            </w:pPr>
            <w:bookmarkStart w:id="491" w:name="_Toc256000162"/>
            <w:bookmarkStart w:id="492" w:name="_Toc23866077"/>
            <w:bookmarkStart w:id="493" w:name="_Toc23930688"/>
            <w:r w:rsidRPr="002E1A3F">
              <w:rPr>
                <w:rFonts w:ascii="Calibri" w:eastAsia="Times New Roman" w:hAnsi="Calibri" w:cs="Times New Roman"/>
                <w:b/>
                <w:iCs/>
                <w:color w:val="auto"/>
                <w:sz w:val="22"/>
                <w:szCs w:val="22"/>
              </w:rPr>
              <w:lastRenderedPageBreak/>
              <w:t xml:space="preserve">ANNEX </w:t>
            </w:r>
            <w:r>
              <w:rPr>
                <w:rFonts w:ascii="Calibri" w:eastAsia="Times New Roman" w:hAnsi="Calibri" w:cs="Times New Roman"/>
                <w:b/>
                <w:iCs/>
                <w:color w:val="auto"/>
                <w:sz w:val="22"/>
                <w:szCs w:val="22"/>
              </w:rPr>
              <w:t>8</w:t>
            </w:r>
            <w:r w:rsidRPr="002E1A3F">
              <w:rPr>
                <w:rFonts w:ascii="Calibri" w:eastAsia="Times New Roman" w:hAnsi="Calibri" w:cs="Times New Roman"/>
                <w:b/>
                <w:iCs/>
                <w:color w:val="auto"/>
                <w:sz w:val="22"/>
                <w:szCs w:val="22"/>
              </w:rPr>
              <w:t>:</w:t>
            </w:r>
            <w:r>
              <w:rPr>
                <w:rFonts w:ascii="Calibri" w:eastAsia="Times New Roman" w:hAnsi="Calibri" w:cs="Times New Roman"/>
                <w:b/>
                <w:iCs/>
                <w:color w:val="auto"/>
                <w:sz w:val="22"/>
                <w:szCs w:val="22"/>
              </w:rPr>
              <w:t xml:space="preserve"> Partnership Arrangement with AFD</w:t>
            </w:r>
            <w:bookmarkEnd w:id="484"/>
            <w:bookmarkEnd w:id="485"/>
            <w:bookmarkEnd w:id="486"/>
            <w:bookmarkEnd w:id="487"/>
            <w:bookmarkEnd w:id="488"/>
            <w:bookmarkEnd w:id="489"/>
            <w:bookmarkEnd w:id="491"/>
            <w:bookmarkEnd w:id="492"/>
            <w:bookmarkEnd w:id="493"/>
            <w:r>
              <w:rPr>
                <w:rFonts w:ascii="Calibri" w:eastAsia="Times New Roman" w:hAnsi="Calibri" w:cs="Times New Roman"/>
                <w:b/>
                <w:iCs/>
                <w:color w:val="auto"/>
                <w:sz w:val="22"/>
                <w:szCs w:val="22"/>
              </w:rPr>
              <w:t xml:space="preserve"> </w:t>
            </w:r>
            <w:bookmarkEnd w:id="490"/>
          </w:p>
        </w:tc>
      </w:tr>
    </w:tbl>
    <w:p w14:paraId="543C500C" w14:textId="77777777" w:rsidR="00837AE1" w:rsidRPr="002E1A3F" w:rsidRDefault="00837AE1">
      <w:pPr>
        <w:ind w:left="-540"/>
        <w:rPr>
          <w:rFonts w:ascii="Calibri" w:eastAsia="Times New Roman" w:hAnsi="Calibri"/>
          <w:b/>
          <w:bCs/>
          <w:color w:val="7F7F7F"/>
          <w:sz w:val="22"/>
          <w:szCs w:val="22"/>
        </w:rPr>
      </w:pPr>
    </w:p>
    <w:p w14:paraId="28D7CC3B" w14:textId="77777777" w:rsidR="00837AE1" w:rsidRPr="00F02286"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color w:val="auto"/>
          <w:sz w:val="22"/>
          <w:szCs w:val="22"/>
          <w:lang w:eastAsia="ko-KR"/>
        </w:rPr>
      </w:pPr>
      <w:r>
        <w:rPr>
          <w:rFonts w:ascii="Calibri" w:eastAsia="Times New Roman" w:hAnsi="Calibri" w:cs="Calibri"/>
          <w:b/>
          <w:bCs/>
          <w:spacing w:val="-1"/>
          <w:sz w:val="22"/>
          <w:szCs w:val="22"/>
        </w:rPr>
        <w:t xml:space="preserve">In both Nigeria and Benin, the Second ACE Impact Project will be financed jointly by the World Bank and </w:t>
      </w:r>
      <w:r w:rsidRPr="002E1A3F">
        <w:rPr>
          <w:rFonts w:ascii="Calibri" w:eastAsia="Calibri" w:hAnsi="Calibri" w:cs="Calibri"/>
          <w:b/>
          <w:bCs/>
          <w:spacing w:val="-1"/>
          <w:sz w:val="22"/>
          <w:szCs w:val="22"/>
        </w:rPr>
        <w:t>AFD</w:t>
      </w:r>
      <w:r>
        <w:rPr>
          <w:rFonts w:ascii="Calibri" w:eastAsia="Times New Roman" w:hAnsi="Calibri" w:cs="Calibri"/>
          <w:b/>
          <w:bCs/>
          <w:spacing w:val="-1"/>
          <w:sz w:val="22"/>
          <w:szCs w:val="22"/>
        </w:rPr>
        <w:t>.</w:t>
      </w:r>
      <w:r>
        <w:rPr>
          <w:rFonts w:ascii="Calibri" w:eastAsia="Times New Roman" w:hAnsi="Calibri" w:cs="Calibri"/>
          <w:bCs/>
          <w:color w:val="2E74B5"/>
          <w:sz w:val="22"/>
          <w:szCs w:val="22"/>
        </w:rPr>
        <w:t xml:space="preserve"> </w:t>
      </w:r>
      <w:r w:rsidRPr="00C8296D">
        <w:rPr>
          <w:rFonts w:ascii="Calibri" w:eastAsia="Times New Roman" w:hAnsi="Calibri" w:cs="Calibri"/>
          <w:bCs/>
          <w:color w:val="auto"/>
          <w:sz w:val="22"/>
          <w:szCs w:val="22"/>
        </w:rPr>
        <w:t xml:space="preserve">Funds from AFD for </w:t>
      </w:r>
      <w:r w:rsidRPr="00B66B7C">
        <w:rPr>
          <w:rFonts w:ascii="Calibri" w:eastAsia="Times New Roman" w:hAnsi="Calibri" w:cs="Calibri"/>
          <w:bCs/>
          <w:color w:val="auto"/>
          <w:sz w:val="22"/>
          <w:szCs w:val="22"/>
        </w:rPr>
        <w:t xml:space="preserve">Nigeria (EUR </w:t>
      </w:r>
      <w:r>
        <w:rPr>
          <w:rFonts w:ascii="Calibri" w:eastAsia="Times New Roman" w:hAnsi="Calibri" w:cs="Calibri"/>
          <w:bCs/>
          <w:color w:val="auto"/>
          <w:sz w:val="22"/>
          <w:szCs w:val="22"/>
        </w:rPr>
        <w:t>35.6</w:t>
      </w:r>
      <w:r w:rsidRPr="00B66B7C">
        <w:rPr>
          <w:rFonts w:ascii="Calibri" w:eastAsia="Times New Roman" w:hAnsi="Calibri" w:cs="Calibri"/>
          <w:bCs/>
          <w:color w:val="auto"/>
          <w:sz w:val="22"/>
          <w:szCs w:val="22"/>
        </w:rPr>
        <w:t xml:space="preserve"> million; equivalent US$4</w:t>
      </w:r>
      <w:r>
        <w:rPr>
          <w:rFonts w:ascii="Calibri" w:eastAsia="Times New Roman" w:hAnsi="Calibri" w:cs="Calibri"/>
          <w:bCs/>
          <w:color w:val="auto"/>
          <w:sz w:val="22"/>
          <w:szCs w:val="22"/>
        </w:rPr>
        <w:t>0</w:t>
      </w:r>
      <w:r w:rsidRPr="00B66B7C">
        <w:rPr>
          <w:rFonts w:ascii="Calibri" w:eastAsia="Times New Roman" w:hAnsi="Calibri" w:cs="Calibri"/>
          <w:bCs/>
          <w:color w:val="auto"/>
          <w:sz w:val="22"/>
          <w:szCs w:val="22"/>
        </w:rPr>
        <w:t xml:space="preserve"> million) and Benin (EUR 10 million; equivalent US$11.2 million) </w:t>
      </w:r>
      <w:r w:rsidR="00D5105F">
        <w:rPr>
          <w:rFonts w:ascii="Calibri" w:eastAsia="Times New Roman" w:hAnsi="Calibri" w:cs="Calibri"/>
          <w:bCs/>
          <w:color w:val="auto"/>
          <w:sz w:val="22"/>
          <w:szCs w:val="22"/>
        </w:rPr>
        <w:t>are expected to be</w:t>
      </w:r>
      <w:r w:rsidRPr="00B66B7C">
        <w:rPr>
          <w:rFonts w:ascii="Calibri" w:eastAsia="Times New Roman" w:hAnsi="Calibri" w:cs="Calibri"/>
          <w:bCs/>
          <w:color w:val="auto"/>
          <w:sz w:val="22"/>
          <w:szCs w:val="22"/>
        </w:rPr>
        <w:t xml:space="preserve"> available </w:t>
      </w:r>
      <w:r>
        <w:rPr>
          <w:rFonts w:ascii="Calibri" w:eastAsia="Times New Roman" w:hAnsi="Calibri" w:cs="Calibri"/>
          <w:bCs/>
          <w:color w:val="auto"/>
          <w:sz w:val="22"/>
          <w:szCs w:val="22"/>
        </w:rPr>
        <w:t xml:space="preserve">later </w:t>
      </w:r>
      <w:r w:rsidRPr="00B66B7C">
        <w:rPr>
          <w:rFonts w:ascii="Calibri" w:eastAsia="Times New Roman" w:hAnsi="Calibri" w:cs="Calibri"/>
          <w:bCs/>
          <w:color w:val="auto"/>
          <w:sz w:val="22"/>
          <w:szCs w:val="22"/>
        </w:rPr>
        <w:t xml:space="preserve">in FY20. In both countries, AFD and the World Bank will jointly contribute to the funding of the results in select centers, according to the proportion of their overall funding to each of those centers.  </w:t>
      </w:r>
      <w:r w:rsidR="00F23DA3">
        <w:rPr>
          <w:rFonts w:ascii="Calibri" w:eastAsia="Times New Roman" w:hAnsi="Calibri" w:cs="Calibri"/>
          <w:bCs/>
          <w:color w:val="auto"/>
          <w:sz w:val="22"/>
          <w:szCs w:val="22"/>
        </w:rPr>
        <w:t>T</w:t>
      </w:r>
      <w:r w:rsidRPr="00B66B7C">
        <w:rPr>
          <w:rFonts w:ascii="Calibri" w:eastAsia="Times New Roman" w:hAnsi="Calibri" w:cs="Calibri"/>
          <w:bCs/>
          <w:color w:val="auto"/>
          <w:sz w:val="22"/>
          <w:szCs w:val="22"/>
        </w:rPr>
        <w:t>he World Bank</w:t>
      </w:r>
      <w:r>
        <w:rPr>
          <w:rFonts w:ascii="Calibri" w:eastAsia="Times New Roman" w:hAnsi="Calibri" w:cs="Calibri"/>
          <w:bCs/>
          <w:color w:val="auto"/>
          <w:sz w:val="22"/>
          <w:szCs w:val="22"/>
        </w:rPr>
        <w:t xml:space="preserve">, through the </w:t>
      </w:r>
      <w:r w:rsidR="00423ED0">
        <w:rPr>
          <w:rFonts w:ascii="Calibri" w:eastAsia="Times New Roman" w:hAnsi="Calibri" w:cs="Calibri"/>
          <w:bCs/>
          <w:color w:val="auto"/>
          <w:sz w:val="22"/>
          <w:szCs w:val="22"/>
        </w:rPr>
        <w:t>RFU</w:t>
      </w:r>
      <w:r w:rsidRPr="00B66B7C">
        <w:rPr>
          <w:rFonts w:ascii="Calibri" w:eastAsia="Times New Roman" w:hAnsi="Calibri" w:cs="Calibri"/>
          <w:bCs/>
          <w:color w:val="auto"/>
          <w:sz w:val="22"/>
          <w:szCs w:val="22"/>
        </w:rPr>
        <w:t xml:space="preserve"> </w:t>
      </w:r>
      <w:r w:rsidR="005B759C">
        <w:rPr>
          <w:rFonts w:ascii="Calibri" w:eastAsia="Times New Roman" w:hAnsi="Calibri" w:cs="Calibri"/>
          <w:bCs/>
          <w:color w:val="auto"/>
          <w:sz w:val="22"/>
          <w:szCs w:val="22"/>
        </w:rPr>
        <w:t xml:space="preserve">(AAU), </w:t>
      </w:r>
      <w:r w:rsidRPr="00B66B7C">
        <w:rPr>
          <w:rFonts w:ascii="Calibri" w:eastAsia="Times New Roman" w:hAnsi="Calibri" w:cs="Calibri"/>
          <w:bCs/>
          <w:color w:val="auto"/>
          <w:sz w:val="22"/>
          <w:szCs w:val="22"/>
        </w:rPr>
        <w:t xml:space="preserve">will be </w:t>
      </w:r>
      <w:r>
        <w:rPr>
          <w:rFonts w:ascii="Calibri" w:eastAsia="Times New Roman" w:hAnsi="Calibri" w:cs="Calibri"/>
          <w:bCs/>
          <w:color w:val="auto"/>
          <w:sz w:val="22"/>
          <w:szCs w:val="22"/>
        </w:rPr>
        <w:t>pro</w:t>
      </w:r>
      <w:r w:rsidRPr="00B66B7C">
        <w:rPr>
          <w:rFonts w:ascii="Calibri" w:eastAsia="Times New Roman" w:hAnsi="Calibri" w:cs="Calibri"/>
          <w:bCs/>
          <w:color w:val="auto"/>
          <w:sz w:val="22"/>
          <w:szCs w:val="22"/>
        </w:rPr>
        <w:t>viding implementation support</w:t>
      </w:r>
      <w:r>
        <w:rPr>
          <w:rFonts w:ascii="Calibri" w:eastAsia="Times New Roman" w:hAnsi="Calibri" w:cs="Calibri"/>
          <w:bCs/>
          <w:color w:val="auto"/>
          <w:sz w:val="22"/>
          <w:szCs w:val="22"/>
        </w:rPr>
        <w:t xml:space="preserve"> through select technical services</w:t>
      </w:r>
      <w:r w:rsidRPr="00B66B7C">
        <w:rPr>
          <w:rFonts w:ascii="Calibri" w:eastAsia="Times New Roman" w:hAnsi="Calibri" w:cs="Calibri"/>
          <w:bCs/>
          <w:color w:val="auto"/>
          <w:sz w:val="22"/>
          <w:szCs w:val="22"/>
        </w:rPr>
        <w:t xml:space="preserve">. </w:t>
      </w:r>
    </w:p>
    <w:p w14:paraId="79C2AE2D" w14:textId="77777777" w:rsidR="00837AE1"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color w:val="auto"/>
          <w:sz w:val="22"/>
          <w:szCs w:val="22"/>
          <w:lang w:eastAsia="ko-KR"/>
        </w:rPr>
      </w:pPr>
      <w:r w:rsidRPr="00F02286">
        <w:rPr>
          <w:rFonts w:ascii="Calibri" w:eastAsia="Times New Roman" w:hAnsi="Calibri" w:cs="Calibri"/>
          <w:b/>
          <w:bCs/>
          <w:color w:val="auto"/>
          <w:sz w:val="22"/>
          <w:szCs w:val="22"/>
        </w:rPr>
        <w:t>The World Bank and AFD signed a co-financing framework agreement on June 13, 2018, setting forth the basis on which they intend to co-finance projects</w:t>
      </w:r>
      <w:r w:rsidRPr="00B66B7C">
        <w:rPr>
          <w:rFonts w:ascii="Calibri" w:eastAsia="Times New Roman" w:hAnsi="Calibri" w:cs="Calibri"/>
          <w:bCs/>
          <w:color w:val="auto"/>
          <w:sz w:val="22"/>
          <w:szCs w:val="22"/>
        </w:rPr>
        <w:t xml:space="preserve">. Further, the World Bank and AFD will negotiate </w:t>
      </w:r>
      <w:r>
        <w:rPr>
          <w:rFonts w:ascii="Calibri" w:eastAsia="Times New Roman" w:hAnsi="Calibri" w:cs="Calibri"/>
          <w:bCs/>
          <w:color w:val="auto"/>
          <w:sz w:val="22"/>
          <w:szCs w:val="22"/>
        </w:rPr>
        <w:t xml:space="preserve">and sign </w:t>
      </w:r>
      <w:r w:rsidRPr="00B66B7C">
        <w:rPr>
          <w:rFonts w:ascii="Calibri" w:eastAsia="Times New Roman" w:hAnsi="Calibri" w:cs="Calibri"/>
          <w:bCs/>
          <w:color w:val="auto"/>
          <w:sz w:val="22"/>
          <w:szCs w:val="22"/>
        </w:rPr>
        <w:t xml:space="preserve">a co-financing agreement specific to the proposed Second ACE Impact </w:t>
      </w:r>
      <w:r>
        <w:rPr>
          <w:rFonts w:ascii="Calibri" w:eastAsia="Times New Roman" w:hAnsi="Calibri" w:cs="Calibri"/>
          <w:bCs/>
          <w:color w:val="auto"/>
          <w:sz w:val="22"/>
          <w:szCs w:val="22"/>
        </w:rPr>
        <w:t>P</w:t>
      </w:r>
      <w:r w:rsidRPr="00B66B7C">
        <w:rPr>
          <w:rFonts w:ascii="Calibri" w:eastAsia="Times New Roman" w:hAnsi="Calibri" w:cs="Calibri"/>
          <w:bCs/>
          <w:color w:val="auto"/>
          <w:sz w:val="22"/>
          <w:szCs w:val="22"/>
        </w:rPr>
        <w:t xml:space="preserve">roject, which </w:t>
      </w:r>
      <w:r w:rsidR="00313754">
        <w:rPr>
          <w:rFonts w:ascii="Calibri" w:eastAsia="Times New Roman" w:hAnsi="Calibri" w:cs="Calibri"/>
          <w:bCs/>
          <w:color w:val="auto"/>
          <w:sz w:val="22"/>
          <w:szCs w:val="22"/>
        </w:rPr>
        <w:t>will</w:t>
      </w:r>
      <w:r w:rsidR="00313754" w:rsidRPr="00B66B7C">
        <w:rPr>
          <w:rFonts w:ascii="Calibri" w:eastAsia="Times New Roman" w:hAnsi="Calibri" w:cs="Calibri"/>
          <w:bCs/>
          <w:color w:val="auto"/>
          <w:sz w:val="22"/>
          <w:szCs w:val="22"/>
        </w:rPr>
        <w:t xml:space="preserve"> </w:t>
      </w:r>
      <w:r w:rsidRPr="00B66B7C">
        <w:rPr>
          <w:rFonts w:ascii="Calibri" w:eastAsia="Times New Roman" w:hAnsi="Calibri" w:cs="Calibri"/>
          <w:bCs/>
          <w:color w:val="auto"/>
          <w:sz w:val="22"/>
          <w:szCs w:val="22"/>
        </w:rPr>
        <w:t xml:space="preserve">aim to define, among others, services related to the project implementation that the World Bank </w:t>
      </w:r>
      <w:r w:rsidR="00313754">
        <w:rPr>
          <w:rFonts w:ascii="Calibri" w:eastAsia="Times New Roman" w:hAnsi="Calibri" w:cs="Calibri"/>
          <w:bCs/>
          <w:color w:val="auto"/>
          <w:sz w:val="22"/>
          <w:szCs w:val="22"/>
        </w:rPr>
        <w:t>will</w:t>
      </w:r>
      <w:r w:rsidR="00313754" w:rsidRPr="00B66B7C">
        <w:rPr>
          <w:rFonts w:ascii="Calibri" w:eastAsia="Times New Roman" w:hAnsi="Calibri" w:cs="Calibri"/>
          <w:bCs/>
          <w:color w:val="auto"/>
          <w:sz w:val="22"/>
          <w:szCs w:val="22"/>
        </w:rPr>
        <w:t xml:space="preserve"> </w:t>
      </w:r>
      <w:r w:rsidRPr="00B66B7C">
        <w:rPr>
          <w:rFonts w:ascii="Calibri" w:eastAsia="Times New Roman" w:hAnsi="Calibri" w:cs="Calibri"/>
          <w:bCs/>
          <w:color w:val="auto"/>
          <w:sz w:val="22"/>
          <w:szCs w:val="22"/>
        </w:rPr>
        <w:t>provide to AFD and the related fees to be paid by AFD</w:t>
      </w:r>
      <w:r>
        <w:rPr>
          <w:rFonts w:ascii="Calibri" w:eastAsia="Times New Roman" w:hAnsi="Calibri" w:cs="Calibri"/>
          <w:bCs/>
          <w:color w:val="auto"/>
          <w:sz w:val="22"/>
          <w:szCs w:val="22"/>
        </w:rPr>
        <w:t xml:space="preserve"> to the World Bank. </w:t>
      </w:r>
      <w:r w:rsidRPr="002E1A3F">
        <w:rPr>
          <w:rFonts w:ascii="Calibri" w:eastAsia="Calibri" w:hAnsi="Calibri" w:cs="Times New Roman"/>
          <w:color w:val="auto"/>
          <w:sz w:val="22"/>
          <w:szCs w:val="22"/>
          <w:lang w:eastAsia="ko-KR"/>
        </w:rPr>
        <w:t>The following entities will be directly</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involved in various aspects of the project, including implementation, steering, facilitation and M&amp;E</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the PSC, RFU, NSCs</w:t>
      </w:r>
      <w:r w:rsidRPr="002E1A3F">
        <w:rPr>
          <w:rFonts w:ascii="Batang" w:eastAsia="Batang" w:hAnsi="Batang" w:cs="Batang"/>
          <w:color w:val="auto"/>
          <w:sz w:val="22"/>
          <w:szCs w:val="22"/>
          <w:lang w:eastAsia="ko-KR"/>
        </w:rPr>
        <w:t xml:space="preserve">, </w:t>
      </w:r>
      <w:r w:rsidRPr="002E1A3F">
        <w:rPr>
          <w:rFonts w:ascii="Calibri" w:eastAsia="Calibri" w:hAnsi="Calibri" w:cs="Times New Roman"/>
          <w:color w:val="auto"/>
          <w:sz w:val="22"/>
          <w:szCs w:val="22"/>
          <w:lang w:eastAsia="ko-KR"/>
        </w:rPr>
        <w:t xml:space="preserve">ACE Impact centers, partner academic and research institutions, industry and other sectoral partners and </w:t>
      </w:r>
      <w:r w:rsidR="00974ACF">
        <w:rPr>
          <w:rFonts w:ascii="Calibri" w:eastAsia="Calibri" w:hAnsi="Calibri" w:cs="Times New Roman"/>
          <w:color w:val="auto"/>
          <w:sz w:val="22"/>
          <w:szCs w:val="22"/>
          <w:lang w:eastAsia="ko-KR"/>
        </w:rPr>
        <w:t>DPs</w:t>
      </w:r>
      <w:r w:rsidRPr="002E1A3F">
        <w:rPr>
          <w:rFonts w:ascii="Calibri" w:eastAsia="Calibri" w:hAnsi="Calibri" w:cs="Times New Roman"/>
          <w:color w:val="auto"/>
          <w:sz w:val="22"/>
          <w:szCs w:val="22"/>
          <w:lang w:eastAsia="ko-KR"/>
        </w:rPr>
        <w:t xml:space="preserve">. The roles and responsibilities for each of these players are described </w:t>
      </w:r>
      <w:r>
        <w:rPr>
          <w:rFonts w:ascii="Calibri" w:eastAsia="Calibri" w:hAnsi="Calibri" w:cs="Times New Roman"/>
          <w:color w:val="auto"/>
          <w:sz w:val="22"/>
          <w:szCs w:val="22"/>
          <w:lang w:eastAsia="ko-KR"/>
        </w:rPr>
        <w:t xml:space="preserve">in Annex </w:t>
      </w:r>
      <w:r w:rsidR="007145B3">
        <w:rPr>
          <w:rFonts w:ascii="Calibri" w:eastAsia="Calibri" w:hAnsi="Calibri" w:cs="Times New Roman"/>
          <w:color w:val="auto"/>
          <w:sz w:val="22"/>
          <w:szCs w:val="22"/>
          <w:lang w:eastAsia="ko-KR"/>
        </w:rPr>
        <w:t>1</w:t>
      </w:r>
      <w:r>
        <w:rPr>
          <w:rFonts w:ascii="Calibri" w:eastAsia="Calibri" w:hAnsi="Calibri" w:cs="Times New Roman"/>
          <w:color w:val="auto"/>
          <w:sz w:val="22"/>
          <w:szCs w:val="22"/>
          <w:lang w:eastAsia="ko-KR"/>
        </w:rPr>
        <w:t xml:space="preserve"> and d</w:t>
      </w:r>
      <w:r w:rsidRPr="002E1A3F">
        <w:rPr>
          <w:rFonts w:ascii="Calibri" w:eastAsia="Calibri" w:hAnsi="Calibri" w:cs="Times New Roman"/>
          <w:color w:val="auto"/>
          <w:sz w:val="22"/>
          <w:szCs w:val="22"/>
          <w:lang w:eastAsia="ko-KR"/>
        </w:rPr>
        <w:t>etailed ToRs are in the PO</w:t>
      </w:r>
      <w:r>
        <w:rPr>
          <w:rFonts w:ascii="Calibri" w:eastAsia="Calibri" w:hAnsi="Calibri" w:cs="Times New Roman"/>
          <w:color w:val="auto"/>
          <w:sz w:val="22"/>
          <w:szCs w:val="22"/>
          <w:lang w:eastAsia="ko-KR"/>
        </w:rPr>
        <w:t>M. The below section details the specific role of the World Bank and AFD in the three countries AFD is financing</w:t>
      </w:r>
      <w:r w:rsidR="003F5917">
        <w:rPr>
          <w:rFonts w:ascii="Calibri" w:eastAsia="Calibri" w:hAnsi="Calibri" w:cs="Times New Roman"/>
          <w:color w:val="auto"/>
          <w:sz w:val="22"/>
          <w:szCs w:val="22"/>
          <w:lang w:eastAsia="ko-KR"/>
        </w:rPr>
        <w:t xml:space="preserve"> under the proposed Second ACE Impact project</w:t>
      </w:r>
      <w:r>
        <w:rPr>
          <w:rFonts w:ascii="Calibri" w:eastAsia="Calibri" w:hAnsi="Calibri" w:cs="Times New Roman"/>
          <w:color w:val="auto"/>
          <w:sz w:val="22"/>
          <w:szCs w:val="22"/>
          <w:lang w:eastAsia="ko-KR"/>
        </w:rPr>
        <w:t xml:space="preserve">. </w:t>
      </w:r>
    </w:p>
    <w:p w14:paraId="3CA0DDC6" w14:textId="77777777" w:rsidR="00837AE1" w:rsidRPr="001F4AEF"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color w:val="auto"/>
          <w:sz w:val="22"/>
          <w:szCs w:val="22"/>
          <w:lang w:eastAsia="ko-KR"/>
        </w:rPr>
      </w:pPr>
      <w:bookmarkStart w:id="494" w:name="_Hlk19096154"/>
      <w:r w:rsidRPr="00010995">
        <w:rPr>
          <w:rFonts w:ascii="Calibri" w:eastAsia="Times New Roman" w:hAnsi="Calibri" w:cs="Calibri"/>
          <w:b/>
          <w:bCs/>
          <w:spacing w:val="-1"/>
          <w:sz w:val="22"/>
          <w:szCs w:val="22"/>
        </w:rPr>
        <w:t xml:space="preserve">Benin. </w:t>
      </w:r>
      <w:r w:rsidRPr="006D67FF">
        <w:rPr>
          <w:rFonts w:ascii="Calibri" w:eastAsia="Times New Roman" w:hAnsi="Calibri" w:cs="Calibri"/>
          <w:bCs/>
          <w:spacing w:val="-1"/>
          <w:sz w:val="22"/>
          <w:szCs w:val="22"/>
        </w:rPr>
        <w:t xml:space="preserve">In Benin, AFD will </w:t>
      </w:r>
      <w:r>
        <w:rPr>
          <w:rFonts w:ascii="Calibri" w:eastAsia="Times New Roman" w:hAnsi="Calibri" w:cs="Calibri"/>
          <w:bCs/>
          <w:spacing w:val="-1"/>
          <w:sz w:val="22"/>
          <w:szCs w:val="22"/>
        </w:rPr>
        <w:t>co-</w:t>
      </w:r>
      <w:r w:rsidRPr="006D67FF">
        <w:rPr>
          <w:rFonts w:ascii="Calibri" w:eastAsia="Times New Roman" w:hAnsi="Calibri" w:cs="Calibri"/>
          <w:bCs/>
          <w:spacing w:val="-1"/>
          <w:sz w:val="22"/>
          <w:szCs w:val="22"/>
        </w:rPr>
        <w:t xml:space="preserve">finance </w:t>
      </w:r>
      <w:r w:rsidRPr="006D67FF">
        <w:rPr>
          <w:rFonts w:ascii="Calibri" w:eastAsia="Times New Roman" w:hAnsi="Calibri" w:cs="Calibri"/>
          <w:bCs/>
          <w:color w:val="auto"/>
          <w:sz w:val="22"/>
          <w:szCs w:val="22"/>
        </w:rPr>
        <w:t>EUR 10 million</w:t>
      </w:r>
      <w:r>
        <w:rPr>
          <w:rFonts w:ascii="Calibri" w:eastAsia="Times New Roman" w:hAnsi="Calibri" w:cs="Calibri"/>
          <w:bCs/>
          <w:color w:val="auto"/>
          <w:sz w:val="22"/>
          <w:szCs w:val="22"/>
        </w:rPr>
        <w:t xml:space="preserve"> (</w:t>
      </w:r>
      <w:r w:rsidRPr="006D67FF">
        <w:rPr>
          <w:rFonts w:ascii="Calibri" w:eastAsia="Times New Roman" w:hAnsi="Calibri" w:cs="Calibri"/>
          <w:bCs/>
          <w:color w:val="auto"/>
          <w:sz w:val="22"/>
          <w:szCs w:val="22"/>
        </w:rPr>
        <w:t>equivalent US$11.2 million</w:t>
      </w:r>
      <w:r>
        <w:rPr>
          <w:rFonts w:ascii="Calibri" w:eastAsia="Times New Roman" w:hAnsi="Calibri" w:cs="Calibri"/>
          <w:bCs/>
          <w:color w:val="auto"/>
          <w:sz w:val="22"/>
          <w:szCs w:val="22"/>
        </w:rPr>
        <w:t>)</w:t>
      </w:r>
      <w:r w:rsidRPr="006D67FF">
        <w:rPr>
          <w:rFonts w:ascii="Calibri" w:eastAsia="Times New Roman" w:hAnsi="Calibri" w:cs="Calibri"/>
          <w:bCs/>
          <w:color w:val="auto"/>
          <w:sz w:val="22"/>
          <w:szCs w:val="22"/>
        </w:rPr>
        <w:t xml:space="preserve"> to the two Centers and School of Engineering in Benin</w:t>
      </w:r>
      <w:r w:rsidRPr="00010995">
        <w:rPr>
          <w:rFonts w:ascii="Calibri" w:eastAsia="Times New Roman" w:hAnsi="Calibri" w:cs="Calibri"/>
          <w:bCs/>
          <w:color w:val="auto"/>
          <w:sz w:val="22"/>
          <w:szCs w:val="22"/>
        </w:rPr>
        <w:t xml:space="preserve">. </w:t>
      </w:r>
      <w:bookmarkStart w:id="495" w:name="_Hlk19095572"/>
      <w:r w:rsidR="008717B0" w:rsidRPr="002C4E93">
        <w:rPr>
          <w:rFonts w:ascii="Calibri" w:eastAsia="Times New Roman" w:hAnsi="Calibri" w:cs="Calibri"/>
          <w:bCs/>
          <w:color w:val="auto"/>
          <w:sz w:val="22"/>
          <w:szCs w:val="22"/>
        </w:rPr>
        <w:t>T</w:t>
      </w:r>
      <w:r w:rsidR="00B7530F" w:rsidRPr="002C4E93">
        <w:rPr>
          <w:rFonts w:ascii="Calibri" w:eastAsia="Times New Roman" w:hAnsi="Calibri" w:cs="Calibri"/>
          <w:bCs/>
          <w:color w:val="auto"/>
          <w:sz w:val="22"/>
          <w:szCs w:val="22"/>
        </w:rPr>
        <w:t xml:space="preserve">o mitigate the risk of long delays and as indicated in the </w:t>
      </w:r>
      <w:r w:rsidR="003C2E2F" w:rsidRPr="002C4E93">
        <w:rPr>
          <w:rFonts w:ascii="Calibri" w:eastAsia="Times New Roman" w:hAnsi="Calibri" w:cs="Calibri"/>
          <w:bCs/>
          <w:color w:val="auto"/>
          <w:sz w:val="22"/>
          <w:szCs w:val="22"/>
        </w:rPr>
        <w:t xml:space="preserve">Benin-IDA ACE Impact </w:t>
      </w:r>
      <w:r w:rsidR="00864D46">
        <w:rPr>
          <w:rFonts w:ascii="Calibri" w:eastAsia="Times New Roman" w:hAnsi="Calibri" w:cs="Calibri"/>
          <w:bCs/>
          <w:color w:val="auto"/>
          <w:sz w:val="22"/>
          <w:szCs w:val="22"/>
        </w:rPr>
        <w:t>FA</w:t>
      </w:r>
      <w:r w:rsidR="003C2E2F" w:rsidRPr="002C4E93">
        <w:rPr>
          <w:rFonts w:ascii="Calibri" w:eastAsia="Times New Roman" w:hAnsi="Calibri" w:cs="Calibri"/>
          <w:bCs/>
          <w:color w:val="auto"/>
          <w:sz w:val="22"/>
          <w:szCs w:val="22"/>
        </w:rPr>
        <w:t>,</w:t>
      </w:r>
      <w:r w:rsidR="00B7530F" w:rsidRPr="002C4E93">
        <w:rPr>
          <w:rFonts w:ascii="Calibri" w:eastAsia="Times New Roman" w:hAnsi="Calibri" w:cs="Calibri"/>
          <w:bCs/>
          <w:color w:val="auto"/>
          <w:sz w:val="22"/>
          <w:szCs w:val="22"/>
        </w:rPr>
        <w:t xml:space="preserve"> t</w:t>
      </w:r>
      <w:r w:rsidR="009679B3" w:rsidRPr="002C4E93">
        <w:rPr>
          <w:rFonts w:ascii="Calibri" w:eastAsia="Times New Roman" w:hAnsi="Calibri" w:cs="Calibri"/>
          <w:bCs/>
          <w:color w:val="auto"/>
          <w:sz w:val="22"/>
          <w:szCs w:val="22"/>
        </w:rPr>
        <w:t>he Co-financing Deadline for the effectiveness of the Co-financing Agreement between the Benin government and AFD is eighteen months from the Effective Date of the Benin-</w:t>
      </w:r>
      <w:r w:rsidR="00217034">
        <w:rPr>
          <w:rFonts w:ascii="Calibri" w:eastAsia="Times New Roman" w:hAnsi="Calibri" w:cs="Calibri"/>
          <w:bCs/>
          <w:color w:val="auto"/>
          <w:sz w:val="22"/>
          <w:szCs w:val="22"/>
        </w:rPr>
        <w:t>Second</w:t>
      </w:r>
      <w:r w:rsidR="009679B3" w:rsidRPr="002C4E93">
        <w:rPr>
          <w:rFonts w:ascii="Calibri" w:eastAsia="Times New Roman" w:hAnsi="Calibri" w:cs="Calibri"/>
          <w:bCs/>
          <w:color w:val="auto"/>
          <w:sz w:val="22"/>
          <w:szCs w:val="22"/>
        </w:rPr>
        <w:t xml:space="preserve"> ACE Impact </w:t>
      </w:r>
      <w:r w:rsidR="00864D46">
        <w:rPr>
          <w:rFonts w:ascii="Calibri" w:eastAsia="Times New Roman" w:hAnsi="Calibri" w:cs="Calibri"/>
          <w:bCs/>
          <w:color w:val="auto"/>
          <w:sz w:val="22"/>
          <w:szCs w:val="22"/>
        </w:rPr>
        <w:t>FA</w:t>
      </w:r>
      <w:r w:rsidRPr="002C4E93">
        <w:rPr>
          <w:rFonts w:ascii="Calibri" w:eastAsia="Times New Roman" w:hAnsi="Calibri" w:cs="Calibri"/>
          <w:bCs/>
          <w:color w:val="auto"/>
          <w:sz w:val="22"/>
          <w:szCs w:val="22"/>
        </w:rPr>
        <w:t>.</w:t>
      </w:r>
      <w:r w:rsidRPr="00010995">
        <w:rPr>
          <w:rFonts w:ascii="Calibri" w:eastAsia="Times New Roman" w:hAnsi="Calibri" w:cs="Calibri"/>
          <w:bCs/>
          <w:color w:val="auto"/>
          <w:sz w:val="22"/>
          <w:szCs w:val="22"/>
        </w:rPr>
        <w:t xml:space="preserve"> </w:t>
      </w:r>
      <w:bookmarkEnd w:id="495"/>
      <w:r w:rsidRPr="00010995">
        <w:rPr>
          <w:rFonts w:ascii="Calibri" w:eastAsia="Times New Roman" w:hAnsi="Calibri" w:cs="Calibri"/>
          <w:bCs/>
          <w:color w:val="auto"/>
          <w:sz w:val="22"/>
          <w:szCs w:val="22"/>
        </w:rPr>
        <w:t xml:space="preserve"> </w:t>
      </w:r>
      <w:r w:rsidR="00AF73CD">
        <w:rPr>
          <w:rFonts w:ascii="Calibri" w:eastAsia="Times New Roman" w:hAnsi="Calibri" w:cs="Times New Roman"/>
          <w:color w:val="auto"/>
          <w:sz w:val="22"/>
          <w:szCs w:val="22"/>
        </w:rPr>
        <w:t xml:space="preserve">The AFD is expected to submit </w:t>
      </w:r>
      <w:r w:rsidR="0075498A">
        <w:rPr>
          <w:rFonts w:ascii="Calibri" w:eastAsia="Times New Roman" w:hAnsi="Calibri" w:cs="Times New Roman"/>
          <w:color w:val="auto"/>
          <w:sz w:val="22"/>
          <w:szCs w:val="22"/>
        </w:rPr>
        <w:t xml:space="preserve">the Benin project to </w:t>
      </w:r>
      <w:r w:rsidR="00AF73CD">
        <w:rPr>
          <w:rFonts w:ascii="Calibri" w:eastAsia="Times New Roman" w:hAnsi="Calibri" w:cs="Times New Roman"/>
          <w:color w:val="auto"/>
          <w:sz w:val="22"/>
          <w:szCs w:val="22"/>
        </w:rPr>
        <w:t xml:space="preserve">its </w:t>
      </w:r>
      <w:r w:rsidR="0075498A">
        <w:rPr>
          <w:rFonts w:ascii="Calibri" w:eastAsia="Times New Roman" w:hAnsi="Calibri" w:cs="Times New Roman"/>
          <w:color w:val="auto"/>
          <w:sz w:val="22"/>
          <w:szCs w:val="22"/>
        </w:rPr>
        <w:t>B</w:t>
      </w:r>
      <w:r w:rsidR="00AF73CD">
        <w:rPr>
          <w:rFonts w:ascii="Calibri" w:eastAsia="Times New Roman" w:hAnsi="Calibri" w:cs="Times New Roman"/>
          <w:color w:val="auto"/>
          <w:sz w:val="22"/>
          <w:szCs w:val="22"/>
        </w:rPr>
        <w:t xml:space="preserve">oard </w:t>
      </w:r>
      <w:r w:rsidR="0075498A">
        <w:rPr>
          <w:rFonts w:ascii="Calibri" w:eastAsia="Times New Roman" w:hAnsi="Calibri" w:cs="Times New Roman"/>
          <w:color w:val="auto"/>
          <w:sz w:val="22"/>
          <w:szCs w:val="22"/>
        </w:rPr>
        <w:t xml:space="preserve">of Directors for approval </w:t>
      </w:r>
      <w:r w:rsidR="005A20DA">
        <w:rPr>
          <w:rFonts w:ascii="Calibri" w:eastAsia="Times New Roman" w:hAnsi="Calibri" w:cs="Times New Roman"/>
          <w:color w:val="auto"/>
          <w:sz w:val="22"/>
          <w:szCs w:val="22"/>
        </w:rPr>
        <w:t>in</w:t>
      </w:r>
      <w:r w:rsidR="00AF73CD">
        <w:rPr>
          <w:rFonts w:ascii="Calibri" w:eastAsia="Times New Roman" w:hAnsi="Calibri" w:cs="Times New Roman"/>
          <w:color w:val="auto"/>
          <w:sz w:val="22"/>
          <w:szCs w:val="22"/>
        </w:rPr>
        <w:t xml:space="preserve"> </w:t>
      </w:r>
      <w:r w:rsidR="00D5105F">
        <w:rPr>
          <w:rFonts w:ascii="Calibri" w:eastAsia="Times New Roman" w:hAnsi="Calibri" w:cs="Times New Roman"/>
          <w:color w:val="auto"/>
          <w:sz w:val="22"/>
          <w:szCs w:val="22"/>
        </w:rPr>
        <w:t xml:space="preserve">January </w:t>
      </w:r>
      <w:r w:rsidR="00AF73CD">
        <w:rPr>
          <w:rFonts w:ascii="Calibri" w:eastAsia="Times New Roman" w:hAnsi="Calibri" w:cs="Times New Roman"/>
          <w:color w:val="auto"/>
          <w:sz w:val="22"/>
          <w:szCs w:val="22"/>
        </w:rPr>
        <w:t>2020</w:t>
      </w:r>
      <w:r w:rsidR="0075498A">
        <w:rPr>
          <w:rFonts w:ascii="Calibri" w:eastAsia="Times New Roman" w:hAnsi="Calibri" w:cs="Times New Roman"/>
          <w:color w:val="auto"/>
          <w:sz w:val="22"/>
          <w:szCs w:val="22"/>
        </w:rPr>
        <w:t>.</w:t>
      </w:r>
      <w:r w:rsidRPr="00010995">
        <w:rPr>
          <w:rFonts w:ascii="Calibri" w:eastAsia="Times New Roman" w:hAnsi="Calibri" w:cs="Times New Roman"/>
          <w:color w:val="auto"/>
          <w:sz w:val="22"/>
          <w:szCs w:val="22"/>
        </w:rPr>
        <w:t xml:space="preserve"> The </w:t>
      </w:r>
      <w:r>
        <w:rPr>
          <w:rFonts w:ascii="Calibri" w:eastAsia="Times New Roman" w:hAnsi="Calibri" w:cs="Times New Roman"/>
          <w:color w:val="auto"/>
          <w:sz w:val="22"/>
          <w:szCs w:val="22"/>
        </w:rPr>
        <w:t xml:space="preserve">World Bank will be the lead agency responsible for all the fiduciary and technical oversight for the project in Benin. Therefore, the World Bank conducted all the fiduciary assessments of the Centers in Benin and also had oversight of the Safeguards tools developed during the project preparation.  AFD will be responsible for the disbursement processing for the AFD portion of the project in Benin. </w:t>
      </w:r>
      <w:bookmarkEnd w:id="494"/>
    </w:p>
    <w:p w14:paraId="0268BE4A" w14:textId="77777777" w:rsidR="00837AE1" w:rsidRPr="00E55040"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color w:val="auto"/>
          <w:sz w:val="22"/>
          <w:szCs w:val="22"/>
          <w:lang w:eastAsia="ko-KR"/>
        </w:rPr>
      </w:pPr>
      <w:r>
        <w:rPr>
          <w:rFonts w:ascii="Calibri" w:eastAsia="Times New Roman" w:hAnsi="Calibri" w:cs="Calibri"/>
          <w:b/>
          <w:bCs/>
          <w:spacing w:val="-1"/>
          <w:sz w:val="22"/>
          <w:szCs w:val="22"/>
        </w:rPr>
        <w:t>Nigeria.</w:t>
      </w:r>
      <w:r>
        <w:rPr>
          <w:rFonts w:ascii="Calibri" w:eastAsia="Times New Roman" w:hAnsi="Calibri" w:cs="Times New Roman"/>
          <w:color w:val="auto"/>
          <w:sz w:val="22"/>
          <w:szCs w:val="22"/>
        </w:rPr>
        <w:t xml:space="preserve"> In Nigeria, AFD will </w:t>
      </w:r>
      <w:r w:rsidR="002F1758">
        <w:rPr>
          <w:rFonts w:ascii="Calibri" w:eastAsia="Times New Roman" w:hAnsi="Calibri" w:cs="Times New Roman"/>
          <w:color w:val="auto"/>
          <w:sz w:val="22"/>
          <w:szCs w:val="22"/>
        </w:rPr>
        <w:t xml:space="preserve">provide </w:t>
      </w:r>
      <w:r>
        <w:rPr>
          <w:rFonts w:ascii="Calibri" w:eastAsia="Times New Roman" w:hAnsi="Calibri" w:cs="Times New Roman"/>
          <w:color w:val="auto"/>
          <w:sz w:val="22"/>
          <w:szCs w:val="22"/>
        </w:rPr>
        <w:t>financ</w:t>
      </w:r>
      <w:r w:rsidR="002F1758">
        <w:rPr>
          <w:rFonts w:ascii="Calibri" w:eastAsia="Times New Roman" w:hAnsi="Calibri" w:cs="Times New Roman"/>
          <w:color w:val="auto"/>
          <w:sz w:val="22"/>
          <w:szCs w:val="22"/>
        </w:rPr>
        <w:t>ing in the amount of</w:t>
      </w:r>
      <w:r>
        <w:rPr>
          <w:rFonts w:ascii="Calibri" w:eastAsia="Times New Roman" w:hAnsi="Calibri" w:cs="Times New Roman"/>
          <w:color w:val="auto"/>
          <w:sz w:val="22"/>
          <w:szCs w:val="22"/>
        </w:rPr>
        <w:t xml:space="preserve"> EUR 35.6 million; equivalent to US$40 million. </w:t>
      </w:r>
      <w:r w:rsidR="00511D84">
        <w:rPr>
          <w:rFonts w:ascii="Calibri" w:eastAsia="Times New Roman" w:hAnsi="Calibri" w:cs="Calibri"/>
          <w:bCs/>
          <w:color w:val="auto"/>
          <w:sz w:val="22"/>
          <w:szCs w:val="22"/>
        </w:rPr>
        <w:t xml:space="preserve">To mitigate the risk of long delays and as indicated in the </w:t>
      </w:r>
      <w:r w:rsidR="00CF49B1">
        <w:rPr>
          <w:rFonts w:ascii="Calibri" w:eastAsia="Times New Roman" w:hAnsi="Calibri" w:cs="Calibri"/>
          <w:bCs/>
          <w:color w:val="auto"/>
          <w:sz w:val="22"/>
          <w:szCs w:val="22"/>
        </w:rPr>
        <w:t>Nigeria</w:t>
      </w:r>
      <w:r w:rsidR="00511D84">
        <w:rPr>
          <w:rFonts w:ascii="Calibri" w:eastAsia="Times New Roman" w:hAnsi="Calibri" w:cs="Calibri"/>
          <w:bCs/>
          <w:color w:val="auto"/>
          <w:sz w:val="22"/>
          <w:szCs w:val="22"/>
        </w:rPr>
        <w:t>-</w:t>
      </w:r>
      <w:r w:rsidR="00217034">
        <w:rPr>
          <w:rFonts w:ascii="Calibri" w:eastAsia="Times New Roman" w:hAnsi="Calibri" w:cs="Calibri"/>
          <w:bCs/>
          <w:color w:val="auto"/>
          <w:sz w:val="22"/>
          <w:szCs w:val="22"/>
        </w:rPr>
        <w:t>Second</w:t>
      </w:r>
      <w:r w:rsidR="00511D84">
        <w:rPr>
          <w:rFonts w:ascii="Calibri" w:eastAsia="Times New Roman" w:hAnsi="Calibri" w:cs="Calibri"/>
          <w:bCs/>
          <w:color w:val="auto"/>
          <w:sz w:val="22"/>
          <w:szCs w:val="22"/>
        </w:rPr>
        <w:t xml:space="preserve"> ACE Impact </w:t>
      </w:r>
      <w:r w:rsidR="00864D46">
        <w:rPr>
          <w:rFonts w:ascii="Calibri" w:eastAsia="Times New Roman" w:hAnsi="Calibri" w:cs="Calibri"/>
          <w:bCs/>
          <w:color w:val="auto"/>
          <w:sz w:val="22"/>
          <w:szCs w:val="22"/>
        </w:rPr>
        <w:t>FA</w:t>
      </w:r>
      <w:r w:rsidR="00511D84">
        <w:rPr>
          <w:rFonts w:ascii="Calibri" w:eastAsia="Times New Roman" w:hAnsi="Calibri" w:cs="Calibri"/>
          <w:bCs/>
          <w:color w:val="auto"/>
          <w:sz w:val="22"/>
          <w:szCs w:val="22"/>
        </w:rPr>
        <w:t>, t</w:t>
      </w:r>
      <w:r w:rsidR="009679B3" w:rsidRPr="009679B3">
        <w:rPr>
          <w:rFonts w:ascii="Calibri" w:eastAsia="Times New Roman" w:hAnsi="Calibri" w:cs="Calibri"/>
          <w:bCs/>
          <w:color w:val="auto"/>
          <w:sz w:val="22"/>
          <w:szCs w:val="22"/>
        </w:rPr>
        <w:t xml:space="preserve">he Co-financing Deadline for the effectiveness of the Co-financing Agreement </w:t>
      </w:r>
      <w:r w:rsidR="009679B3">
        <w:rPr>
          <w:rFonts w:ascii="Calibri" w:eastAsia="Times New Roman" w:hAnsi="Calibri" w:cs="Calibri"/>
          <w:bCs/>
          <w:color w:val="auto"/>
          <w:sz w:val="22"/>
          <w:szCs w:val="22"/>
        </w:rPr>
        <w:t xml:space="preserve">between the Nigeria government and AFD </w:t>
      </w:r>
      <w:r w:rsidR="009679B3" w:rsidRPr="009679B3">
        <w:rPr>
          <w:rFonts w:ascii="Calibri" w:eastAsia="Times New Roman" w:hAnsi="Calibri" w:cs="Calibri"/>
          <w:bCs/>
          <w:color w:val="auto"/>
          <w:sz w:val="22"/>
          <w:szCs w:val="22"/>
        </w:rPr>
        <w:t>is eighteen (18) months from the Effective Date</w:t>
      </w:r>
      <w:r w:rsidR="009679B3">
        <w:rPr>
          <w:rFonts w:ascii="Calibri" w:eastAsia="Times New Roman" w:hAnsi="Calibri" w:cs="Calibri"/>
          <w:bCs/>
          <w:color w:val="auto"/>
          <w:sz w:val="22"/>
          <w:szCs w:val="22"/>
        </w:rPr>
        <w:t xml:space="preserve"> of the Nigeria-IDA ACE Impact </w:t>
      </w:r>
      <w:r w:rsidR="00864D46">
        <w:rPr>
          <w:rFonts w:ascii="Calibri" w:eastAsia="Times New Roman" w:hAnsi="Calibri" w:cs="Calibri"/>
          <w:bCs/>
          <w:color w:val="auto"/>
          <w:sz w:val="22"/>
          <w:szCs w:val="22"/>
        </w:rPr>
        <w:t>FA</w:t>
      </w:r>
      <w:r w:rsidR="009679B3" w:rsidRPr="00010995">
        <w:rPr>
          <w:rFonts w:ascii="Calibri" w:eastAsia="Times New Roman" w:hAnsi="Calibri" w:cs="Calibri"/>
          <w:bCs/>
          <w:color w:val="auto"/>
          <w:sz w:val="22"/>
          <w:szCs w:val="22"/>
        </w:rPr>
        <w:t>.</w:t>
      </w:r>
      <w:r>
        <w:rPr>
          <w:rFonts w:ascii="Calibri" w:eastAsia="Times New Roman" w:hAnsi="Calibri" w:cs="Times New Roman"/>
          <w:color w:val="auto"/>
          <w:sz w:val="22"/>
          <w:szCs w:val="22"/>
        </w:rPr>
        <w:t xml:space="preserve"> </w:t>
      </w:r>
      <w:r w:rsidR="005A20DA">
        <w:rPr>
          <w:rFonts w:ascii="Calibri" w:eastAsia="Times New Roman" w:hAnsi="Calibri" w:cs="Times New Roman"/>
          <w:color w:val="auto"/>
          <w:sz w:val="22"/>
          <w:szCs w:val="22"/>
        </w:rPr>
        <w:t xml:space="preserve">The AFD is expected to submit the Nigeria project to its Board of Directors for approval in December 2019. </w:t>
      </w:r>
      <w:r>
        <w:rPr>
          <w:rFonts w:ascii="Calibri" w:eastAsia="Times New Roman" w:hAnsi="Calibri" w:cs="Times New Roman"/>
          <w:color w:val="auto"/>
          <w:sz w:val="22"/>
          <w:szCs w:val="22"/>
        </w:rPr>
        <w:t>T</w:t>
      </w:r>
      <w:r w:rsidRPr="00010995">
        <w:rPr>
          <w:rFonts w:ascii="Calibri" w:eastAsia="Times New Roman" w:hAnsi="Calibri" w:cs="Times New Roman"/>
          <w:color w:val="auto"/>
          <w:sz w:val="22"/>
          <w:szCs w:val="22"/>
        </w:rPr>
        <w:t xml:space="preserve">he </w:t>
      </w:r>
      <w:r>
        <w:rPr>
          <w:rFonts w:ascii="Calibri" w:eastAsia="Times New Roman" w:hAnsi="Calibri" w:cs="Times New Roman"/>
          <w:color w:val="auto"/>
          <w:sz w:val="22"/>
          <w:szCs w:val="22"/>
        </w:rPr>
        <w:t>World Bank will be the lead agency responsible for all the fiduciary and technical oversight on the project Nigeria.</w:t>
      </w:r>
      <w:r w:rsidRPr="00EA2CA7">
        <w:rPr>
          <w:rFonts w:ascii="Calibri" w:eastAsia="Times New Roman" w:hAnsi="Calibri" w:cs="Times New Roman"/>
          <w:color w:val="auto"/>
          <w:sz w:val="22"/>
          <w:szCs w:val="22"/>
        </w:rPr>
        <w:t xml:space="preserve"> </w:t>
      </w:r>
      <w:r>
        <w:rPr>
          <w:rFonts w:ascii="Calibri" w:eastAsia="Times New Roman" w:hAnsi="Calibri" w:cs="Times New Roman"/>
          <w:color w:val="auto"/>
          <w:sz w:val="22"/>
          <w:szCs w:val="22"/>
        </w:rPr>
        <w:t xml:space="preserve">Therefore, the World Bank conducted all the fiduciary assessments of the Centers in Nigeria and also had oversight of the Safeguards tools developed during project preparation. AFD will be responsible for the disbursement processing for the AFD portion of the project in Nigeria. </w:t>
      </w:r>
    </w:p>
    <w:p w14:paraId="0758C9B2" w14:textId="77777777" w:rsidR="00837AE1" w:rsidRPr="00B74237" w:rsidRDefault="00B00100" w:rsidP="008E2709">
      <w:pPr>
        <w:widowControl/>
        <w:numPr>
          <w:ilvl w:val="0"/>
          <w:numId w:val="65"/>
        </w:numPr>
        <w:tabs>
          <w:tab w:val="left" w:pos="0"/>
        </w:tabs>
        <w:autoSpaceDE/>
        <w:autoSpaceDN/>
        <w:adjustRightInd/>
        <w:spacing w:after="160"/>
        <w:ind w:right="720"/>
        <w:jc w:val="both"/>
        <w:rPr>
          <w:rFonts w:ascii="Calibri" w:eastAsia="Times New Roman" w:hAnsi="Calibri" w:cs="Times New Roman"/>
          <w:color w:val="auto"/>
          <w:sz w:val="22"/>
          <w:szCs w:val="22"/>
        </w:rPr>
      </w:pPr>
      <w:r>
        <w:rPr>
          <w:rFonts w:ascii="Calibri" w:eastAsia="Times New Roman" w:hAnsi="Calibri" w:cs="Calibri"/>
          <w:b/>
          <w:bCs/>
          <w:spacing w:val="-1"/>
          <w:sz w:val="22"/>
          <w:szCs w:val="22"/>
        </w:rPr>
        <w:t>C</w:t>
      </w:r>
      <w:r w:rsidR="00B04A2E">
        <w:rPr>
          <w:rFonts w:ascii="Calibri" w:eastAsia="Times New Roman" w:hAnsi="Calibri" w:cs="Calibri"/>
          <w:b/>
          <w:bCs/>
          <w:spacing w:val="-1"/>
          <w:sz w:val="22"/>
          <w:szCs w:val="22"/>
        </w:rPr>
        <w:t>ô</w:t>
      </w:r>
      <w:r>
        <w:rPr>
          <w:rFonts w:ascii="Calibri" w:eastAsia="Times New Roman" w:hAnsi="Calibri" w:cs="Calibri"/>
          <w:b/>
          <w:bCs/>
          <w:spacing w:val="-1"/>
          <w:sz w:val="22"/>
          <w:szCs w:val="22"/>
        </w:rPr>
        <w:t>te d’Ivoire.</w:t>
      </w:r>
      <w:r>
        <w:rPr>
          <w:rFonts w:ascii="Batang" w:eastAsia="Batang" w:hAnsi="Batang" w:cs="Batang"/>
          <w:color w:val="auto"/>
          <w:sz w:val="22"/>
          <w:szCs w:val="22"/>
          <w:lang w:eastAsia="ko-KR"/>
        </w:rPr>
        <w:t xml:space="preserve"> </w:t>
      </w:r>
      <w:r w:rsidR="00E6408E">
        <w:rPr>
          <w:rFonts w:ascii="Calibri" w:eastAsia="Times New Roman" w:hAnsi="Calibri" w:cs="Times New Roman"/>
          <w:color w:val="auto"/>
          <w:sz w:val="22"/>
          <w:szCs w:val="22"/>
        </w:rPr>
        <w:t>T</w:t>
      </w:r>
      <w:r w:rsidRPr="00B74237">
        <w:rPr>
          <w:rFonts w:ascii="Calibri" w:eastAsia="Times New Roman" w:hAnsi="Calibri" w:cs="Times New Roman"/>
          <w:color w:val="auto"/>
          <w:sz w:val="22"/>
          <w:szCs w:val="22"/>
        </w:rPr>
        <w:t xml:space="preserve">he AFD </w:t>
      </w:r>
      <w:r w:rsidR="00EE561D">
        <w:rPr>
          <w:rFonts w:ascii="Calibri" w:eastAsia="Times New Roman" w:hAnsi="Calibri" w:cs="Times New Roman"/>
          <w:color w:val="auto"/>
          <w:sz w:val="22"/>
          <w:szCs w:val="22"/>
        </w:rPr>
        <w:t xml:space="preserve">will </w:t>
      </w:r>
      <w:r w:rsidR="009B06F6">
        <w:rPr>
          <w:rFonts w:ascii="Calibri" w:eastAsia="Times New Roman" w:hAnsi="Calibri" w:cs="Times New Roman"/>
          <w:color w:val="auto"/>
          <w:sz w:val="22"/>
          <w:szCs w:val="22"/>
        </w:rPr>
        <w:t>finance</w:t>
      </w:r>
      <w:r w:rsidR="00EE561D">
        <w:rPr>
          <w:rFonts w:ascii="Calibri" w:eastAsia="Times New Roman" w:hAnsi="Calibri" w:cs="Times New Roman"/>
          <w:color w:val="auto"/>
          <w:sz w:val="22"/>
          <w:szCs w:val="22"/>
        </w:rPr>
        <w:t xml:space="preserve"> the</w:t>
      </w:r>
      <w:r w:rsidR="009B06F6">
        <w:rPr>
          <w:rFonts w:ascii="Calibri" w:eastAsia="Times New Roman" w:hAnsi="Calibri" w:cs="Times New Roman"/>
          <w:color w:val="auto"/>
          <w:sz w:val="22"/>
          <w:szCs w:val="22"/>
        </w:rPr>
        <w:t xml:space="preserve"> project in C</w:t>
      </w:r>
      <w:r w:rsidR="00B04A2E">
        <w:rPr>
          <w:rFonts w:ascii="Calibri" w:eastAsia="Times New Roman" w:hAnsi="Calibri" w:cs="Calibri"/>
          <w:color w:val="auto"/>
          <w:sz w:val="22"/>
          <w:szCs w:val="22"/>
        </w:rPr>
        <w:t>ô</w:t>
      </w:r>
      <w:r w:rsidR="009B06F6">
        <w:rPr>
          <w:rFonts w:ascii="Calibri" w:eastAsia="Times New Roman" w:hAnsi="Calibri" w:cs="Times New Roman"/>
          <w:color w:val="auto"/>
          <w:sz w:val="22"/>
          <w:szCs w:val="22"/>
        </w:rPr>
        <w:t xml:space="preserve">te </w:t>
      </w:r>
      <w:r w:rsidR="004249EE">
        <w:rPr>
          <w:rFonts w:ascii="Calibri" w:eastAsia="Times New Roman" w:hAnsi="Calibri" w:cs="Times New Roman"/>
          <w:color w:val="auto"/>
          <w:sz w:val="22"/>
          <w:szCs w:val="22"/>
        </w:rPr>
        <w:t>d’Ivoire and</w:t>
      </w:r>
      <w:r w:rsidR="00386A1A">
        <w:rPr>
          <w:rFonts w:ascii="Calibri" w:eastAsia="Times New Roman" w:hAnsi="Calibri" w:cs="Times New Roman"/>
          <w:color w:val="auto"/>
          <w:sz w:val="22"/>
          <w:szCs w:val="22"/>
        </w:rPr>
        <w:t xml:space="preserve"> </w:t>
      </w:r>
      <w:r w:rsidRPr="00B74237">
        <w:rPr>
          <w:rFonts w:ascii="Calibri" w:eastAsia="Times New Roman" w:hAnsi="Calibri" w:cs="Times New Roman"/>
          <w:color w:val="auto"/>
          <w:sz w:val="22"/>
          <w:szCs w:val="22"/>
        </w:rPr>
        <w:t xml:space="preserve">will be providing financing to the ACE centers through the </w:t>
      </w:r>
      <w:r w:rsidR="002F1758">
        <w:rPr>
          <w:rFonts w:ascii="Calibri" w:eastAsia="Times New Roman" w:hAnsi="Calibri" w:cs="Times New Roman"/>
          <w:color w:val="auto"/>
          <w:sz w:val="22"/>
          <w:szCs w:val="22"/>
        </w:rPr>
        <w:t xml:space="preserve">Second </w:t>
      </w:r>
      <w:r w:rsidRPr="00B74237">
        <w:rPr>
          <w:rFonts w:ascii="Calibri" w:eastAsia="Times New Roman" w:hAnsi="Calibri" w:cs="Times New Roman"/>
          <w:color w:val="auto"/>
          <w:sz w:val="22"/>
          <w:szCs w:val="22"/>
        </w:rPr>
        <w:t xml:space="preserve">ACE Impact Project. This complementary project financing of the </w:t>
      </w:r>
      <w:r w:rsidR="00301CA4">
        <w:rPr>
          <w:rFonts w:ascii="Calibri" w:eastAsia="Times New Roman" w:hAnsi="Calibri" w:cs="Times New Roman"/>
          <w:color w:val="auto"/>
          <w:sz w:val="22"/>
          <w:szCs w:val="22"/>
        </w:rPr>
        <w:t>c</w:t>
      </w:r>
      <w:r w:rsidRPr="00B74237">
        <w:rPr>
          <w:rFonts w:ascii="Calibri" w:eastAsia="Times New Roman" w:hAnsi="Calibri" w:cs="Times New Roman"/>
          <w:color w:val="auto"/>
          <w:sz w:val="22"/>
          <w:szCs w:val="22"/>
        </w:rPr>
        <w:t xml:space="preserve">enters in </w:t>
      </w:r>
      <w:r w:rsidR="007472D3">
        <w:rPr>
          <w:rFonts w:ascii="Calibri" w:eastAsia="Times New Roman" w:hAnsi="Calibri" w:cs="Times New Roman"/>
          <w:color w:val="auto"/>
          <w:sz w:val="22"/>
          <w:szCs w:val="22"/>
        </w:rPr>
        <w:t>C</w:t>
      </w:r>
      <w:r w:rsidR="00B04A2E">
        <w:rPr>
          <w:rFonts w:ascii="Calibri" w:eastAsia="Times New Roman" w:hAnsi="Calibri" w:cs="Calibri"/>
          <w:color w:val="auto"/>
          <w:sz w:val="22"/>
          <w:szCs w:val="22"/>
        </w:rPr>
        <w:t>ô</w:t>
      </w:r>
      <w:r w:rsidR="007472D3">
        <w:rPr>
          <w:rFonts w:ascii="Calibri" w:eastAsia="Times New Roman" w:hAnsi="Calibri" w:cs="Times New Roman"/>
          <w:color w:val="auto"/>
          <w:sz w:val="22"/>
          <w:szCs w:val="22"/>
        </w:rPr>
        <w:t xml:space="preserve">te </w:t>
      </w:r>
      <w:r w:rsidR="004249EE">
        <w:rPr>
          <w:rFonts w:ascii="Calibri" w:eastAsia="Times New Roman" w:hAnsi="Calibri" w:cs="Times New Roman"/>
          <w:color w:val="auto"/>
          <w:sz w:val="22"/>
          <w:szCs w:val="22"/>
        </w:rPr>
        <w:t>d’Ivoire will</w:t>
      </w:r>
      <w:r w:rsidRPr="00B74237">
        <w:rPr>
          <w:rFonts w:ascii="Calibri" w:eastAsia="Times New Roman" w:hAnsi="Calibri" w:cs="Times New Roman"/>
          <w:color w:val="auto"/>
          <w:sz w:val="22"/>
          <w:szCs w:val="22"/>
        </w:rPr>
        <w:t xml:space="preserve"> be based on the ACE Impact Project model. </w:t>
      </w:r>
      <w:r w:rsidR="00C67906">
        <w:rPr>
          <w:rFonts w:ascii="Calibri" w:eastAsia="Times New Roman" w:hAnsi="Calibri" w:cs="Times New Roman"/>
          <w:color w:val="auto"/>
          <w:sz w:val="22"/>
          <w:szCs w:val="22"/>
        </w:rPr>
        <w:t>C</w:t>
      </w:r>
      <w:r w:rsidR="00B04A2E">
        <w:rPr>
          <w:rFonts w:ascii="Calibri" w:eastAsia="Times New Roman" w:hAnsi="Calibri" w:cs="Calibri"/>
          <w:color w:val="auto"/>
          <w:sz w:val="22"/>
          <w:szCs w:val="22"/>
        </w:rPr>
        <w:t>ô</w:t>
      </w:r>
      <w:r w:rsidR="00C67906">
        <w:rPr>
          <w:rFonts w:ascii="Calibri" w:eastAsia="Times New Roman" w:hAnsi="Calibri" w:cs="Times New Roman"/>
          <w:color w:val="auto"/>
          <w:sz w:val="22"/>
          <w:szCs w:val="22"/>
        </w:rPr>
        <w:t xml:space="preserve">te d’Ivoire </w:t>
      </w:r>
      <w:r w:rsidR="004249EE">
        <w:rPr>
          <w:rFonts w:ascii="Calibri" w:eastAsia="Times New Roman" w:hAnsi="Calibri" w:cs="Times New Roman"/>
          <w:color w:val="auto"/>
          <w:sz w:val="22"/>
          <w:szCs w:val="22"/>
        </w:rPr>
        <w:t>may benefit</w:t>
      </w:r>
      <w:r w:rsidR="00C67906">
        <w:rPr>
          <w:rFonts w:ascii="Calibri" w:eastAsia="Times New Roman" w:hAnsi="Calibri" w:cs="Times New Roman"/>
          <w:color w:val="auto"/>
          <w:sz w:val="22"/>
          <w:szCs w:val="22"/>
        </w:rPr>
        <w:t xml:space="preserve"> from </w:t>
      </w:r>
      <w:r w:rsidRPr="00B74237">
        <w:rPr>
          <w:rFonts w:ascii="Calibri" w:eastAsia="Times New Roman" w:hAnsi="Calibri" w:cs="Times New Roman"/>
          <w:color w:val="auto"/>
          <w:sz w:val="22"/>
          <w:szCs w:val="22"/>
        </w:rPr>
        <w:t xml:space="preserve">technical support </w:t>
      </w:r>
      <w:r>
        <w:rPr>
          <w:rFonts w:ascii="Calibri" w:eastAsia="Times New Roman" w:hAnsi="Calibri" w:cs="Times New Roman"/>
          <w:color w:val="auto"/>
          <w:sz w:val="22"/>
          <w:szCs w:val="22"/>
        </w:rPr>
        <w:t xml:space="preserve">on select services </w:t>
      </w:r>
      <w:r w:rsidRPr="00B74237">
        <w:rPr>
          <w:rFonts w:ascii="Calibri" w:eastAsia="Times New Roman" w:hAnsi="Calibri" w:cs="Times New Roman"/>
          <w:color w:val="auto"/>
          <w:sz w:val="22"/>
          <w:szCs w:val="22"/>
        </w:rPr>
        <w:t xml:space="preserve">through the </w:t>
      </w:r>
      <w:r w:rsidR="002F1758">
        <w:rPr>
          <w:rFonts w:ascii="Calibri" w:eastAsia="Times New Roman" w:hAnsi="Calibri" w:cs="Times New Roman"/>
          <w:color w:val="auto"/>
          <w:sz w:val="22"/>
          <w:szCs w:val="22"/>
        </w:rPr>
        <w:t>AAU</w:t>
      </w:r>
      <w:r w:rsidR="005D7227">
        <w:rPr>
          <w:rFonts w:ascii="Calibri" w:eastAsia="Times New Roman" w:hAnsi="Calibri" w:cs="Times New Roman"/>
          <w:color w:val="auto"/>
          <w:sz w:val="22"/>
          <w:szCs w:val="22"/>
        </w:rPr>
        <w:t xml:space="preserve">. </w:t>
      </w:r>
      <w:r w:rsidR="005633F2">
        <w:rPr>
          <w:rFonts w:ascii="Calibri" w:eastAsia="Times New Roman" w:hAnsi="Calibri" w:cs="Times New Roman"/>
          <w:color w:val="auto"/>
          <w:sz w:val="22"/>
          <w:szCs w:val="22"/>
        </w:rPr>
        <w:t xml:space="preserve">These services will include </w:t>
      </w:r>
      <w:r w:rsidR="001E6EDD" w:rsidRPr="001E6EDD">
        <w:rPr>
          <w:rFonts w:ascii="Calibri" w:eastAsia="Times New Roman" w:hAnsi="Calibri" w:cs="Times New Roman"/>
          <w:color w:val="auto"/>
          <w:sz w:val="22"/>
          <w:szCs w:val="22"/>
        </w:rPr>
        <w:t>inter alia verification of DLIs; implementation support to centers; capacity building activities; support to ensure C</w:t>
      </w:r>
      <w:r w:rsidR="00B04A2E">
        <w:rPr>
          <w:rFonts w:ascii="Calibri" w:eastAsia="Times New Roman" w:hAnsi="Calibri" w:cs="Calibri"/>
          <w:color w:val="auto"/>
          <w:sz w:val="22"/>
          <w:szCs w:val="22"/>
        </w:rPr>
        <w:t>ô</w:t>
      </w:r>
      <w:r w:rsidR="001E6EDD" w:rsidRPr="001E6EDD">
        <w:rPr>
          <w:rFonts w:ascii="Calibri" w:eastAsia="Times New Roman" w:hAnsi="Calibri" w:cs="Times New Roman"/>
          <w:color w:val="auto"/>
          <w:sz w:val="22"/>
          <w:szCs w:val="22"/>
        </w:rPr>
        <w:t xml:space="preserve">te d’Ivoire’s </w:t>
      </w:r>
      <w:r w:rsidR="001E6EDD" w:rsidRPr="001E6EDD">
        <w:rPr>
          <w:rFonts w:ascii="Calibri" w:eastAsia="Times New Roman" w:hAnsi="Calibri" w:cs="Times New Roman"/>
          <w:color w:val="auto"/>
          <w:sz w:val="22"/>
          <w:szCs w:val="22"/>
        </w:rPr>
        <w:lastRenderedPageBreak/>
        <w:t xml:space="preserve">participation in regional </w:t>
      </w:r>
      <w:r w:rsidR="00CB6825">
        <w:rPr>
          <w:rFonts w:ascii="Calibri" w:eastAsia="Times New Roman" w:hAnsi="Calibri" w:cs="Times New Roman"/>
          <w:color w:val="auto"/>
          <w:sz w:val="22"/>
          <w:szCs w:val="22"/>
        </w:rPr>
        <w:t>PSC</w:t>
      </w:r>
      <w:r w:rsidR="001E6EDD" w:rsidRPr="001E6EDD">
        <w:rPr>
          <w:rFonts w:ascii="Calibri" w:eastAsia="Times New Roman" w:hAnsi="Calibri" w:cs="Times New Roman"/>
          <w:color w:val="auto"/>
          <w:sz w:val="22"/>
          <w:szCs w:val="22"/>
        </w:rPr>
        <w:t xml:space="preserve"> meetings and technical workshops; etc</w:t>
      </w:r>
      <w:r w:rsidR="008875B3">
        <w:rPr>
          <w:rFonts w:ascii="Calibri" w:eastAsia="Times New Roman" w:hAnsi="Calibri" w:cs="Times New Roman"/>
          <w:color w:val="auto"/>
          <w:sz w:val="22"/>
          <w:szCs w:val="22"/>
        </w:rPr>
        <w:t xml:space="preserve">. </w:t>
      </w:r>
      <w:r w:rsidR="007179A9">
        <w:rPr>
          <w:rFonts w:ascii="Calibri" w:eastAsia="Times New Roman" w:hAnsi="Calibri" w:cs="Times New Roman"/>
          <w:color w:val="auto"/>
          <w:sz w:val="22"/>
          <w:szCs w:val="22"/>
        </w:rPr>
        <w:t>However, t</w:t>
      </w:r>
      <w:r w:rsidR="005F3FAD" w:rsidRPr="00B74237">
        <w:rPr>
          <w:rFonts w:ascii="Calibri" w:eastAsia="Times New Roman" w:hAnsi="Calibri" w:cs="Times New Roman"/>
          <w:color w:val="auto"/>
          <w:sz w:val="22"/>
          <w:szCs w:val="22"/>
        </w:rPr>
        <w:t>he AFD will</w:t>
      </w:r>
      <w:r w:rsidR="007179A9">
        <w:rPr>
          <w:rFonts w:ascii="Calibri" w:eastAsia="Times New Roman" w:hAnsi="Calibri" w:cs="Times New Roman"/>
          <w:color w:val="auto"/>
          <w:sz w:val="22"/>
          <w:szCs w:val="22"/>
        </w:rPr>
        <w:t xml:space="preserve"> </w:t>
      </w:r>
      <w:r w:rsidR="005F3FAD" w:rsidRPr="00B74237">
        <w:rPr>
          <w:rFonts w:ascii="Calibri" w:eastAsia="Times New Roman" w:hAnsi="Calibri" w:cs="Times New Roman"/>
          <w:color w:val="auto"/>
          <w:sz w:val="22"/>
          <w:szCs w:val="22"/>
        </w:rPr>
        <w:t xml:space="preserve">be responsible for </w:t>
      </w:r>
      <w:r w:rsidR="004249EE" w:rsidRPr="00B74237">
        <w:rPr>
          <w:rFonts w:ascii="Calibri" w:eastAsia="Times New Roman" w:hAnsi="Calibri" w:cs="Times New Roman"/>
          <w:color w:val="auto"/>
          <w:sz w:val="22"/>
          <w:szCs w:val="22"/>
        </w:rPr>
        <w:t>all</w:t>
      </w:r>
      <w:r w:rsidR="004249EE">
        <w:rPr>
          <w:rFonts w:ascii="Calibri" w:eastAsia="Times New Roman" w:hAnsi="Calibri" w:cs="Times New Roman"/>
          <w:color w:val="auto"/>
          <w:sz w:val="22"/>
          <w:szCs w:val="22"/>
        </w:rPr>
        <w:t xml:space="preserve"> </w:t>
      </w:r>
      <w:r w:rsidR="004249EE" w:rsidRPr="00B74237">
        <w:rPr>
          <w:rFonts w:ascii="Calibri" w:eastAsia="Times New Roman" w:hAnsi="Calibri" w:cs="Times New Roman"/>
          <w:color w:val="auto"/>
          <w:sz w:val="22"/>
          <w:szCs w:val="22"/>
        </w:rPr>
        <w:t>fiduciary</w:t>
      </w:r>
      <w:r w:rsidR="005F3FAD" w:rsidRPr="00B74237">
        <w:rPr>
          <w:rFonts w:ascii="Calibri" w:eastAsia="Times New Roman" w:hAnsi="Calibri" w:cs="Times New Roman"/>
          <w:color w:val="auto"/>
          <w:sz w:val="22"/>
          <w:szCs w:val="22"/>
        </w:rPr>
        <w:t xml:space="preserve"> </w:t>
      </w:r>
      <w:r w:rsidR="00147D23">
        <w:rPr>
          <w:rFonts w:ascii="Calibri" w:eastAsia="Times New Roman" w:hAnsi="Calibri" w:cs="Times New Roman"/>
          <w:color w:val="auto"/>
          <w:sz w:val="22"/>
          <w:szCs w:val="22"/>
        </w:rPr>
        <w:t>aspects</w:t>
      </w:r>
      <w:r w:rsidR="005C55DC">
        <w:rPr>
          <w:rFonts w:ascii="Calibri" w:eastAsia="Times New Roman" w:hAnsi="Calibri" w:cs="Times New Roman"/>
          <w:color w:val="auto"/>
          <w:sz w:val="22"/>
          <w:szCs w:val="22"/>
        </w:rPr>
        <w:t xml:space="preserve"> </w:t>
      </w:r>
      <w:r w:rsidR="005F3FAD" w:rsidRPr="00B74237">
        <w:rPr>
          <w:rFonts w:ascii="Calibri" w:eastAsia="Times New Roman" w:hAnsi="Calibri" w:cs="Times New Roman"/>
          <w:color w:val="auto"/>
          <w:sz w:val="22"/>
          <w:szCs w:val="22"/>
        </w:rPr>
        <w:t xml:space="preserve">of the </w:t>
      </w:r>
      <w:r w:rsidR="005C55DC" w:rsidRPr="001E6EDD">
        <w:rPr>
          <w:rFonts w:ascii="Calibri" w:eastAsia="Times New Roman" w:hAnsi="Calibri" w:cs="Times New Roman"/>
          <w:color w:val="auto"/>
          <w:sz w:val="22"/>
          <w:szCs w:val="22"/>
        </w:rPr>
        <w:t>C</w:t>
      </w:r>
      <w:r w:rsidR="00B04A2E">
        <w:rPr>
          <w:rFonts w:ascii="Calibri" w:eastAsia="Times New Roman" w:hAnsi="Calibri" w:cs="Calibri"/>
          <w:color w:val="auto"/>
          <w:sz w:val="22"/>
          <w:szCs w:val="22"/>
        </w:rPr>
        <w:t>ô</w:t>
      </w:r>
      <w:r w:rsidR="005C55DC" w:rsidRPr="001E6EDD">
        <w:rPr>
          <w:rFonts w:ascii="Calibri" w:eastAsia="Times New Roman" w:hAnsi="Calibri" w:cs="Times New Roman"/>
          <w:color w:val="auto"/>
          <w:sz w:val="22"/>
          <w:szCs w:val="22"/>
        </w:rPr>
        <w:t>te d’Ivoire</w:t>
      </w:r>
      <w:r w:rsidR="005C55DC">
        <w:rPr>
          <w:rFonts w:ascii="Calibri" w:eastAsia="Times New Roman" w:hAnsi="Calibri" w:cs="Times New Roman"/>
          <w:color w:val="auto"/>
          <w:sz w:val="22"/>
          <w:szCs w:val="22"/>
        </w:rPr>
        <w:t xml:space="preserve"> </w:t>
      </w:r>
      <w:r w:rsidR="005F3FAD">
        <w:rPr>
          <w:rFonts w:ascii="Calibri" w:eastAsia="Times New Roman" w:hAnsi="Calibri" w:cs="Times New Roman"/>
          <w:color w:val="auto"/>
          <w:sz w:val="22"/>
          <w:szCs w:val="22"/>
        </w:rPr>
        <w:t>c</w:t>
      </w:r>
      <w:r w:rsidR="005F3FAD" w:rsidRPr="00B74237">
        <w:rPr>
          <w:rFonts w:ascii="Calibri" w:eastAsia="Times New Roman" w:hAnsi="Calibri" w:cs="Times New Roman"/>
          <w:color w:val="auto"/>
          <w:sz w:val="22"/>
          <w:szCs w:val="22"/>
        </w:rPr>
        <w:t>enter</w:t>
      </w:r>
      <w:r w:rsidR="005F3FAD">
        <w:rPr>
          <w:rFonts w:ascii="Calibri" w:eastAsia="Times New Roman" w:hAnsi="Calibri" w:cs="Times New Roman"/>
          <w:color w:val="auto"/>
          <w:sz w:val="22"/>
          <w:szCs w:val="22"/>
        </w:rPr>
        <w:t>s</w:t>
      </w:r>
      <w:r w:rsidR="005F3FAD" w:rsidRPr="00B74237">
        <w:rPr>
          <w:rFonts w:ascii="Calibri" w:eastAsia="Times New Roman" w:hAnsi="Calibri" w:cs="Times New Roman"/>
          <w:color w:val="auto"/>
          <w:sz w:val="22"/>
          <w:szCs w:val="22"/>
        </w:rPr>
        <w:t xml:space="preserve">, including </w:t>
      </w:r>
      <w:r w:rsidR="002F1758">
        <w:rPr>
          <w:rFonts w:ascii="Calibri" w:eastAsia="Times New Roman" w:hAnsi="Calibri" w:cs="Times New Roman"/>
          <w:color w:val="auto"/>
          <w:sz w:val="22"/>
          <w:szCs w:val="22"/>
        </w:rPr>
        <w:t>FM</w:t>
      </w:r>
      <w:r w:rsidR="005F3FAD" w:rsidRPr="00B74237">
        <w:rPr>
          <w:rFonts w:ascii="Calibri" w:eastAsia="Times New Roman" w:hAnsi="Calibri" w:cs="Times New Roman"/>
          <w:color w:val="auto"/>
          <w:sz w:val="22"/>
          <w:szCs w:val="22"/>
        </w:rPr>
        <w:t xml:space="preserve">, procurement and safeguards. </w:t>
      </w:r>
      <w:r w:rsidR="005D7227" w:rsidRPr="005D7227">
        <w:rPr>
          <w:rFonts w:ascii="Calibri" w:eastAsia="Times New Roman" w:hAnsi="Calibri" w:cs="Times New Roman"/>
          <w:color w:val="auto"/>
          <w:sz w:val="22"/>
          <w:szCs w:val="22"/>
        </w:rPr>
        <w:t xml:space="preserve">The AFD will </w:t>
      </w:r>
      <w:r w:rsidR="004B451E">
        <w:rPr>
          <w:rFonts w:ascii="Calibri" w:eastAsia="Times New Roman" w:hAnsi="Calibri" w:cs="Times New Roman"/>
          <w:color w:val="auto"/>
          <w:sz w:val="22"/>
          <w:szCs w:val="22"/>
        </w:rPr>
        <w:t>have the oversight responsibilities (</w:t>
      </w:r>
      <w:r w:rsidR="005D7227" w:rsidRPr="005D7227">
        <w:rPr>
          <w:rFonts w:ascii="Calibri" w:eastAsia="Times New Roman" w:hAnsi="Calibri" w:cs="Times New Roman"/>
          <w:color w:val="auto"/>
          <w:sz w:val="22"/>
          <w:szCs w:val="22"/>
        </w:rPr>
        <w:t>technical and fiduciary</w:t>
      </w:r>
      <w:r w:rsidR="004B451E">
        <w:rPr>
          <w:rFonts w:ascii="Calibri" w:eastAsia="Times New Roman" w:hAnsi="Calibri" w:cs="Times New Roman"/>
          <w:color w:val="auto"/>
          <w:sz w:val="22"/>
          <w:szCs w:val="22"/>
        </w:rPr>
        <w:t>)</w:t>
      </w:r>
      <w:r w:rsidR="005D7227" w:rsidRPr="005D7227">
        <w:rPr>
          <w:rFonts w:ascii="Calibri" w:eastAsia="Times New Roman" w:hAnsi="Calibri" w:cs="Times New Roman"/>
          <w:color w:val="auto"/>
          <w:sz w:val="22"/>
          <w:szCs w:val="22"/>
        </w:rPr>
        <w:t xml:space="preserve"> </w:t>
      </w:r>
      <w:r w:rsidR="00427E18">
        <w:rPr>
          <w:rFonts w:ascii="Calibri" w:eastAsia="Times New Roman" w:hAnsi="Calibri" w:cs="Times New Roman"/>
          <w:color w:val="auto"/>
          <w:sz w:val="22"/>
          <w:szCs w:val="22"/>
        </w:rPr>
        <w:t xml:space="preserve">such </w:t>
      </w:r>
      <w:r w:rsidR="004249EE">
        <w:rPr>
          <w:rFonts w:ascii="Calibri" w:eastAsia="Times New Roman" w:hAnsi="Calibri" w:cs="Times New Roman"/>
          <w:color w:val="auto"/>
          <w:sz w:val="22"/>
          <w:szCs w:val="22"/>
        </w:rPr>
        <w:t xml:space="preserve">that, </w:t>
      </w:r>
      <w:r w:rsidR="004249EE" w:rsidRPr="00B74237">
        <w:rPr>
          <w:rFonts w:ascii="Calibri" w:eastAsia="Times New Roman" w:hAnsi="Calibri" w:cs="Times New Roman"/>
          <w:color w:val="auto"/>
          <w:sz w:val="22"/>
          <w:szCs w:val="22"/>
        </w:rPr>
        <w:t>the</w:t>
      </w:r>
      <w:r w:rsidRPr="00B74237">
        <w:rPr>
          <w:rFonts w:ascii="Calibri" w:eastAsia="Times New Roman" w:hAnsi="Calibri" w:cs="Times New Roman"/>
          <w:color w:val="auto"/>
          <w:sz w:val="22"/>
          <w:szCs w:val="22"/>
        </w:rPr>
        <w:t xml:space="preserve"> </w:t>
      </w:r>
      <w:r>
        <w:rPr>
          <w:rFonts w:ascii="Calibri" w:eastAsia="Times New Roman" w:hAnsi="Calibri" w:cs="Times New Roman"/>
          <w:color w:val="auto"/>
          <w:sz w:val="22"/>
          <w:szCs w:val="22"/>
        </w:rPr>
        <w:t>World Bank</w:t>
      </w:r>
      <w:r w:rsidRPr="00B74237">
        <w:rPr>
          <w:rFonts w:ascii="Calibri" w:eastAsia="Times New Roman" w:hAnsi="Calibri" w:cs="Times New Roman"/>
          <w:color w:val="auto"/>
          <w:sz w:val="22"/>
          <w:szCs w:val="22"/>
        </w:rPr>
        <w:t xml:space="preserve"> will</w:t>
      </w:r>
      <w:r w:rsidR="00313754">
        <w:rPr>
          <w:rFonts w:ascii="Calibri" w:eastAsia="Times New Roman" w:hAnsi="Calibri" w:cs="Times New Roman"/>
          <w:color w:val="auto"/>
          <w:sz w:val="22"/>
          <w:szCs w:val="22"/>
        </w:rPr>
        <w:t>,</w:t>
      </w:r>
      <w:r w:rsidRPr="00B74237">
        <w:rPr>
          <w:rFonts w:ascii="Calibri" w:eastAsia="Times New Roman" w:hAnsi="Calibri" w:cs="Times New Roman"/>
          <w:color w:val="auto"/>
          <w:sz w:val="22"/>
          <w:szCs w:val="22"/>
        </w:rPr>
        <w:t xml:space="preserve"> </w:t>
      </w:r>
      <w:r w:rsidR="00427E18">
        <w:rPr>
          <w:rFonts w:ascii="Calibri" w:eastAsia="Times New Roman" w:hAnsi="Calibri" w:cs="Times New Roman"/>
          <w:color w:val="auto"/>
          <w:sz w:val="22"/>
          <w:szCs w:val="22"/>
        </w:rPr>
        <w:t xml:space="preserve">for example, </w:t>
      </w:r>
      <w:r w:rsidRPr="00B74237">
        <w:rPr>
          <w:rFonts w:ascii="Calibri" w:eastAsia="Times New Roman" w:hAnsi="Calibri" w:cs="Times New Roman"/>
          <w:color w:val="auto"/>
          <w:sz w:val="22"/>
          <w:szCs w:val="22"/>
        </w:rPr>
        <w:t>not be responsible for the no-objections, the review of the IFRs or procurement audit</w:t>
      </w:r>
      <w:r>
        <w:rPr>
          <w:rFonts w:ascii="Calibri" w:eastAsia="Times New Roman" w:hAnsi="Calibri" w:cs="Times New Roman"/>
          <w:color w:val="auto"/>
          <w:sz w:val="22"/>
          <w:szCs w:val="22"/>
        </w:rPr>
        <w:t>s</w:t>
      </w:r>
      <w:r w:rsidRPr="00B74237">
        <w:rPr>
          <w:rFonts w:ascii="Calibri" w:eastAsia="Times New Roman" w:hAnsi="Calibri" w:cs="Times New Roman"/>
          <w:color w:val="auto"/>
          <w:sz w:val="22"/>
          <w:szCs w:val="22"/>
        </w:rPr>
        <w:t xml:space="preserve"> for the </w:t>
      </w:r>
      <w:r>
        <w:rPr>
          <w:rFonts w:ascii="Calibri" w:eastAsia="Times New Roman" w:hAnsi="Calibri" w:cs="Times New Roman"/>
          <w:color w:val="auto"/>
          <w:sz w:val="22"/>
          <w:szCs w:val="22"/>
        </w:rPr>
        <w:t>Centers</w:t>
      </w:r>
      <w:r w:rsidRPr="00B74237">
        <w:rPr>
          <w:rFonts w:ascii="Calibri" w:eastAsia="Times New Roman" w:hAnsi="Calibri" w:cs="Times New Roman"/>
          <w:color w:val="auto"/>
          <w:sz w:val="22"/>
          <w:szCs w:val="22"/>
        </w:rPr>
        <w:t xml:space="preserve"> in C</w:t>
      </w:r>
      <w:r w:rsidR="00B04A2E">
        <w:rPr>
          <w:rFonts w:ascii="Calibri" w:eastAsia="Times New Roman" w:hAnsi="Calibri" w:cs="Calibri"/>
          <w:color w:val="auto"/>
          <w:sz w:val="22"/>
          <w:szCs w:val="22"/>
        </w:rPr>
        <w:t>ô</w:t>
      </w:r>
      <w:r w:rsidRPr="00B74237">
        <w:rPr>
          <w:rFonts w:ascii="Calibri" w:eastAsia="Times New Roman" w:hAnsi="Calibri" w:cs="Times New Roman"/>
          <w:color w:val="auto"/>
          <w:sz w:val="22"/>
          <w:szCs w:val="22"/>
        </w:rPr>
        <w:t xml:space="preserve">te d’Ivoire. All </w:t>
      </w:r>
      <w:r w:rsidR="00313754">
        <w:rPr>
          <w:rFonts w:ascii="Calibri" w:eastAsia="Times New Roman" w:hAnsi="Calibri" w:cs="Times New Roman"/>
          <w:color w:val="auto"/>
          <w:sz w:val="22"/>
          <w:szCs w:val="22"/>
        </w:rPr>
        <w:t xml:space="preserve">of </w:t>
      </w:r>
      <w:r w:rsidRPr="00B74237">
        <w:rPr>
          <w:rFonts w:ascii="Calibri" w:eastAsia="Times New Roman" w:hAnsi="Calibri" w:cs="Times New Roman"/>
          <w:color w:val="auto"/>
          <w:sz w:val="22"/>
          <w:szCs w:val="22"/>
        </w:rPr>
        <w:t>these supervision functions will be undertaken by the AFD</w:t>
      </w:r>
      <w:r>
        <w:rPr>
          <w:rFonts w:ascii="Calibri" w:eastAsia="Times New Roman" w:hAnsi="Calibri" w:cs="Times New Roman"/>
          <w:color w:val="auto"/>
          <w:sz w:val="22"/>
          <w:szCs w:val="22"/>
        </w:rPr>
        <w:t>,</w:t>
      </w:r>
      <w:r w:rsidRPr="00B74237">
        <w:rPr>
          <w:rFonts w:ascii="Calibri" w:eastAsia="Times New Roman" w:hAnsi="Calibri" w:cs="Times New Roman"/>
          <w:color w:val="auto"/>
          <w:sz w:val="22"/>
          <w:szCs w:val="22"/>
        </w:rPr>
        <w:t xml:space="preserve"> given there is no IDA financing </w:t>
      </w:r>
      <w:r w:rsidR="00D5105F">
        <w:rPr>
          <w:rFonts w:ascii="Calibri" w:eastAsia="Times New Roman" w:hAnsi="Calibri" w:cs="Times New Roman"/>
          <w:color w:val="auto"/>
          <w:sz w:val="22"/>
          <w:szCs w:val="22"/>
        </w:rPr>
        <w:t xml:space="preserve">for the proposed Second ACE Impact Project </w:t>
      </w:r>
      <w:r w:rsidRPr="00B74237">
        <w:rPr>
          <w:rFonts w:ascii="Calibri" w:eastAsia="Times New Roman" w:hAnsi="Calibri" w:cs="Times New Roman"/>
          <w:color w:val="auto"/>
          <w:sz w:val="22"/>
          <w:szCs w:val="22"/>
        </w:rPr>
        <w:t>in C</w:t>
      </w:r>
      <w:r w:rsidR="00B04A2E">
        <w:rPr>
          <w:rFonts w:ascii="Calibri" w:eastAsia="Times New Roman" w:hAnsi="Calibri" w:cs="Calibri"/>
          <w:color w:val="auto"/>
          <w:sz w:val="22"/>
          <w:szCs w:val="22"/>
        </w:rPr>
        <w:t>ô</w:t>
      </w:r>
      <w:r w:rsidRPr="00B74237">
        <w:rPr>
          <w:rFonts w:ascii="Calibri" w:eastAsia="Times New Roman" w:hAnsi="Calibri" w:cs="Times New Roman"/>
          <w:color w:val="auto"/>
          <w:sz w:val="22"/>
          <w:szCs w:val="22"/>
        </w:rPr>
        <w:t xml:space="preserve">te d’Ivoire. </w:t>
      </w:r>
    </w:p>
    <w:p w14:paraId="743E569A" w14:textId="77777777" w:rsidR="002B0E58" w:rsidRPr="002B0E58" w:rsidRDefault="00B00100" w:rsidP="008E2709">
      <w:pPr>
        <w:widowControl/>
        <w:numPr>
          <w:ilvl w:val="0"/>
          <w:numId w:val="65"/>
        </w:numPr>
        <w:tabs>
          <w:tab w:val="left" w:pos="0"/>
        </w:tabs>
        <w:autoSpaceDE/>
        <w:autoSpaceDN/>
        <w:adjustRightInd/>
        <w:spacing w:after="160"/>
        <w:ind w:right="720"/>
        <w:jc w:val="both"/>
        <w:rPr>
          <w:rFonts w:ascii="Calibri" w:eastAsia="Times New Roman" w:hAnsi="Calibri" w:cs="Times New Roman"/>
          <w:color w:val="auto"/>
          <w:sz w:val="22"/>
          <w:szCs w:val="22"/>
        </w:rPr>
      </w:pPr>
      <w:r w:rsidRPr="00EA2CA7">
        <w:rPr>
          <w:rFonts w:ascii="Calibri" w:eastAsia="Times New Roman" w:hAnsi="Calibri" w:cs="Calibri"/>
          <w:b/>
          <w:bCs/>
          <w:spacing w:val="-1"/>
          <w:sz w:val="22"/>
          <w:szCs w:val="22"/>
        </w:rPr>
        <w:t>For</w:t>
      </w:r>
      <w:r>
        <w:rPr>
          <w:rFonts w:ascii="Calibri" w:eastAsia="Times New Roman" w:hAnsi="Calibri" w:cs="Calibri"/>
          <w:b/>
          <w:bCs/>
          <w:spacing w:val="-1"/>
          <w:sz w:val="22"/>
          <w:szCs w:val="22"/>
        </w:rPr>
        <w:t xml:space="preserve"> Benin and Nigeria</w:t>
      </w:r>
      <w:r w:rsidRPr="00EA2CA7">
        <w:rPr>
          <w:rFonts w:ascii="Calibri" w:eastAsia="Times New Roman" w:hAnsi="Calibri" w:cs="Calibri"/>
          <w:b/>
          <w:bCs/>
          <w:spacing w:val="-1"/>
          <w:sz w:val="22"/>
          <w:szCs w:val="22"/>
        </w:rPr>
        <w:t>, the financing of the DLIs will be based on the proportion of the overall financing to the country.</w:t>
      </w:r>
      <w:r w:rsidRPr="00EA2CA7">
        <w:rPr>
          <w:rFonts w:ascii="Calibri" w:eastAsia="Times New Roman" w:hAnsi="Calibri" w:cs="Times New Roman"/>
          <w:color w:val="auto"/>
          <w:sz w:val="22"/>
          <w:szCs w:val="22"/>
        </w:rPr>
        <w:t xml:space="preserve"> Thus, for example</w:t>
      </w:r>
      <w:r w:rsidR="00A82A7D">
        <w:rPr>
          <w:rFonts w:ascii="Calibri" w:eastAsia="Times New Roman" w:hAnsi="Calibri" w:cs="Times New Roman"/>
          <w:color w:val="auto"/>
          <w:sz w:val="22"/>
          <w:szCs w:val="22"/>
        </w:rPr>
        <w:t>,</w:t>
      </w:r>
      <w:r w:rsidRPr="00EA2CA7">
        <w:rPr>
          <w:rFonts w:ascii="Calibri" w:eastAsia="Times New Roman" w:hAnsi="Calibri" w:cs="Times New Roman"/>
          <w:color w:val="auto"/>
          <w:sz w:val="22"/>
          <w:szCs w:val="22"/>
        </w:rPr>
        <w:t xml:space="preserve"> in the case of Benin, the World Bank is contributing </w:t>
      </w:r>
      <w:r w:rsidR="005C00C0">
        <w:rPr>
          <w:rFonts w:ascii="Calibri" w:eastAsia="Times New Roman" w:hAnsi="Calibri" w:cs="Times New Roman"/>
          <w:color w:val="auto"/>
          <w:sz w:val="22"/>
          <w:szCs w:val="22"/>
        </w:rPr>
        <w:t>26</w:t>
      </w:r>
      <w:r w:rsidRPr="00EA2CA7">
        <w:rPr>
          <w:rFonts w:ascii="Calibri" w:eastAsia="Times New Roman" w:hAnsi="Calibri" w:cs="Times New Roman"/>
          <w:color w:val="auto"/>
          <w:sz w:val="22"/>
          <w:szCs w:val="22"/>
        </w:rPr>
        <w:t xml:space="preserve"> percent of the funding</w:t>
      </w:r>
      <w:r w:rsidR="00D052CD">
        <w:rPr>
          <w:rFonts w:ascii="Calibri" w:eastAsia="Times New Roman" w:hAnsi="Calibri" w:cs="Times New Roman"/>
          <w:color w:val="auto"/>
          <w:sz w:val="22"/>
          <w:szCs w:val="22"/>
        </w:rPr>
        <w:t xml:space="preserve"> to</w:t>
      </w:r>
      <w:r w:rsidR="005C00C0">
        <w:rPr>
          <w:rFonts w:ascii="Calibri" w:eastAsia="Times New Roman" w:hAnsi="Calibri" w:cs="Times New Roman"/>
          <w:color w:val="auto"/>
          <w:sz w:val="22"/>
          <w:szCs w:val="22"/>
        </w:rPr>
        <w:t>wards</w:t>
      </w:r>
      <w:r w:rsidR="00D052CD">
        <w:rPr>
          <w:rFonts w:ascii="Calibri" w:eastAsia="Times New Roman" w:hAnsi="Calibri" w:cs="Times New Roman"/>
          <w:color w:val="auto"/>
          <w:sz w:val="22"/>
          <w:szCs w:val="22"/>
        </w:rPr>
        <w:t xml:space="preserve"> the DLIs</w:t>
      </w:r>
      <w:r w:rsidRPr="00EA2CA7">
        <w:rPr>
          <w:rFonts w:ascii="Calibri" w:eastAsia="Times New Roman" w:hAnsi="Calibri" w:cs="Times New Roman"/>
          <w:color w:val="auto"/>
          <w:sz w:val="22"/>
          <w:szCs w:val="22"/>
        </w:rPr>
        <w:t xml:space="preserve"> and AFD is contributing </w:t>
      </w:r>
      <w:r w:rsidR="005C00C0">
        <w:rPr>
          <w:rFonts w:ascii="Calibri" w:eastAsia="Times New Roman" w:hAnsi="Calibri" w:cs="Times New Roman"/>
          <w:color w:val="auto"/>
          <w:sz w:val="22"/>
          <w:szCs w:val="22"/>
        </w:rPr>
        <w:t>74</w:t>
      </w:r>
      <w:r w:rsidRPr="00EA2CA7">
        <w:rPr>
          <w:rFonts w:ascii="Calibri" w:eastAsia="Times New Roman" w:hAnsi="Calibri" w:cs="Times New Roman"/>
          <w:color w:val="auto"/>
          <w:sz w:val="22"/>
          <w:szCs w:val="22"/>
        </w:rPr>
        <w:t xml:space="preserve"> percent of the funding</w:t>
      </w:r>
      <w:r w:rsidR="006C6BFC">
        <w:rPr>
          <w:rFonts w:ascii="Calibri" w:eastAsia="Times New Roman" w:hAnsi="Calibri" w:cs="Times New Roman"/>
          <w:color w:val="auto"/>
          <w:sz w:val="22"/>
          <w:szCs w:val="22"/>
        </w:rPr>
        <w:t>.</w:t>
      </w:r>
      <w:r>
        <w:rPr>
          <w:rFonts w:ascii="Calibri" w:eastAsia="Times New Roman" w:hAnsi="Calibri" w:cs="Times New Roman"/>
          <w:color w:val="auto"/>
          <w:sz w:val="22"/>
          <w:szCs w:val="22"/>
        </w:rPr>
        <w:t xml:space="preserve"> </w:t>
      </w:r>
      <w:r w:rsidR="006C6BFC">
        <w:rPr>
          <w:rFonts w:ascii="Calibri" w:eastAsia="Times New Roman" w:hAnsi="Calibri" w:cs="Times New Roman"/>
          <w:color w:val="auto"/>
          <w:sz w:val="22"/>
          <w:szCs w:val="22"/>
        </w:rPr>
        <w:t>I</w:t>
      </w:r>
      <w:r w:rsidRPr="00EA2CA7">
        <w:rPr>
          <w:rFonts w:ascii="Calibri" w:eastAsia="Times New Roman" w:hAnsi="Calibri" w:cs="Times New Roman"/>
          <w:color w:val="auto"/>
          <w:sz w:val="22"/>
          <w:szCs w:val="22"/>
        </w:rPr>
        <w:t>t is expected that each DLI will be financed based on this proposed allocation. In the case that the AFD financing is delayed</w:t>
      </w:r>
      <w:r w:rsidR="00D5105F">
        <w:rPr>
          <w:rFonts w:ascii="Calibri" w:eastAsia="Times New Roman" w:hAnsi="Calibri" w:cs="Times New Roman"/>
          <w:color w:val="auto"/>
          <w:sz w:val="22"/>
          <w:szCs w:val="22"/>
        </w:rPr>
        <w:t xml:space="preserve"> and the centers are eligible to receive disbursements</w:t>
      </w:r>
      <w:r w:rsidRPr="00EA2CA7">
        <w:rPr>
          <w:rFonts w:ascii="Calibri" w:eastAsia="Times New Roman" w:hAnsi="Calibri" w:cs="Times New Roman"/>
          <w:color w:val="auto"/>
          <w:sz w:val="22"/>
          <w:szCs w:val="22"/>
        </w:rPr>
        <w:t>, it is possible that the W</w:t>
      </w:r>
      <w:r>
        <w:rPr>
          <w:rFonts w:ascii="Calibri" w:eastAsia="Times New Roman" w:hAnsi="Calibri" w:cs="Times New Roman"/>
          <w:color w:val="auto"/>
          <w:sz w:val="22"/>
          <w:szCs w:val="22"/>
        </w:rPr>
        <w:t>orld Bank</w:t>
      </w:r>
      <w:r w:rsidRPr="00EA2CA7">
        <w:rPr>
          <w:rFonts w:ascii="Calibri" w:eastAsia="Times New Roman" w:hAnsi="Calibri" w:cs="Times New Roman"/>
          <w:color w:val="auto"/>
          <w:sz w:val="22"/>
          <w:szCs w:val="22"/>
        </w:rPr>
        <w:t xml:space="preserve"> financing for the achieved DLIs is processed to reflect the availability of only one financier </w:t>
      </w:r>
      <w:r>
        <w:rPr>
          <w:rFonts w:ascii="Calibri" w:eastAsia="Times New Roman" w:hAnsi="Calibri" w:cs="Times New Roman"/>
          <w:color w:val="auto"/>
          <w:sz w:val="22"/>
          <w:szCs w:val="22"/>
        </w:rPr>
        <w:t xml:space="preserve">(the World Bank) </w:t>
      </w:r>
      <w:r w:rsidRPr="00EA2CA7">
        <w:rPr>
          <w:rFonts w:ascii="Calibri" w:eastAsia="Times New Roman" w:hAnsi="Calibri" w:cs="Times New Roman"/>
          <w:color w:val="auto"/>
          <w:sz w:val="22"/>
          <w:szCs w:val="22"/>
        </w:rPr>
        <w:t xml:space="preserve">at the time of disbursement.  </w:t>
      </w:r>
      <w:r w:rsidR="00792E3F">
        <w:rPr>
          <w:rFonts w:ascii="Calibri" w:eastAsia="Times New Roman" w:hAnsi="Calibri" w:cs="Times New Roman"/>
          <w:color w:val="auto"/>
          <w:sz w:val="22"/>
          <w:szCs w:val="22"/>
        </w:rPr>
        <w:t xml:space="preserve">In such a case, subsequent </w:t>
      </w:r>
      <w:r w:rsidR="00CE588A">
        <w:rPr>
          <w:rFonts w:ascii="Calibri" w:eastAsia="Times New Roman" w:hAnsi="Calibri" w:cs="Times New Roman"/>
          <w:color w:val="auto"/>
          <w:sz w:val="22"/>
          <w:szCs w:val="22"/>
        </w:rPr>
        <w:t xml:space="preserve">financing </w:t>
      </w:r>
      <w:r w:rsidR="00792E3F">
        <w:rPr>
          <w:rFonts w:ascii="Calibri" w:eastAsia="Times New Roman" w:hAnsi="Calibri" w:cs="Times New Roman"/>
          <w:color w:val="auto"/>
          <w:sz w:val="22"/>
          <w:szCs w:val="22"/>
        </w:rPr>
        <w:t>proportion on the disbursement will be updated to reflect</w:t>
      </w:r>
      <w:r w:rsidR="00CE588A">
        <w:rPr>
          <w:rFonts w:ascii="Calibri" w:eastAsia="Times New Roman" w:hAnsi="Calibri" w:cs="Times New Roman"/>
          <w:color w:val="auto"/>
          <w:sz w:val="22"/>
          <w:szCs w:val="22"/>
        </w:rPr>
        <w:t xml:space="preserve"> </w:t>
      </w:r>
      <w:r w:rsidR="000358E0">
        <w:rPr>
          <w:rFonts w:ascii="Calibri" w:eastAsia="Times New Roman" w:hAnsi="Calibri" w:cs="Times New Roman"/>
          <w:color w:val="auto"/>
          <w:sz w:val="22"/>
          <w:szCs w:val="22"/>
        </w:rPr>
        <w:t>the situation</w:t>
      </w:r>
      <w:r w:rsidR="00792E3F">
        <w:rPr>
          <w:rFonts w:ascii="Calibri" w:eastAsia="Times New Roman" w:hAnsi="Calibri" w:cs="Times New Roman"/>
          <w:color w:val="auto"/>
          <w:sz w:val="22"/>
          <w:szCs w:val="22"/>
        </w:rPr>
        <w:t xml:space="preserve">. </w:t>
      </w:r>
      <w:r w:rsidRPr="00EA2CA7">
        <w:rPr>
          <w:rFonts w:ascii="Calibri" w:eastAsia="Times New Roman" w:hAnsi="Calibri" w:cs="Times New Roman"/>
          <w:color w:val="auto"/>
          <w:sz w:val="22"/>
          <w:szCs w:val="22"/>
        </w:rPr>
        <w:t xml:space="preserve">Specific details for each DLI will be provided in the </w:t>
      </w:r>
      <w:r w:rsidR="00D07E05">
        <w:rPr>
          <w:rFonts w:ascii="Calibri" w:eastAsia="Times New Roman" w:hAnsi="Calibri" w:cs="Times New Roman"/>
          <w:color w:val="auto"/>
          <w:sz w:val="22"/>
          <w:szCs w:val="22"/>
        </w:rPr>
        <w:t>PO</w:t>
      </w:r>
      <w:r w:rsidRPr="00EA2CA7">
        <w:rPr>
          <w:rFonts w:ascii="Calibri" w:eastAsia="Times New Roman" w:hAnsi="Calibri" w:cs="Times New Roman"/>
          <w:color w:val="auto"/>
          <w:sz w:val="22"/>
          <w:szCs w:val="22"/>
        </w:rPr>
        <w:t xml:space="preserve">. In the case of Nigeria, AFD will provide financing to all Centers except </w:t>
      </w:r>
      <w:r>
        <w:rPr>
          <w:rFonts w:ascii="Calibri" w:eastAsia="Times New Roman" w:hAnsi="Calibri" w:cs="Times New Roman"/>
          <w:color w:val="auto"/>
          <w:sz w:val="22"/>
          <w:szCs w:val="22"/>
        </w:rPr>
        <w:t xml:space="preserve">the </w:t>
      </w:r>
      <w:r w:rsidRPr="00A6061C">
        <w:rPr>
          <w:rFonts w:ascii="Calibri" w:eastAsia="Times New Roman" w:hAnsi="Calibri" w:cs="Times New Roman"/>
          <w:color w:val="auto"/>
          <w:sz w:val="22"/>
          <w:szCs w:val="22"/>
        </w:rPr>
        <w:t>ACE</w:t>
      </w:r>
      <w:r>
        <w:rPr>
          <w:rFonts w:ascii="Calibri" w:eastAsia="Times New Roman" w:hAnsi="Calibri" w:cs="Times New Roman"/>
          <w:color w:val="auto"/>
          <w:sz w:val="22"/>
          <w:szCs w:val="22"/>
        </w:rPr>
        <w:t xml:space="preserve"> in</w:t>
      </w:r>
      <w:r w:rsidRPr="00A6061C">
        <w:rPr>
          <w:rFonts w:ascii="Calibri" w:eastAsia="Times New Roman" w:hAnsi="Calibri" w:cs="Times New Roman"/>
          <w:color w:val="auto"/>
          <w:sz w:val="22"/>
          <w:szCs w:val="22"/>
        </w:rPr>
        <w:t xml:space="preserve"> Oilfield Chemicals Research (CEFOR</w:t>
      </w:r>
      <w:r>
        <w:rPr>
          <w:rFonts w:ascii="Calibri" w:eastAsia="Times New Roman" w:hAnsi="Calibri" w:cs="Times New Roman"/>
          <w:color w:val="auto"/>
          <w:sz w:val="22"/>
          <w:szCs w:val="22"/>
        </w:rPr>
        <w:t>)</w:t>
      </w:r>
      <w:r w:rsidRPr="00EA2CA7">
        <w:rPr>
          <w:rFonts w:ascii="Calibri" w:eastAsia="Times New Roman" w:hAnsi="Calibri" w:cs="Times New Roman"/>
          <w:color w:val="auto"/>
          <w:sz w:val="22"/>
          <w:szCs w:val="22"/>
        </w:rPr>
        <w:t xml:space="preserve">, </w:t>
      </w:r>
      <w:r>
        <w:rPr>
          <w:rFonts w:ascii="Calibri" w:eastAsia="Times New Roman" w:hAnsi="Calibri" w:cs="Times New Roman"/>
          <w:color w:val="auto"/>
          <w:sz w:val="22"/>
          <w:szCs w:val="22"/>
        </w:rPr>
        <w:t xml:space="preserve">at the </w:t>
      </w:r>
      <w:r w:rsidR="007B0E25">
        <w:rPr>
          <w:rFonts w:ascii="Calibri" w:eastAsia="Times New Roman" w:hAnsi="Calibri" w:cs="Times New Roman"/>
          <w:color w:val="auto"/>
          <w:sz w:val="22"/>
          <w:szCs w:val="22"/>
        </w:rPr>
        <w:t>UniPort</w:t>
      </w:r>
      <w:r>
        <w:rPr>
          <w:rFonts w:ascii="Calibri" w:eastAsia="Times New Roman" w:hAnsi="Calibri" w:cs="Times New Roman"/>
          <w:color w:val="auto"/>
          <w:sz w:val="22"/>
          <w:szCs w:val="22"/>
        </w:rPr>
        <w:t xml:space="preserve">, </w:t>
      </w:r>
      <w:r w:rsidRPr="00EA2CA7">
        <w:rPr>
          <w:rFonts w:ascii="Calibri" w:eastAsia="Times New Roman" w:hAnsi="Calibri" w:cs="Times New Roman"/>
          <w:color w:val="auto"/>
          <w:sz w:val="22"/>
          <w:szCs w:val="22"/>
        </w:rPr>
        <w:t>thus it is expected that AFD will provide financing to a total of 1</w:t>
      </w:r>
      <w:r>
        <w:rPr>
          <w:rFonts w:ascii="Calibri" w:eastAsia="Times New Roman" w:hAnsi="Calibri" w:cs="Times New Roman"/>
          <w:color w:val="auto"/>
          <w:sz w:val="22"/>
          <w:szCs w:val="22"/>
        </w:rPr>
        <w:t>6</w:t>
      </w:r>
      <w:r w:rsidRPr="00EA2CA7">
        <w:rPr>
          <w:rFonts w:ascii="Calibri" w:eastAsia="Times New Roman" w:hAnsi="Calibri" w:cs="Times New Roman"/>
          <w:color w:val="auto"/>
          <w:sz w:val="22"/>
          <w:szCs w:val="22"/>
        </w:rPr>
        <w:t xml:space="preserve"> Centers in Nigeria. </w:t>
      </w:r>
      <w:r>
        <w:rPr>
          <w:rFonts w:ascii="Calibri" w:eastAsia="Times New Roman" w:hAnsi="Calibri" w:cs="Times New Roman"/>
          <w:color w:val="auto"/>
          <w:sz w:val="22"/>
          <w:szCs w:val="22"/>
        </w:rPr>
        <w:t>In Nigeria, th</w:t>
      </w:r>
      <w:r w:rsidRPr="00EA2CA7">
        <w:rPr>
          <w:rFonts w:ascii="Calibri" w:eastAsia="Times New Roman" w:hAnsi="Calibri" w:cs="Times New Roman"/>
          <w:color w:val="auto"/>
          <w:sz w:val="22"/>
          <w:szCs w:val="22"/>
        </w:rPr>
        <w:t xml:space="preserve">e financing of the DLIs will be based on a </w:t>
      </w:r>
      <w:r w:rsidR="009461E3">
        <w:rPr>
          <w:rFonts w:ascii="Calibri" w:eastAsia="Times New Roman" w:hAnsi="Calibri" w:cs="Times New Roman"/>
          <w:color w:val="auto"/>
          <w:sz w:val="22"/>
          <w:szCs w:val="22"/>
        </w:rPr>
        <w:t>6</w:t>
      </w:r>
      <w:r w:rsidR="008A4729">
        <w:rPr>
          <w:rFonts w:ascii="Calibri" w:eastAsia="Times New Roman" w:hAnsi="Calibri" w:cs="Times New Roman"/>
          <w:color w:val="auto"/>
          <w:sz w:val="22"/>
          <w:szCs w:val="22"/>
        </w:rPr>
        <w:t>2</w:t>
      </w:r>
      <w:r w:rsidR="008A4729" w:rsidRPr="00EA2CA7">
        <w:rPr>
          <w:rFonts w:ascii="Calibri" w:eastAsia="Times New Roman" w:hAnsi="Calibri" w:cs="Times New Roman"/>
          <w:color w:val="auto"/>
          <w:sz w:val="22"/>
          <w:szCs w:val="22"/>
        </w:rPr>
        <w:t xml:space="preserve"> </w:t>
      </w:r>
      <w:r w:rsidRPr="00EA2CA7">
        <w:rPr>
          <w:rFonts w:ascii="Calibri" w:eastAsia="Times New Roman" w:hAnsi="Calibri" w:cs="Times New Roman"/>
          <w:color w:val="auto"/>
          <w:sz w:val="22"/>
          <w:szCs w:val="22"/>
        </w:rPr>
        <w:t xml:space="preserve">percent contribution from </w:t>
      </w:r>
      <w:r>
        <w:rPr>
          <w:rFonts w:ascii="Calibri" w:eastAsia="Times New Roman" w:hAnsi="Calibri" w:cs="Times New Roman"/>
          <w:color w:val="auto"/>
          <w:sz w:val="22"/>
          <w:szCs w:val="22"/>
        </w:rPr>
        <w:t>the World Bank</w:t>
      </w:r>
      <w:r w:rsidRPr="00EA2CA7">
        <w:rPr>
          <w:rFonts w:ascii="Calibri" w:eastAsia="Times New Roman" w:hAnsi="Calibri" w:cs="Times New Roman"/>
          <w:color w:val="auto"/>
          <w:sz w:val="22"/>
          <w:szCs w:val="22"/>
        </w:rPr>
        <w:t xml:space="preserve"> and </w:t>
      </w:r>
      <w:r w:rsidR="009461E3">
        <w:rPr>
          <w:rFonts w:ascii="Calibri" w:eastAsia="Times New Roman" w:hAnsi="Calibri" w:cs="Times New Roman"/>
          <w:color w:val="auto"/>
          <w:sz w:val="22"/>
          <w:szCs w:val="22"/>
        </w:rPr>
        <w:t>38</w:t>
      </w:r>
      <w:r w:rsidR="009461E3" w:rsidRPr="00EA2CA7">
        <w:rPr>
          <w:rFonts w:ascii="Calibri" w:eastAsia="Times New Roman" w:hAnsi="Calibri" w:cs="Times New Roman"/>
          <w:color w:val="auto"/>
          <w:sz w:val="22"/>
          <w:szCs w:val="22"/>
        </w:rPr>
        <w:t xml:space="preserve"> </w:t>
      </w:r>
      <w:r w:rsidRPr="00EA2CA7">
        <w:rPr>
          <w:rFonts w:ascii="Calibri" w:eastAsia="Times New Roman" w:hAnsi="Calibri" w:cs="Times New Roman"/>
          <w:color w:val="auto"/>
          <w:sz w:val="22"/>
          <w:szCs w:val="22"/>
        </w:rPr>
        <w:t xml:space="preserve">percent contribution from AFD. </w:t>
      </w:r>
      <w:r>
        <w:rPr>
          <w:rFonts w:ascii="Calibri" w:eastAsia="Times New Roman" w:hAnsi="Calibri" w:cs="Times New Roman"/>
          <w:color w:val="auto"/>
          <w:sz w:val="22"/>
          <w:szCs w:val="22"/>
        </w:rPr>
        <w:t xml:space="preserve"> In case there is a delay in the financing, it is possible that the World Bank financing of the DLI is processed to reflect one financier. </w:t>
      </w:r>
      <w:r w:rsidR="00944EAB">
        <w:rPr>
          <w:rFonts w:ascii="Calibri" w:eastAsia="Times New Roman" w:hAnsi="Calibri" w:cs="Times New Roman"/>
          <w:color w:val="auto"/>
          <w:sz w:val="22"/>
          <w:szCs w:val="22"/>
        </w:rPr>
        <w:t xml:space="preserve">As in the case of Benin, if such a situation occurs, the subsequent financing portions of the DLIs will be updated to reflect the delay in the AFD financing. </w:t>
      </w:r>
    </w:p>
    <w:p w14:paraId="168D57D6" w14:textId="77777777" w:rsidR="00837AE1" w:rsidRPr="00EA2CA7"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b/>
          <w:color w:val="auto"/>
          <w:sz w:val="22"/>
          <w:szCs w:val="22"/>
          <w:lang w:eastAsia="ko-KR"/>
        </w:rPr>
      </w:pPr>
      <w:r w:rsidRPr="00EA2CA7">
        <w:rPr>
          <w:rFonts w:ascii="Calibri" w:eastAsia="Times New Roman" w:hAnsi="Calibri" w:cs="Times New Roman"/>
          <w:b/>
          <w:color w:val="auto"/>
          <w:sz w:val="22"/>
          <w:szCs w:val="22"/>
        </w:rPr>
        <w:t>At the country level, the W</w:t>
      </w:r>
      <w:r>
        <w:rPr>
          <w:rFonts w:ascii="Calibri" w:eastAsia="Times New Roman" w:hAnsi="Calibri" w:cs="Times New Roman"/>
          <w:b/>
          <w:color w:val="auto"/>
          <w:sz w:val="22"/>
          <w:szCs w:val="22"/>
        </w:rPr>
        <w:t>orld Bank</w:t>
      </w:r>
      <w:r w:rsidRPr="00EA2CA7">
        <w:rPr>
          <w:rFonts w:ascii="Calibri" w:eastAsia="Times New Roman" w:hAnsi="Calibri" w:cs="Times New Roman"/>
          <w:b/>
          <w:color w:val="auto"/>
          <w:sz w:val="22"/>
          <w:szCs w:val="22"/>
        </w:rPr>
        <w:t xml:space="preserve"> will undertake the following technical and fiduciary oversight </w:t>
      </w:r>
      <w:r>
        <w:rPr>
          <w:rFonts w:ascii="Calibri" w:eastAsia="Times New Roman" w:hAnsi="Calibri" w:cs="Times New Roman"/>
          <w:b/>
          <w:color w:val="auto"/>
          <w:sz w:val="22"/>
          <w:szCs w:val="22"/>
        </w:rPr>
        <w:t>of</w:t>
      </w:r>
      <w:r w:rsidRPr="00EA2CA7">
        <w:rPr>
          <w:rFonts w:ascii="Calibri" w:eastAsia="Times New Roman" w:hAnsi="Calibri" w:cs="Times New Roman"/>
          <w:b/>
          <w:color w:val="auto"/>
          <w:sz w:val="22"/>
          <w:szCs w:val="22"/>
        </w:rPr>
        <w:t xml:space="preserve"> the </w:t>
      </w:r>
      <w:r>
        <w:rPr>
          <w:rFonts w:ascii="Calibri" w:eastAsia="Times New Roman" w:hAnsi="Calibri" w:cs="Times New Roman"/>
          <w:b/>
          <w:color w:val="auto"/>
          <w:sz w:val="22"/>
          <w:szCs w:val="22"/>
        </w:rPr>
        <w:t xml:space="preserve">co-financed </w:t>
      </w:r>
      <w:r w:rsidR="00110820">
        <w:rPr>
          <w:rFonts w:ascii="Calibri" w:eastAsia="Times New Roman" w:hAnsi="Calibri" w:cs="Times New Roman"/>
          <w:b/>
          <w:color w:val="auto"/>
          <w:sz w:val="22"/>
          <w:szCs w:val="22"/>
        </w:rPr>
        <w:t>c</w:t>
      </w:r>
      <w:r w:rsidRPr="00EA2CA7">
        <w:rPr>
          <w:rFonts w:ascii="Calibri" w:eastAsia="Times New Roman" w:hAnsi="Calibri" w:cs="Times New Roman"/>
          <w:b/>
          <w:color w:val="auto"/>
          <w:sz w:val="22"/>
          <w:szCs w:val="22"/>
        </w:rPr>
        <w:t>enters</w:t>
      </w:r>
      <w:r>
        <w:rPr>
          <w:rFonts w:ascii="Calibri" w:eastAsia="Times New Roman" w:hAnsi="Calibri" w:cs="Times New Roman"/>
          <w:b/>
          <w:color w:val="auto"/>
          <w:sz w:val="22"/>
          <w:szCs w:val="22"/>
        </w:rPr>
        <w:t xml:space="preserve"> in Benin and Nigeria</w:t>
      </w:r>
      <w:r w:rsidR="00313754">
        <w:rPr>
          <w:rFonts w:ascii="Calibri" w:eastAsia="Times New Roman" w:hAnsi="Calibri" w:cs="Times New Roman"/>
          <w:b/>
          <w:color w:val="auto"/>
          <w:sz w:val="22"/>
          <w:szCs w:val="22"/>
        </w:rPr>
        <w:t>:</w:t>
      </w:r>
    </w:p>
    <w:p w14:paraId="476F67B6" w14:textId="77777777" w:rsidR="00837AE1" w:rsidRPr="00243593" w:rsidRDefault="00B00100">
      <w:pPr>
        <w:widowControl/>
        <w:numPr>
          <w:ilvl w:val="1"/>
          <w:numId w:val="67"/>
        </w:numPr>
        <w:tabs>
          <w:tab w:val="left" w:pos="0"/>
          <w:tab w:val="left" w:pos="720"/>
        </w:tabs>
        <w:autoSpaceDE/>
        <w:autoSpaceDN/>
        <w:adjustRightInd/>
        <w:spacing w:after="80"/>
        <w:ind w:left="1166" w:right="720"/>
        <w:jc w:val="both"/>
        <w:rPr>
          <w:rFonts w:ascii="Calibri" w:eastAsia="Times New Roman" w:hAnsi="Calibri" w:cs="Calibri"/>
          <w:bCs/>
          <w:spacing w:val="-1"/>
          <w:sz w:val="22"/>
          <w:szCs w:val="22"/>
        </w:rPr>
      </w:pPr>
      <w:r w:rsidRPr="00243593">
        <w:rPr>
          <w:rFonts w:ascii="Calibri" w:eastAsia="Times New Roman" w:hAnsi="Calibri" w:cs="Calibri"/>
          <w:bCs/>
          <w:spacing w:val="-1"/>
          <w:sz w:val="22"/>
          <w:szCs w:val="22"/>
        </w:rPr>
        <w:t>Review and provide no-objections to the implementation plans and annual workplans for the Centers following review by the AAU and comments from AFD</w:t>
      </w:r>
      <w:r w:rsidR="00313754">
        <w:rPr>
          <w:rFonts w:ascii="Calibri" w:eastAsia="Times New Roman" w:hAnsi="Calibri" w:cs="Calibri"/>
          <w:bCs/>
          <w:spacing w:val="-1"/>
          <w:sz w:val="22"/>
          <w:szCs w:val="22"/>
        </w:rPr>
        <w:t>;</w:t>
      </w:r>
    </w:p>
    <w:p w14:paraId="17EA8916" w14:textId="77777777" w:rsidR="00837AE1" w:rsidRPr="00243593" w:rsidRDefault="00B00100" w:rsidP="00F463C2">
      <w:pPr>
        <w:widowControl/>
        <w:numPr>
          <w:ilvl w:val="1"/>
          <w:numId w:val="67"/>
        </w:numPr>
        <w:tabs>
          <w:tab w:val="left" w:pos="0"/>
          <w:tab w:val="left" w:pos="720"/>
        </w:tabs>
        <w:autoSpaceDE/>
        <w:autoSpaceDN/>
        <w:adjustRightInd/>
        <w:spacing w:after="80"/>
        <w:ind w:left="1166" w:right="720"/>
        <w:jc w:val="both"/>
        <w:rPr>
          <w:rFonts w:ascii="Calibri" w:eastAsia="Times New Roman" w:hAnsi="Calibri" w:cs="Calibri"/>
          <w:bCs/>
          <w:spacing w:val="-1"/>
          <w:sz w:val="22"/>
          <w:szCs w:val="22"/>
        </w:rPr>
      </w:pPr>
      <w:r w:rsidRPr="00243593">
        <w:rPr>
          <w:rFonts w:ascii="Calibri" w:eastAsia="Times New Roman" w:hAnsi="Calibri" w:cs="Calibri"/>
          <w:bCs/>
          <w:spacing w:val="-1"/>
          <w:sz w:val="22"/>
          <w:szCs w:val="22"/>
        </w:rPr>
        <w:t>Following submission of the letter of verification from the AAU confirming the achievement of the DLIs, the World Bank will prepare the notice of acceptance of all the DLI achievements and disbursement authorization for the World Bank portion of the DLI to the Centers, with copy to AFD</w:t>
      </w:r>
      <w:r w:rsidR="00313754">
        <w:rPr>
          <w:rFonts w:ascii="Calibri" w:eastAsia="Times New Roman" w:hAnsi="Calibri" w:cs="Calibri"/>
          <w:bCs/>
          <w:spacing w:val="-1"/>
          <w:sz w:val="22"/>
          <w:szCs w:val="22"/>
        </w:rPr>
        <w:t>;</w:t>
      </w:r>
    </w:p>
    <w:p w14:paraId="1B99CDE9" w14:textId="77777777" w:rsidR="00837AE1" w:rsidRPr="00243593" w:rsidRDefault="00B00100" w:rsidP="00FC1A97">
      <w:pPr>
        <w:widowControl/>
        <w:numPr>
          <w:ilvl w:val="1"/>
          <w:numId w:val="67"/>
        </w:numPr>
        <w:tabs>
          <w:tab w:val="left" w:pos="0"/>
          <w:tab w:val="left" w:pos="720"/>
        </w:tabs>
        <w:autoSpaceDE/>
        <w:autoSpaceDN/>
        <w:adjustRightInd/>
        <w:spacing w:after="80"/>
        <w:ind w:left="1166" w:right="720"/>
        <w:jc w:val="both"/>
        <w:rPr>
          <w:rFonts w:ascii="Calibri" w:eastAsia="Times New Roman" w:hAnsi="Calibri" w:cs="Calibri"/>
          <w:bCs/>
          <w:spacing w:val="-1"/>
          <w:sz w:val="22"/>
          <w:szCs w:val="22"/>
        </w:rPr>
      </w:pPr>
      <w:r w:rsidRPr="00243593">
        <w:rPr>
          <w:rFonts w:ascii="Calibri" w:eastAsia="Times New Roman" w:hAnsi="Calibri" w:cs="Calibri"/>
          <w:bCs/>
          <w:spacing w:val="-1"/>
          <w:sz w:val="22"/>
          <w:szCs w:val="22"/>
        </w:rPr>
        <w:t>AFD will be responsible for providing the clearance for the disbursement of the AFD portion of the funds using the notice of acceptance of the DLI achievement issued by the World Bank</w:t>
      </w:r>
      <w:r w:rsidR="00313754">
        <w:rPr>
          <w:rFonts w:ascii="Calibri" w:eastAsia="Times New Roman" w:hAnsi="Calibri" w:cs="Calibri"/>
          <w:bCs/>
          <w:spacing w:val="-1"/>
          <w:sz w:val="22"/>
          <w:szCs w:val="22"/>
        </w:rPr>
        <w:t>; and</w:t>
      </w:r>
    </w:p>
    <w:p w14:paraId="767D30F8" w14:textId="77777777" w:rsidR="00837AE1" w:rsidRPr="00243593" w:rsidRDefault="00B00100" w:rsidP="003247A0">
      <w:pPr>
        <w:widowControl/>
        <w:numPr>
          <w:ilvl w:val="1"/>
          <w:numId w:val="67"/>
        </w:numPr>
        <w:tabs>
          <w:tab w:val="left" w:pos="0"/>
          <w:tab w:val="left" w:pos="720"/>
        </w:tabs>
        <w:autoSpaceDE/>
        <w:autoSpaceDN/>
        <w:adjustRightInd/>
        <w:spacing w:after="80"/>
        <w:ind w:left="1166" w:right="720"/>
        <w:jc w:val="both"/>
        <w:rPr>
          <w:rFonts w:ascii="Calibri" w:eastAsia="Times New Roman" w:hAnsi="Calibri" w:cs="Calibri"/>
          <w:bCs/>
          <w:spacing w:val="-1"/>
          <w:sz w:val="22"/>
          <w:szCs w:val="22"/>
        </w:rPr>
      </w:pPr>
      <w:r w:rsidRPr="00243593">
        <w:rPr>
          <w:rFonts w:ascii="Calibri" w:eastAsia="Times New Roman" w:hAnsi="Calibri" w:cs="Calibri"/>
          <w:bCs/>
          <w:spacing w:val="-1"/>
          <w:sz w:val="22"/>
          <w:szCs w:val="22"/>
        </w:rPr>
        <w:t>Undertake the social and environmental safeguards assessment and necessary safeguards oversight of the project in Benin and Nigeria</w:t>
      </w:r>
      <w:r w:rsidR="00313754">
        <w:rPr>
          <w:rFonts w:ascii="Calibri" w:eastAsia="Times New Roman" w:hAnsi="Calibri" w:cs="Calibri"/>
          <w:bCs/>
          <w:spacing w:val="-1"/>
          <w:sz w:val="22"/>
          <w:szCs w:val="22"/>
        </w:rPr>
        <w:t>.</w:t>
      </w:r>
    </w:p>
    <w:p w14:paraId="3BCC8551" w14:textId="77777777" w:rsidR="00837AE1" w:rsidRPr="00EA2CA7" w:rsidRDefault="00B00100" w:rsidP="008E2709">
      <w:pPr>
        <w:widowControl/>
        <w:numPr>
          <w:ilvl w:val="0"/>
          <w:numId w:val="65"/>
        </w:numPr>
        <w:tabs>
          <w:tab w:val="left" w:pos="0"/>
        </w:tabs>
        <w:autoSpaceDE/>
        <w:autoSpaceDN/>
        <w:adjustRightInd/>
        <w:spacing w:after="160"/>
        <w:ind w:right="720"/>
        <w:jc w:val="both"/>
        <w:rPr>
          <w:rFonts w:ascii="Batang" w:eastAsia="Batang" w:hAnsi="Batang" w:cs="Batang"/>
          <w:color w:val="auto"/>
          <w:sz w:val="22"/>
          <w:szCs w:val="22"/>
          <w:lang w:eastAsia="ko-KR"/>
        </w:rPr>
      </w:pPr>
      <w:r w:rsidRPr="00B74237">
        <w:rPr>
          <w:rFonts w:ascii="Calibri" w:eastAsia="Times New Roman" w:hAnsi="Calibri" w:cs="Calibri"/>
          <w:b/>
          <w:bCs/>
          <w:spacing w:val="-1"/>
          <w:sz w:val="22"/>
          <w:szCs w:val="22"/>
        </w:rPr>
        <w:t>At the regional level, the W</w:t>
      </w:r>
      <w:r>
        <w:rPr>
          <w:rFonts w:ascii="Calibri" w:eastAsia="Times New Roman" w:hAnsi="Calibri" w:cs="Calibri"/>
          <w:b/>
          <w:bCs/>
          <w:spacing w:val="-1"/>
          <w:sz w:val="22"/>
          <w:szCs w:val="22"/>
        </w:rPr>
        <w:t>orld Bank</w:t>
      </w:r>
      <w:r w:rsidRPr="00B74237">
        <w:rPr>
          <w:rFonts w:ascii="Calibri" w:eastAsia="Times New Roman" w:hAnsi="Calibri" w:cs="Calibri"/>
          <w:b/>
          <w:bCs/>
          <w:spacing w:val="-1"/>
          <w:sz w:val="22"/>
          <w:szCs w:val="22"/>
        </w:rPr>
        <w:t xml:space="preserve"> will undertake the technical and fiduciary oversight </w:t>
      </w:r>
      <w:r>
        <w:rPr>
          <w:rFonts w:ascii="Calibri" w:eastAsia="Times New Roman" w:hAnsi="Calibri" w:cs="Times New Roman"/>
          <w:b/>
          <w:color w:val="auto"/>
          <w:sz w:val="22"/>
          <w:szCs w:val="22"/>
        </w:rPr>
        <w:t>of</w:t>
      </w:r>
      <w:r w:rsidRPr="00B74237">
        <w:rPr>
          <w:rFonts w:ascii="Calibri" w:eastAsia="Times New Roman" w:hAnsi="Calibri" w:cs="Times New Roman"/>
          <w:b/>
          <w:color w:val="auto"/>
          <w:sz w:val="22"/>
          <w:szCs w:val="22"/>
        </w:rPr>
        <w:t xml:space="preserve"> the </w:t>
      </w:r>
      <w:r w:rsidR="00423ED0">
        <w:rPr>
          <w:rFonts w:ascii="Calibri" w:eastAsia="Times New Roman" w:hAnsi="Calibri" w:cs="Times New Roman"/>
          <w:b/>
          <w:color w:val="auto"/>
          <w:sz w:val="22"/>
          <w:szCs w:val="22"/>
        </w:rPr>
        <w:t>R</w:t>
      </w:r>
      <w:r w:rsidR="00AA269D">
        <w:rPr>
          <w:rFonts w:ascii="Calibri" w:eastAsia="Times New Roman" w:hAnsi="Calibri" w:cs="Times New Roman"/>
          <w:b/>
          <w:color w:val="auto"/>
          <w:sz w:val="22"/>
          <w:szCs w:val="22"/>
        </w:rPr>
        <w:t>F</w:t>
      </w:r>
      <w:r w:rsidR="00423ED0">
        <w:rPr>
          <w:rFonts w:ascii="Calibri" w:eastAsia="Times New Roman" w:hAnsi="Calibri" w:cs="Times New Roman"/>
          <w:b/>
          <w:color w:val="auto"/>
          <w:sz w:val="22"/>
          <w:szCs w:val="22"/>
        </w:rPr>
        <w:t>U</w:t>
      </w:r>
      <w:r w:rsidRPr="00B74237">
        <w:rPr>
          <w:rFonts w:ascii="Calibri" w:eastAsia="Times New Roman" w:hAnsi="Calibri" w:cs="Times New Roman"/>
          <w:b/>
          <w:color w:val="auto"/>
          <w:sz w:val="22"/>
          <w:szCs w:val="22"/>
        </w:rPr>
        <w:t xml:space="preserve"> hosted at the AAU</w:t>
      </w:r>
      <w:r w:rsidR="001A43E0">
        <w:rPr>
          <w:rFonts w:ascii="Calibri" w:eastAsia="Times New Roman" w:hAnsi="Calibri" w:cs="Times New Roman"/>
          <w:color w:val="auto"/>
          <w:sz w:val="22"/>
          <w:szCs w:val="22"/>
        </w:rPr>
        <w:t>, which will provide the following technical support:</w:t>
      </w:r>
    </w:p>
    <w:p w14:paraId="30234B92" w14:textId="77777777" w:rsidR="00837AE1" w:rsidRPr="00F84863" w:rsidRDefault="00B00100">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Review of the implementation plans, and annual work plans for the Centers</w:t>
      </w:r>
    </w:p>
    <w:p w14:paraId="5516DD08" w14:textId="77777777" w:rsidR="00837AE1" w:rsidRPr="00F84863" w:rsidRDefault="00B00100" w:rsidP="00F463C2">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Independent verification of the DLIs for the Centers and submission of the verification letters to the World Bank and AFD with copy to the ACEs and national focal points</w:t>
      </w:r>
    </w:p>
    <w:p w14:paraId="692A5033" w14:textId="77777777" w:rsidR="00837AE1" w:rsidRPr="00F84863" w:rsidRDefault="00B00100" w:rsidP="00FC1A97">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 xml:space="preserve">Coordinate at least one annual onsite visit to select ACEs </w:t>
      </w:r>
    </w:p>
    <w:p w14:paraId="17539BA2" w14:textId="77777777" w:rsidR="00837AE1" w:rsidRPr="00F84863" w:rsidRDefault="00B00100" w:rsidP="003247A0">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Coordinate the bi-annual project steering committee meetings and regional workshops for all Center participation</w:t>
      </w:r>
    </w:p>
    <w:p w14:paraId="7D8646ED" w14:textId="77777777" w:rsidR="00837AE1" w:rsidRPr="00F84863" w:rsidRDefault="00B00100" w:rsidP="003247A0">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lastRenderedPageBreak/>
        <w:t>Provide necessary capacity building activities to the Centers on various higher education and project management topics</w:t>
      </w:r>
    </w:p>
    <w:p w14:paraId="235BF154" w14:textId="77777777" w:rsidR="00837AE1" w:rsidRPr="00F84863" w:rsidRDefault="00B00100" w:rsidP="003247A0">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 xml:space="preserve">Undertake </w:t>
      </w:r>
      <w:r w:rsidR="00313754">
        <w:rPr>
          <w:rFonts w:ascii="Calibri" w:eastAsia="Times New Roman" w:hAnsi="Calibri" w:cs="Calibri"/>
          <w:bCs/>
          <w:spacing w:val="-1"/>
          <w:sz w:val="22"/>
          <w:szCs w:val="22"/>
        </w:rPr>
        <w:t>M&amp;E</w:t>
      </w:r>
      <w:r w:rsidRPr="00F84863">
        <w:rPr>
          <w:rFonts w:ascii="Calibri" w:eastAsia="Times New Roman" w:hAnsi="Calibri" w:cs="Calibri"/>
          <w:bCs/>
          <w:spacing w:val="-1"/>
          <w:sz w:val="22"/>
          <w:szCs w:val="22"/>
        </w:rPr>
        <w:t xml:space="preserve"> to provide bi-annual aggregated and Center</w:t>
      </w:r>
      <w:r w:rsidR="00313754">
        <w:rPr>
          <w:rFonts w:ascii="Calibri" w:eastAsia="Times New Roman" w:hAnsi="Calibri" w:cs="Calibri"/>
          <w:bCs/>
          <w:spacing w:val="-1"/>
          <w:sz w:val="22"/>
          <w:szCs w:val="22"/>
        </w:rPr>
        <w:t>-</w:t>
      </w:r>
      <w:r w:rsidRPr="00F84863">
        <w:rPr>
          <w:rFonts w:ascii="Calibri" w:eastAsia="Times New Roman" w:hAnsi="Calibri" w:cs="Calibri"/>
          <w:bCs/>
          <w:spacing w:val="-1"/>
          <w:sz w:val="22"/>
          <w:szCs w:val="22"/>
        </w:rPr>
        <w:t>level assessment of the DLIs and project indicators, project progress report and necessary on-site project reports</w:t>
      </w:r>
    </w:p>
    <w:p w14:paraId="1945E77A" w14:textId="77777777" w:rsidR="00837AE1" w:rsidRPr="00F84863" w:rsidRDefault="00B00100" w:rsidP="003C7D1F">
      <w:pPr>
        <w:widowControl/>
        <w:numPr>
          <w:ilvl w:val="1"/>
          <w:numId w:val="67"/>
        </w:numPr>
        <w:tabs>
          <w:tab w:val="left" w:pos="0"/>
          <w:tab w:val="left" w:pos="720"/>
        </w:tabs>
        <w:autoSpaceDE/>
        <w:autoSpaceDN/>
        <w:adjustRightInd/>
        <w:ind w:left="1166" w:right="720"/>
        <w:jc w:val="both"/>
        <w:rPr>
          <w:rFonts w:ascii="Calibri" w:eastAsia="Times New Roman" w:hAnsi="Calibri" w:cs="Calibri"/>
          <w:bCs/>
          <w:spacing w:val="-1"/>
          <w:sz w:val="22"/>
          <w:szCs w:val="22"/>
        </w:rPr>
      </w:pPr>
      <w:r w:rsidRPr="00F84863">
        <w:rPr>
          <w:rFonts w:ascii="Calibri" w:eastAsia="Times New Roman" w:hAnsi="Calibri" w:cs="Calibri"/>
          <w:bCs/>
          <w:spacing w:val="-1"/>
          <w:sz w:val="22"/>
          <w:szCs w:val="22"/>
        </w:rPr>
        <w:t xml:space="preserve">Undertake a project wide </w:t>
      </w:r>
      <w:r w:rsidR="00D07E05">
        <w:rPr>
          <w:rFonts w:ascii="Calibri" w:eastAsia="Times New Roman" w:hAnsi="Calibri" w:cs="Calibri"/>
          <w:bCs/>
          <w:spacing w:val="-1"/>
          <w:sz w:val="22"/>
          <w:szCs w:val="22"/>
        </w:rPr>
        <w:t>MTR</w:t>
      </w:r>
      <w:r w:rsidRPr="00F84863">
        <w:rPr>
          <w:rFonts w:ascii="Calibri" w:eastAsia="Times New Roman" w:hAnsi="Calibri" w:cs="Calibri"/>
          <w:bCs/>
          <w:spacing w:val="-1"/>
          <w:sz w:val="22"/>
          <w:szCs w:val="22"/>
        </w:rPr>
        <w:t xml:space="preserve"> with recommendations on improvement of project implementation and design to meet </w:t>
      </w:r>
      <w:r w:rsidR="00313754">
        <w:rPr>
          <w:rFonts w:ascii="Calibri" w:eastAsia="Times New Roman" w:hAnsi="Calibri" w:cs="Calibri"/>
          <w:bCs/>
          <w:spacing w:val="-1"/>
          <w:sz w:val="22"/>
          <w:szCs w:val="22"/>
        </w:rPr>
        <w:t>the PDO</w:t>
      </w:r>
      <w:r w:rsidRPr="00F84863">
        <w:rPr>
          <w:rFonts w:ascii="Calibri" w:eastAsia="Times New Roman" w:hAnsi="Calibri" w:cs="Calibri"/>
          <w:bCs/>
          <w:spacing w:val="-1"/>
          <w:sz w:val="22"/>
          <w:szCs w:val="22"/>
        </w:rPr>
        <w:t xml:space="preserve"> </w:t>
      </w:r>
    </w:p>
    <w:p w14:paraId="29CE037F" w14:textId="77777777" w:rsidR="00837AE1" w:rsidRPr="00847179" w:rsidRDefault="00837AE1" w:rsidP="00BF7B75">
      <w:pPr>
        <w:pStyle w:val="ListParagraph"/>
        <w:widowControl/>
        <w:autoSpaceDE/>
        <w:autoSpaceDN/>
        <w:adjustRightInd/>
        <w:ind w:left="450"/>
        <w:rPr>
          <w:rFonts w:ascii="Batang" w:eastAsia="Batang" w:hAnsi="Batang" w:cs="Batang"/>
          <w:color w:val="auto"/>
          <w:sz w:val="22"/>
          <w:szCs w:val="22"/>
          <w:lang w:eastAsia="ko-KR"/>
        </w:rPr>
      </w:pPr>
    </w:p>
    <w:p w14:paraId="5F68E03F" w14:textId="77777777" w:rsidR="00837AE1" w:rsidRPr="00FA2188" w:rsidRDefault="00B00100" w:rsidP="007D6420">
      <w:pPr>
        <w:jc w:val="center"/>
        <w:rPr>
          <w:rFonts w:ascii="Calibri" w:eastAsia="Times New Roman" w:hAnsi="Calibri" w:cs="Times New Roman"/>
          <w:b/>
          <w:i/>
          <w:color w:val="auto"/>
          <w:sz w:val="22"/>
          <w:szCs w:val="22"/>
        </w:rPr>
      </w:pPr>
      <w:r w:rsidRPr="00FA2188">
        <w:rPr>
          <w:rFonts w:ascii="Calibri" w:eastAsia="Times New Roman" w:hAnsi="Calibri" w:cs="Times New Roman"/>
          <w:b/>
          <w:i/>
          <w:color w:val="auto"/>
          <w:sz w:val="22"/>
          <w:szCs w:val="22"/>
        </w:rPr>
        <w:t xml:space="preserve">Table </w:t>
      </w:r>
      <w:r w:rsidR="00BA6EA3" w:rsidRPr="00FA2188">
        <w:rPr>
          <w:rFonts w:ascii="Calibri" w:eastAsia="Times New Roman" w:hAnsi="Calibri" w:cs="Times New Roman"/>
          <w:b/>
          <w:i/>
          <w:color w:val="auto"/>
          <w:sz w:val="22"/>
          <w:szCs w:val="22"/>
        </w:rPr>
        <w:t>A8.1</w:t>
      </w:r>
      <w:r w:rsidRPr="00FA2188">
        <w:rPr>
          <w:rFonts w:ascii="Calibri" w:eastAsia="Times New Roman" w:hAnsi="Calibri" w:cs="Times New Roman"/>
          <w:b/>
          <w:i/>
          <w:color w:val="auto"/>
          <w:sz w:val="22"/>
          <w:szCs w:val="22"/>
        </w:rPr>
        <w:t>:  W</w:t>
      </w:r>
      <w:r w:rsidR="00C00B64">
        <w:rPr>
          <w:rFonts w:ascii="Calibri" w:eastAsia="Times New Roman" w:hAnsi="Calibri" w:cs="Times New Roman"/>
          <w:b/>
          <w:i/>
          <w:color w:val="auto"/>
          <w:sz w:val="22"/>
          <w:szCs w:val="22"/>
        </w:rPr>
        <w:t xml:space="preserve">orld </w:t>
      </w:r>
      <w:r w:rsidRPr="00FA2188">
        <w:rPr>
          <w:rFonts w:ascii="Calibri" w:eastAsia="Times New Roman" w:hAnsi="Calibri" w:cs="Times New Roman"/>
          <w:b/>
          <w:i/>
          <w:color w:val="auto"/>
          <w:sz w:val="22"/>
          <w:szCs w:val="22"/>
        </w:rPr>
        <w:t>B</w:t>
      </w:r>
      <w:r w:rsidR="00C00B64">
        <w:rPr>
          <w:rFonts w:ascii="Calibri" w:eastAsia="Times New Roman" w:hAnsi="Calibri" w:cs="Times New Roman"/>
          <w:b/>
          <w:i/>
          <w:color w:val="auto"/>
          <w:sz w:val="22"/>
          <w:szCs w:val="22"/>
        </w:rPr>
        <w:t>ank</w:t>
      </w:r>
      <w:r w:rsidRPr="00FA2188">
        <w:rPr>
          <w:rFonts w:ascii="Calibri" w:eastAsia="Times New Roman" w:hAnsi="Calibri" w:cs="Times New Roman"/>
          <w:b/>
          <w:i/>
          <w:color w:val="auto"/>
          <w:sz w:val="22"/>
          <w:szCs w:val="22"/>
        </w:rPr>
        <w:t xml:space="preserve"> and AFD Responsibility and Process Flow During Project Implementation</w:t>
      </w:r>
    </w:p>
    <w:p w14:paraId="556FCB2B" w14:textId="77777777" w:rsidR="00837AE1" w:rsidRPr="00D8186D" w:rsidRDefault="00B00100" w:rsidP="00695495">
      <w:pPr>
        <w:jc w:val="center"/>
        <w:rPr>
          <w:rFonts w:ascii="Calibri" w:eastAsia="Times New Roman" w:hAnsi="Calibri" w:cs="Times New Roman"/>
          <w:color w:val="auto"/>
          <w:sz w:val="22"/>
          <w:szCs w:val="22"/>
        </w:rPr>
      </w:pPr>
      <w:r w:rsidRPr="00FA2188">
        <w:rPr>
          <w:rFonts w:ascii="Calibri" w:eastAsia="Times New Roman" w:hAnsi="Calibri" w:cs="Times New Roman"/>
          <w:b/>
          <w:i/>
          <w:color w:val="auto"/>
          <w:sz w:val="22"/>
          <w:szCs w:val="22"/>
        </w:rPr>
        <w:t>as part of the World Bank-AFD co-financing for Benin and Nigeria</w:t>
      </w:r>
    </w:p>
    <w:tbl>
      <w:tblPr>
        <w:tblW w:w="105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970"/>
        <w:gridCol w:w="1525"/>
        <w:gridCol w:w="1530"/>
        <w:gridCol w:w="1515"/>
        <w:gridCol w:w="2069"/>
      </w:tblGrid>
      <w:tr w:rsidR="000C3959" w14:paraId="6E4C105D" w14:textId="77777777" w:rsidTr="005C5F63">
        <w:trPr>
          <w:trHeight w:val="133"/>
          <w:jc w:val="right"/>
        </w:trPr>
        <w:tc>
          <w:tcPr>
            <w:tcW w:w="990" w:type="dxa"/>
            <w:tcBorders>
              <w:top w:val="single" w:sz="4" w:space="0" w:color="auto"/>
              <w:left w:val="single" w:sz="4" w:space="0" w:color="auto"/>
              <w:bottom w:val="single" w:sz="4" w:space="0" w:color="auto"/>
              <w:right w:val="single" w:sz="4" w:space="0" w:color="auto"/>
            </w:tcBorders>
            <w:hideMark/>
          </w:tcPr>
          <w:p w14:paraId="3CD21B3F"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Process</w:t>
            </w:r>
          </w:p>
        </w:tc>
        <w:tc>
          <w:tcPr>
            <w:tcW w:w="2970" w:type="dxa"/>
            <w:tcBorders>
              <w:top w:val="single" w:sz="4" w:space="0" w:color="auto"/>
              <w:left w:val="single" w:sz="4" w:space="0" w:color="auto"/>
              <w:bottom w:val="single" w:sz="4" w:space="0" w:color="auto"/>
              <w:right w:val="single" w:sz="4" w:space="0" w:color="auto"/>
            </w:tcBorders>
            <w:hideMark/>
          </w:tcPr>
          <w:p w14:paraId="636C0591"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Process Description</w:t>
            </w:r>
          </w:p>
        </w:tc>
        <w:tc>
          <w:tcPr>
            <w:tcW w:w="1525" w:type="dxa"/>
            <w:tcBorders>
              <w:top w:val="single" w:sz="4" w:space="0" w:color="auto"/>
              <w:left w:val="single" w:sz="4" w:space="0" w:color="auto"/>
              <w:bottom w:val="single" w:sz="4" w:space="0" w:color="auto"/>
              <w:right w:val="single" w:sz="4" w:space="0" w:color="auto"/>
            </w:tcBorders>
            <w:hideMark/>
          </w:tcPr>
          <w:p w14:paraId="421E8908"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Preparation Responsibility</w:t>
            </w:r>
          </w:p>
        </w:tc>
        <w:tc>
          <w:tcPr>
            <w:tcW w:w="1530" w:type="dxa"/>
            <w:tcBorders>
              <w:top w:val="single" w:sz="4" w:space="0" w:color="auto"/>
              <w:left w:val="single" w:sz="4" w:space="0" w:color="auto"/>
              <w:bottom w:val="single" w:sz="4" w:space="0" w:color="auto"/>
              <w:right w:val="single" w:sz="4" w:space="0" w:color="auto"/>
            </w:tcBorders>
            <w:hideMark/>
          </w:tcPr>
          <w:p w14:paraId="287BCD54"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Reviewing Responsibility</w:t>
            </w:r>
          </w:p>
        </w:tc>
        <w:tc>
          <w:tcPr>
            <w:tcW w:w="1515" w:type="dxa"/>
            <w:tcBorders>
              <w:top w:val="single" w:sz="4" w:space="0" w:color="auto"/>
              <w:left w:val="single" w:sz="4" w:space="0" w:color="auto"/>
              <w:bottom w:val="single" w:sz="4" w:space="0" w:color="auto"/>
              <w:right w:val="single" w:sz="4" w:space="0" w:color="auto"/>
            </w:tcBorders>
            <w:hideMark/>
          </w:tcPr>
          <w:p w14:paraId="3080C5B1"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Approving Responsibility</w:t>
            </w:r>
          </w:p>
        </w:tc>
        <w:tc>
          <w:tcPr>
            <w:tcW w:w="2069" w:type="dxa"/>
            <w:tcBorders>
              <w:top w:val="single" w:sz="4" w:space="0" w:color="auto"/>
              <w:left w:val="single" w:sz="4" w:space="0" w:color="auto"/>
              <w:bottom w:val="single" w:sz="4" w:space="0" w:color="auto"/>
              <w:right w:val="single" w:sz="4" w:space="0" w:color="auto"/>
            </w:tcBorders>
            <w:hideMark/>
          </w:tcPr>
          <w:p w14:paraId="572CD74A" w14:textId="77777777" w:rsidR="00837AE1" w:rsidRPr="00126CD2" w:rsidRDefault="00B00100" w:rsidP="008E2709">
            <w:pPr>
              <w:jc w:val="center"/>
              <w:rPr>
                <w:rFonts w:ascii="Calibri" w:eastAsia="Times New Roman" w:hAnsi="Calibri" w:cs="Times New Roman"/>
                <w:b/>
                <w:color w:val="auto"/>
                <w:sz w:val="22"/>
                <w:szCs w:val="22"/>
              </w:rPr>
            </w:pPr>
            <w:r w:rsidRPr="00126CD2">
              <w:rPr>
                <w:rFonts w:ascii="Calibri" w:eastAsia="Times New Roman" w:hAnsi="Calibri" w:cs="Times New Roman"/>
                <w:b/>
                <w:color w:val="auto"/>
                <w:sz w:val="22"/>
                <w:szCs w:val="22"/>
              </w:rPr>
              <w:t>Comments</w:t>
            </w:r>
          </w:p>
        </w:tc>
      </w:tr>
      <w:tr w:rsidR="000C3959" w14:paraId="0FB7F330" w14:textId="77777777" w:rsidTr="000C46A6">
        <w:trPr>
          <w:trHeight w:val="233"/>
          <w:jc w:val="right"/>
        </w:trPr>
        <w:tc>
          <w:tcPr>
            <w:tcW w:w="9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1CC1DC"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1.0</w:t>
            </w:r>
          </w:p>
        </w:tc>
        <w:tc>
          <w:tcPr>
            <w:tcW w:w="29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45FB5A"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Effectiveness Conditions</w:t>
            </w:r>
          </w:p>
        </w:tc>
        <w:tc>
          <w:tcPr>
            <w:tcW w:w="15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C86ADD"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B8587C"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27495D"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365718" w14:textId="77777777" w:rsidR="00837AE1" w:rsidRPr="00126CD2" w:rsidRDefault="00837AE1" w:rsidP="008E2709">
            <w:pPr>
              <w:jc w:val="center"/>
              <w:rPr>
                <w:rFonts w:asciiTheme="minorHAnsi" w:eastAsia="Times New Roman" w:hAnsiTheme="minorHAnsi" w:cstheme="minorHAnsi"/>
                <w:color w:val="auto"/>
                <w:sz w:val="20"/>
                <w:szCs w:val="20"/>
              </w:rPr>
            </w:pPr>
          </w:p>
        </w:tc>
      </w:tr>
      <w:tr w:rsidR="000C3959" w14:paraId="692AA634" w14:textId="77777777" w:rsidTr="000C46A6">
        <w:trPr>
          <w:trHeight w:val="872"/>
          <w:jc w:val="right"/>
        </w:trPr>
        <w:tc>
          <w:tcPr>
            <w:tcW w:w="990" w:type="dxa"/>
            <w:tcBorders>
              <w:top w:val="single" w:sz="4" w:space="0" w:color="auto"/>
              <w:left w:val="single" w:sz="4" w:space="0" w:color="auto"/>
              <w:bottom w:val="single" w:sz="4" w:space="0" w:color="auto"/>
              <w:right w:val="single" w:sz="4" w:space="0" w:color="auto"/>
            </w:tcBorders>
          </w:tcPr>
          <w:p w14:paraId="1EF92625"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1.1</w:t>
            </w:r>
          </w:p>
        </w:tc>
        <w:tc>
          <w:tcPr>
            <w:tcW w:w="2970" w:type="dxa"/>
            <w:tcBorders>
              <w:top w:val="single" w:sz="4" w:space="0" w:color="auto"/>
              <w:left w:val="single" w:sz="4" w:space="0" w:color="auto"/>
              <w:bottom w:val="single" w:sz="4" w:space="0" w:color="auto"/>
              <w:right w:val="single" w:sz="4" w:space="0" w:color="auto"/>
            </w:tcBorders>
            <w:hideMark/>
          </w:tcPr>
          <w:p w14:paraId="57392BA3"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PFA</w:t>
            </w:r>
            <w:r w:rsidR="004E68F9" w:rsidRPr="00126CD2">
              <w:rPr>
                <w:rFonts w:asciiTheme="minorHAnsi" w:eastAsia="Times New Roman" w:hAnsiTheme="minorHAnsi" w:cstheme="minorHAnsi"/>
                <w:color w:val="auto"/>
                <w:sz w:val="20"/>
                <w:szCs w:val="20"/>
              </w:rPr>
              <w:t xml:space="preserve"> (plus legal opinion) between governments and their participating universities</w:t>
            </w:r>
          </w:p>
        </w:tc>
        <w:tc>
          <w:tcPr>
            <w:tcW w:w="1525" w:type="dxa"/>
            <w:tcBorders>
              <w:top w:val="single" w:sz="4" w:space="0" w:color="auto"/>
              <w:left w:val="single" w:sz="4" w:space="0" w:color="auto"/>
              <w:bottom w:val="single" w:sz="4" w:space="0" w:color="auto"/>
              <w:right w:val="single" w:sz="4" w:space="0" w:color="auto"/>
            </w:tcBorders>
          </w:tcPr>
          <w:p w14:paraId="474BF005"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Governments of Benin &amp; Nigeria</w:t>
            </w:r>
          </w:p>
        </w:tc>
        <w:tc>
          <w:tcPr>
            <w:tcW w:w="1530" w:type="dxa"/>
            <w:tcBorders>
              <w:top w:val="single" w:sz="4" w:space="0" w:color="auto"/>
              <w:left w:val="single" w:sz="4" w:space="0" w:color="auto"/>
              <w:bottom w:val="single" w:sz="4" w:space="0" w:color="auto"/>
              <w:right w:val="single" w:sz="4" w:space="0" w:color="auto"/>
            </w:tcBorders>
          </w:tcPr>
          <w:p w14:paraId="4743C78F"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t>
            </w:r>
          </w:p>
        </w:tc>
        <w:tc>
          <w:tcPr>
            <w:tcW w:w="1515" w:type="dxa"/>
            <w:tcBorders>
              <w:top w:val="single" w:sz="4" w:space="0" w:color="auto"/>
              <w:left w:val="single" w:sz="4" w:space="0" w:color="auto"/>
              <w:bottom w:val="single" w:sz="4" w:space="0" w:color="auto"/>
              <w:right w:val="single" w:sz="4" w:space="0" w:color="auto"/>
            </w:tcBorders>
          </w:tcPr>
          <w:p w14:paraId="0E4B8754"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029354D8"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One agreement will cover both the 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and AFD funding</w:t>
            </w:r>
          </w:p>
        </w:tc>
      </w:tr>
      <w:tr w:rsidR="000C3959" w14:paraId="4C9FF8D9" w14:textId="77777777" w:rsidTr="000C46A6">
        <w:trPr>
          <w:trHeight w:val="1772"/>
          <w:jc w:val="right"/>
        </w:trPr>
        <w:tc>
          <w:tcPr>
            <w:tcW w:w="990" w:type="dxa"/>
            <w:tcBorders>
              <w:top w:val="single" w:sz="4" w:space="0" w:color="auto"/>
              <w:left w:val="single" w:sz="4" w:space="0" w:color="auto"/>
              <w:bottom w:val="single" w:sz="4" w:space="0" w:color="auto"/>
              <w:right w:val="single" w:sz="4" w:space="0" w:color="auto"/>
            </w:tcBorders>
          </w:tcPr>
          <w:p w14:paraId="2436FA87"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1.2</w:t>
            </w:r>
          </w:p>
        </w:tc>
        <w:tc>
          <w:tcPr>
            <w:tcW w:w="2970" w:type="dxa"/>
            <w:tcBorders>
              <w:top w:val="single" w:sz="4" w:space="0" w:color="auto"/>
              <w:left w:val="single" w:sz="4" w:space="0" w:color="auto"/>
              <w:bottom w:val="single" w:sz="4" w:space="0" w:color="auto"/>
              <w:right w:val="single" w:sz="4" w:space="0" w:color="auto"/>
            </w:tcBorders>
            <w:hideMark/>
          </w:tcPr>
          <w:p w14:paraId="6C35CB28"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FA</w:t>
            </w:r>
            <w:r w:rsidR="00FB4CA6" w:rsidRPr="00126CD2">
              <w:rPr>
                <w:rFonts w:asciiTheme="minorHAnsi" w:eastAsia="Times New Roman" w:hAnsiTheme="minorHAnsi" w:cstheme="minorHAnsi"/>
                <w:color w:val="auto"/>
                <w:sz w:val="20"/>
                <w:szCs w:val="20"/>
              </w:rPr>
              <w:t xml:space="preserve"> (plus legal opinion) between W</w:t>
            </w:r>
            <w:r w:rsidR="00C00B64">
              <w:rPr>
                <w:rFonts w:asciiTheme="minorHAnsi" w:eastAsia="Times New Roman" w:hAnsiTheme="minorHAnsi" w:cstheme="minorHAnsi"/>
                <w:color w:val="auto"/>
                <w:sz w:val="20"/>
                <w:szCs w:val="20"/>
              </w:rPr>
              <w:t xml:space="preserve">orld </w:t>
            </w:r>
            <w:r w:rsidR="00FB4CA6"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00FB4CA6" w:rsidRPr="00126CD2">
              <w:rPr>
                <w:rFonts w:asciiTheme="minorHAnsi" w:eastAsia="Times New Roman" w:hAnsiTheme="minorHAnsi" w:cstheme="minorHAnsi"/>
                <w:color w:val="auto"/>
                <w:sz w:val="20"/>
                <w:szCs w:val="20"/>
              </w:rPr>
              <w:t xml:space="preserve"> and governments of Benin and Nigeria</w:t>
            </w:r>
          </w:p>
        </w:tc>
        <w:tc>
          <w:tcPr>
            <w:tcW w:w="1525" w:type="dxa"/>
            <w:tcBorders>
              <w:top w:val="single" w:sz="4" w:space="0" w:color="auto"/>
              <w:left w:val="single" w:sz="4" w:space="0" w:color="auto"/>
              <w:bottom w:val="single" w:sz="4" w:space="0" w:color="auto"/>
              <w:right w:val="single" w:sz="4" w:space="0" w:color="auto"/>
            </w:tcBorders>
            <w:hideMark/>
          </w:tcPr>
          <w:p w14:paraId="66BFAD9F"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30" w:type="dxa"/>
            <w:tcBorders>
              <w:top w:val="single" w:sz="4" w:space="0" w:color="auto"/>
              <w:left w:val="single" w:sz="4" w:space="0" w:color="auto"/>
              <w:bottom w:val="single" w:sz="4" w:space="0" w:color="auto"/>
              <w:right w:val="single" w:sz="4" w:space="0" w:color="auto"/>
            </w:tcBorders>
            <w:hideMark/>
          </w:tcPr>
          <w:p w14:paraId="6274A2C6"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15" w:type="dxa"/>
            <w:tcBorders>
              <w:top w:val="single" w:sz="4" w:space="0" w:color="auto"/>
              <w:left w:val="single" w:sz="4" w:space="0" w:color="auto"/>
              <w:bottom w:val="single" w:sz="4" w:space="0" w:color="auto"/>
              <w:right w:val="single" w:sz="4" w:space="0" w:color="auto"/>
            </w:tcBorders>
            <w:hideMark/>
          </w:tcPr>
          <w:p w14:paraId="2F9562FE"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hideMark/>
          </w:tcPr>
          <w:p w14:paraId="110374AE"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The 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shares its draft financial agreements with AFD to ensure that both financiers’ requirements are aligned</w:t>
            </w:r>
          </w:p>
        </w:tc>
      </w:tr>
      <w:tr w:rsidR="000C3959" w14:paraId="2D7E64BF" w14:textId="77777777" w:rsidTr="000C46A6">
        <w:trPr>
          <w:trHeight w:val="863"/>
          <w:jc w:val="right"/>
        </w:trPr>
        <w:tc>
          <w:tcPr>
            <w:tcW w:w="990" w:type="dxa"/>
            <w:tcBorders>
              <w:top w:val="single" w:sz="4" w:space="0" w:color="auto"/>
              <w:left w:val="single" w:sz="4" w:space="0" w:color="auto"/>
              <w:bottom w:val="single" w:sz="4" w:space="0" w:color="auto"/>
              <w:right w:val="single" w:sz="4" w:space="0" w:color="auto"/>
            </w:tcBorders>
          </w:tcPr>
          <w:p w14:paraId="301A7B2B"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1.3</w:t>
            </w:r>
          </w:p>
        </w:tc>
        <w:tc>
          <w:tcPr>
            <w:tcW w:w="2970" w:type="dxa"/>
            <w:tcBorders>
              <w:top w:val="single" w:sz="4" w:space="0" w:color="auto"/>
              <w:left w:val="single" w:sz="4" w:space="0" w:color="auto"/>
              <w:bottom w:val="single" w:sz="4" w:space="0" w:color="auto"/>
              <w:right w:val="single" w:sz="4" w:space="0" w:color="auto"/>
            </w:tcBorders>
          </w:tcPr>
          <w:p w14:paraId="02F3EE67"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FA</w:t>
            </w:r>
            <w:r w:rsidR="00FB4CA6" w:rsidRPr="00126CD2">
              <w:rPr>
                <w:rFonts w:asciiTheme="minorHAnsi" w:eastAsia="Times New Roman" w:hAnsiTheme="minorHAnsi" w:cstheme="minorHAnsi"/>
                <w:color w:val="auto"/>
                <w:sz w:val="20"/>
                <w:szCs w:val="20"/>
              </w:rPr>
              <w:t xml:space="preserve"> between AFD and governments of Benin and Nigeria</w:t>
            </w:r>
          </w:p>
        </w:tc>
        <w:tc>
          <w:tcPr>
            <w:tcW w:w="1525" w:type="dxa"/>
            <w:tcBorders>
              <w:top w:val="single" w:sz="4" w:space="0" w:color="auto"/>
              <w:left w:val="single" w:sz="4" w:space="0" w:color="auto"/>
              <w:bottom w:val="single" w:sz="4" w:space="0" w:color="auto"/>
              <w:right w:val="single" w:sz="4" w:space="0" w:color="auto"/>
            </w:tcBorders>
          </w:tcPr>
          <w:p w14:paraId="630D875C"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AFD</w:t>
            </w:r>
          </w:p>
        </w:tc>
        <w:tc>
          <w:tcPr>
            <w:tcW w:w="1530" w:type="dxa"/>
            <w:tcBorders>
              <w:top w:val="single" w:sz="4" w:space="0" w:color="auto"/>
              <w:left w:val="single" w:sz="4" w:space="0" w:color="auto"/>
              <w:bottom w:val="single" w:sz="4" w:space="0" w:color="auto"/>
              <w:right w:val="single" w:sz="4" w:space="0" w:color="auto"/>
            </w:tcBorders>
          </w:tcPr>
          <w:p w14:paraId="190EB921"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AFD</w:t>
            </w:r>
          </w:p>
        </w:tc>
        <w:tc>
          <w:tcPr>
            <w:tcW w:w="1515" w:type="dxa"/>
            <w:tcBorders>
              <w:top w:val="single" w:sz="4" w:space="0" w:color="auto"/>
              <w:left w:val="single" w:sz="4" w:space="0" w:color="auto"/>
              <w:bottom w:val="single" w:sz="4" w:space="0" w:color="auto"/>
              <w:right w:val="single" w:sz="4" w:space="0" w:color="auto"/>
            </w:tcBorders>
          </w:tcPr>
          <w:p w14:paraId="64E0F643"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AFD</w:t>
            </w:r>
          </w:p>
        </w:tc>
        <w:tc>
          <w:tcPr>
            <w:tcW w:w="2069" w:type="dxa"/>
            <w:tcBorders>
              <w:top w:val="single" w:sz="4" w:space="0" w:color="auto"/>
              <w:left w:val="single" w:sz="4" w:space="0" w:color="auto"/>
              <w:bottom w:val="single" w:sz="4" w:space="0" w:color="auto"/>
              <w:right w:val="single" w:sz="4" w:space="0" w:color="auto"/>
            </w:tcBorders>
          </w:tcPr>
          <w:p w14:paraId="255448E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Aligns with the 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financial agreements</w:t>
            </w:r>
          </w:p>
        </w:tc>
      </w:tr>
      <w:tr w:rsidR="000C3959" w14:paraId="27F87575" w14:textId="77777777" w:rsidTr="000C46A6">
        <w:trPr>
          <w:trHeight w:val="1331"/>
          <w:jc w:val="right"/>
        </w:trPr>
        <w:tc>
          <w:tcPr>
            <w:tcW w:w="990" w:type="dxa"/>
            <w:tcBorders>
              <w:top w:val="single" w:sz="4" w:space="0" w:color="auto"/>
              <w:left w:val="single" w:sz="4" w:space="0" w:color="auto"/>
              <w:bottom w:val="single" w:sz="4" w:space="0" w:color="auto"/>
              <w:right w:val="single" w:sz="4" w:space="0" w:color="auto"/>
            </w:tcBorders>
          </w:tcPr>
          <w:p w14:paraId="64EBB326"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1.4</w:t>
            </w:r>
          </w:p>
        </w:tc>
        <w:tc>
          <w:tcPr>
            <w:tcW w:w="2970" w:type="dxa"/>
            <w:tcBorders>
              <w:top w:val="single" w:sz="4" w:space="0" w:color="auto"/>
              <w:left w:val="single" w:sz="4" w:space="0" w:color="auto"/>
              <w:bottom w:val="single" w:sz="4" w:space="0" w:color="auto"/>
              <w:right w:val="single" w:sz="4" w:space="0" w:color="auto"/>
            </w:tcBorders>
          </w:tcPr>
          <w:p w14:paraId="4144A8BF"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POM</w:t>
            </w:r>
          </w:p>
        </w:tc>
        <w:tc>
          <w:tcPr>
            <w:tcW w:w="1525" w:type="dxa"/>
            <w:tcBorders>
              <w:top w:val="single" w:sz="4" w:space="0" w:color="auto"/>
              <w:left w:val="single" w:sz="4" w:space="0" w:color="auto"/>
              <w:bottom w:val="single" w:sz="4" w:space="0" w:color="auto"/>
              <w:right w:val="single" w:sz="4" w:space="0" w:color="auto"/>
            </w:tcBorders>
          </w:tcPr>
          <w:p w14:paraId="020A8F77"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w:t>
            </w:r>
          </w:p>
        </w:tc>
        <w:tc>
          <w:tcPr>
            <w:tcW w:w="1530" w:type="dxa"/>
            <w:tcBorders>
              <w:top w:val="single" w:sz="4" w:space="0" w:color="auto"/>
              <w:left w:val="single" w:sz="4" w:space="0" w:color="auto"/>
              <w:bottom w:val="single" w:sz="4" w:space="0" w:color="auto"/>
              <w:right w:val="single" w:sz="4" w:space="0" w:color="auto"/>
            </w:tcBorders>
          </w:tcPr>
          <w:p w14:paraId="6A2E872B"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15" w:type="dxa"/>
            <w:tcBorders>
              <w:top w:val="single" w:sz="4" w:space="0" w:color="auto"/>
              <w:left w:val="single" w:sz="4" w:space="0" w:color="auto"/>
              <w:bottom w:val="single" w:sz="4" w:space="0" w:color="auto"/>
              <w:right w:val="single" w:sz="4" w:space="0" w:color="auto"/>
            </w:tcBorders>
          </w:tcPr>
          <w:p w14:paraId="16046CA5"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42C8AF43"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The AAU will incorporate AFD’s comments, if any. Manual also covers C</w:t>
            </w:r>
            <w:r w:rsidR="00B04A2E">
              <w:rPr>
                <w:rFonts w:asciiTheme="minorHAnsi" w:eastAsia="Times New Roman" w:hAnsiTheme="minorHAnsi" w:cstheme="minorHAnsi"/>
                <w:color w:val="auto"/>
                <w:sz w:val="20"/>
                <w:szCs w:val="20"/>
              </w:rPr>
              <w:t>ô</w:t>
            </w:r>
            <w:r w:rsidRPr="00126CD2">
              <w:rPr>
                <w:rFonts w:asciiTheme="minorHAnsi" w:eastAsia="Times New Roman" w:hAnsiTheme="minorHAnsi" w:cstheme="minorHAnsi"/>
                <w:color w:val="auto"/>
                <w:sz w:val="20"/>
                <w:szCs w:val="20"/>
              </w:rPr>
              <w:t>te d’Ivoire</w:t>
            </w:r>
          </w:p>
        </w:tc>
      </w:tr>
      <w:tr w:rsidR="000C3959" w14:paraId="192953F6" w14:textId="77777777" w:rsidTr="000C46A6">
        <w:trPr>
          <w:trHeight w:val="998"/>
          <w:jc w:val="right"/>
        </w:trPr>
        <w:tc>
          <w:tcPr>
            <w:tcW w:w="990" w:type="dxa"/>
            <w:tcBorders>
              <w:top w:val="single" w:sz="4" w:space="0" w:color="auto"/>
              <w:left w:val="single" w:sz="4" w:space="0" w:color="auto"/>
              <w:bottom w:val="single" w:sz="4" w:space="0" w:color="auto"/>
              <w:right w:val="single" w:sz="4" w:space="0" w:color="auto"/>
            </w:tcBorders>
          </w:tcPr>
          <w:p w14:paraId="01BED45D"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1.5</w:t>
            </w:r>
          </w:p>
        </w:tc>
        <w:tc>
          <w:tcPr>
            <w:tcW w:w="2970" w:type="dxa"/>
            <w:tcBorders>
              <w:top w:val="single" w:sz="4" w:space="0" w:color="auto"/>
              <w:left w:val="single" w:sz="4" w:space="0" w:color="auto"/>
              <w:bottom w:val="single" w:sz="4" w:space="0" w:color="auto"/>
              <w:right w:val="single" w:sz="4" w:space="0" w:color="auto"/>
            </w:tcBorders>
          </w:tcPr>
          <w:p w14:paraId="10E59282"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Notice to governments of Nigeria and Benin declaring effectiveness</w:t>
            </w:r>
            <w:r w:rsidR="005E5E3E" w:rsidRPr="00126CD2">
              <w:rPr>
                <w:rFonts w:asciiTheme="minorHAnsi" w:eastAsia="Times New Roman" w:hAnsiTheme="minorHAnsi" w:cstheme="minorHAnsi"/>
                <w:color w:val="auto"/>
                <w:sz w:val="20"/>
                <w:szCs w:val="20"/>
              </w:rPr>
              <w:t xml:space="preserve"> </w:t>
            </w:r>
          </w:p>
        </w:tc>
        <w:tc>
          <w:tcPr>
            <w:tcW w:w="1525" w:type="dxa"/>
            <w:tcBorders>
              <w:top w:val="single" w:sz="4" w:space="0" w:color="auto"/>
              <w:left w:val="single" w:sz="4" w:space="0" w:color="auto"/>
              <w:bottom w:val="single" w:sz="4" w:space="0" w:color="auto"/>
              <w:right w:val="single" w:sz="4" w:space="0" w:color="auto"/>
            </w:tcBorders>
          </w:tcPr>
          <w:p w14:paraId="52324AD6"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(TTL)</w:t>
            </w:r>
          </w:p>
        </w:tc>
        <w:tc>
          <w:tcPr>
            <w:tcW w:w="1530" w:type="dxa"/>
            <w:tcBorders>
              <w:top w:val="single" w:sz="4" w:space="0" w:color="auto"/>
              <w:left w:val="single" w:sz="4" w:space="0" w:color="auto"/>
              <w:bottom w:val="single" w:sz="4" w:space="0" w:color="auto"/>
              <w:right w:val="single" w:sz="4" w:space="0" w:color="auto"/>
            </w:tcBorders>
          </w:tcPr>
          <w:p w14:paraId="6E6DDAC4"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(legal)</w:t>
            </w:r>
          </w:p>
        </w:tc>
        <w:tc>
          <w:tcPr>
            <w:tcW w:w="1515" w:type="dxa"/>
            <w:tcBorders>
              <w:top w:val="single" w:sz="4" w:space="0" w:color="auto"/>
              <w:left w:val="single" w:sz="4" w:space="0" w:color="auto"/>
              <w:bottom w:val="single" w:sz="4" w:space="0" w:color="auto"/>
              <w:right w:val="single" w:sz="4" w:space="0" w:color="auto"/>
            </w:tcBorders>
          </w:tcPr>
          <w:p w14:paraId="076E880B"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(regional director)</w:t>
            </w:r>
          </w:p>
        </w:tc>
        <w:tc>
          <w:tcPr>
            <w:tcW w:w="2069" w:type="dxa"/>
            <w:tcBorders>
              <w:top w:val="single" w:sz="4" w:space="0" w:color="auto"/>
              <w:left w:val="single" w:sz="4" w:space="0" w:color="auto"/>
              <w:bottom w:val="single" w:sz="4" w:space="0" w:color="auto"/>
              <w:right w:val="single" w:sz="4" w:space="0" w:color="auto"/>
            </w:tcBorders>
          </w:tcPr>
          <w:p w14:paraId="3665C4C5" w14:textId="77777777" w:rsidR="00837AE1" w:rsidRDefault="00837AE1" w:rsidP="008E2709">
            <w:pPr>
              <w:rPr>
                <w:rFonts w:asciiTheme="minorHAnsi" w:eastAsia="Times New Roman" w:hAnsiTheme="minorHAnsi" w:cstheme="minorHAnsi"/>
                <w:color w:val="auto"/>
                <w:sz w:val="20"/>
                <w:szCs w:val="20"/>
              </w:rPr>
            </w:pPr>
          </w:p>
          <w:p w14:paraId="793A8AEF" w14:textId="77777777" w:rsidR="00C05E71" w:rsidRDefault="00C05E71" w:rsidP="008E2709">
            <w:pPr>
              <w:rPr>
                <w:rFonts w:asciiTheme="minorHAnsi" w:eastAsia="Times New Roman" w:hAnsiTheme="minorHAnsi" w:cstheme="minorHAnsi"/>
                <w:color w:val="auto"/>
                <w:sz w:val="20"/>
                <w:szCs w:val="20"/>
              </w:rPr>
            </w:pPr>
          </w:p>
          <w:p w14:paraId="55F0FD11" w14:textId="77777777" w:rsidR="00C05E71" w:rsidRPr="00126CD2" w:rsidRDefault="00C05E71" w:rsidP="008E2709">
            <w:pPr>
              <w:rPr>
                <w:rFonts w:asciiTheme="minorHAnsi" w:eastAsia="Times New Roman" w:hAnsiTheme="minorHAnsi" w:cstheme="minorHAnsi"/>
                <w:color w:val="auto"/>
                <w:sz w:val="20"/>
                <w:szCs w:val="20"/>
              </w:rPr>
            </w:pPr>
          </w:p>
        </w:tc>
      </w:tr>
      <w:tr w:rsidR="000C3959" w14:paraId="29C079A9" w14:textId="77777777" w:rsidTr="005C5F63">
        <w:trPr>
          <w:trHeight w:val="326"/>
          <w:jc w:val="right"/>
        </w:trPr>
        <w:tc>
          <w:tcPr>
            <w:tcW w:w="9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86D596"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br w:type="page"/>
              <w:t>2.0</w:t>
            </w:r>
          </w:p>
        </w:tc>
        <w:tc>
          <w:tcPr>
            <w:tcW w:w="29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BCD7C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Financial Management</w:t>
            </w:r>
          </w:p>
        </w:tc>
        <w:tc>
          <w:tcPr>
            <w:tcW w:w="15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AF9410"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CFF351" w14:textId="77777777" w:rsidR="00837AE1" w:rsidRPr="00126CD2" w:rsidRDefault="00837AE1" w:rsidP="008E2709">
            <w:pP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B64B88"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7C89D5" w14:textId="77777777" w:rsidR="00837AE1" w:rsidRPr="00126CD2" w:rsidRDefault="00837AE1" w:rsidP="008E2709">
            <w:pPr>
              <w:rPr>
                <w:rFonts w:asciiTheme="minorHAnsi" w:eastAsia="Times New Roman" w:hAnsiTheme="minorHAnsi" w:cstheme="minorHAnsi"/>
                <w:color w:val="auto"/>
                <w:sz w:val="20"/>
                <w:szCs w:val="20"/>
              </w:rPr>
            </w:pPr>
          </w:p>
        </w:tc>
      </w:tr>
      <w:tr w:rsidR="000C3959" w14:paraId="78DA83FE" w14:textId="77777777" w:rsidTr="005C5F63">
        <w:trPr>
          <w:trHeight w:val="786"/>
          <w:jc w:val="right"/>
        </w:trPr>
        <w:tc>
          <w:tcPr>
            <w:tcW w:w="990" w:type="dxa"/>
            <w:tcBorders>
              <w:top w:val="single" w:sz="4" w:space="0" w:color="auto"/>
              <w:left w:val="single" w:sz="4" w:space="0" w:color="auto"/>
              <w:bottom w:val="single" w:sz="4" w:space="0" w:color="auto"/>
              <w:right w:val="single" w:sz="4" w:space="0" w:color="auto"/>
            </w:tcBorders>
          </w:tcPr>
          <w:p w14:paraId="58081498"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2.1</w:t>
            </w:r>
          </w:p>
        </w:tc>
        <w:tc>
          <w:tcPr>
            <w:tcW w:w="2970" w:type="dxa"/>
            <w:tcBorders>
              <w:top w:val="single" w:sz="4" w:space="0" w:color="auto"/>
              <w:left w:val="single" w:sz="4" w:space="0" w:color="auto"/>
              <w:bottom w:val="single" w:sz="4" w:space="0" w:color="auto"/>
              <w:right w:val="single" w:sz="4" w:space="0" w:color="auto"/>
            </w:tcBorders>
          </w:tcPr>
          <w:p w14:paraId="490B0101"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Prepare annual work plans and budgets</w:t>
            </w:r>
          </w:p>
        </w:tc>
        <w:tc>
          <w:tcPr>
            <w:tcW w:w="1525" w:type="dxa"/>
            <w:tcBorders>
              <w:top w:val="single" w:sz="4" w:space="0" w:color="auto"/>
              <w:left w:val="single" w:sz="4" w:space="0" w:color="auto"/>
              <w:bottom w:val="single" w:sz="4" w:space="0" w:color="auto"/>
              <w:right w:val="single" w:sz="4" w:space="0" w:color="auto"/>
            </w:tcBorders>
          </w:tcPr>
          <w:p w14:paraId="463271E2"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ACEs in Benin Nigeria and C</w:t>
            </w:r>
            <w:r w:rsidR="00B04A2E">
              <w:rPr>
                <w:rFonts w:asciiTheme="minorHAnsi" w:eastAsia="Times New Roman" w:hAnsiTheme="minorHAnsi" w:cstheme="minorHAnsi"/>
                <w:color w:val="auto"/>
                <w:sz w:val="20"/>
                <w:szCs w:val="20"/>
              </w:rPr>
              <w:t>ô</w:t>
            </w:r>
            <w:r w:rsidRPr="00126CD2">
              <w:rPr>
                <w:rFonts w:asciiTheme="minorHAnsi" w:eastAsia="Times New Roman" w:hAnsiTheme="minorHAnsi" w:cstheme="minorHAnsi"/>
                <w:color w:val="auto"/>
                <w:sz w:val="20"/>
                <w:szCs w:val="20"/>
              </w:rPr>
              <w:t>te d’Ivoire</w:t>
            </w:r>
          </w:p>
        </w:tc>
        <w:tc>
          <w:tcPr>
            <w:tcW w:w="1530" w:type="dxa"/>
            <w:tcBorders>
              <w:top w:val="single" w:sz="4" w:space="0" w:color="auto"/>
              <w:left w:val="single" w:sz="4" w:space="0" w:color="auto"/>
              <w:bottom w:val="single" w:sz="4" w:space="0" w:color="auto"/>
              <w:right w:val="single" w:sz="4" w:space="0" w:color="auto"/>
            </w:tcBorders>
          </w:tcPr>
          <w:p w14:paraId="1847C1DF"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experts</w:t>
            </w:r>
          </w:p>
        </w:tc>
        <w:tc>
          <w:tcPr>
            <w:tcW w:w="1515" w:type="dxa"/>
            <w:tcBorders>
              <w:top w:val="single" w:sz="4" w:space="0" w:color="auto"/>
              <w:left w:val="single" w:sz="4" w:space="0" w:color="auto"/>
              <w:bottom w:val="single" w:sz="4" w:space="0" w:color="auto"/>
              <w:right w:val="single" w:sz="4" w:space="0" w:color="auto"/>
            </w:tcBorders>
          </w:tcPr>
          <w:p w14:paraId="13E54887"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5E1C2594"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Pr>
                <w:rFonts w:asciiTheme="minorHAnsi" w:eastAsia="Times New Roman" w:hAnsiTheme="minorHAnsi" w:cstheme="minorHAnsi"/>
                <w:color w:val="auto"/>
                <w:sz w:val="20"/>
                <w:szCs w:val="20"/>
              </w:rPr>
              <w:t xml:space="preserve"> </w:t>
            </w:r>
            <w:r w:rsidR="001D39A3">
              <w:rPr>
                <w:rFonts w:asciiTheme="minorHAnsi" w:eastAsia="Times New Roman" w:hAnsiTheme="minorHAnsi" w:cstheme="minorHAnsi"/>
                <w:color w:val="auto"/>
                <w:sz w:val="20"/>
                <w:szCs w:val="20"/>
              </w:rPr>
              <w:t>will c</w:t>
            </w:r>
            <w:r w:rsidR="001229EB" w:rsidRPr="00126CD2">
              <w:rPr>
                <w:rFonts w:asciiTheme="minorHAnsi" w:eastAsia="Times New Roman" w:hAnsiTheme="minorHAnsi" w:cstheme="minorHAnsi"/>
                <w:color w:val="auto"/>
                <w:sz w:val="20"/>
                <w:szCs w:val="20"/>
              </w:rPr>
              <w:t>opy AFD on approval</w:t>
            </w:r>
          </w:p>
        </w:tc>
      </w:tr>
      <w:tr w:rsidR="000C3959" w14:paraId="1417668C" w14:textId="77777777" w:rsidTr="005C5F63">
        <w:trPr>
          <w:trHeight w:val="786"/>
          <w:jc w:val="right"/>
        </w:trPr>
        <w:tc>
          <w:tcPr>
            <w:tcW w:w="990" w:type="dxa"/>
            <w:tcBorders>
              <w:top w:val="single" w:sz="4" w:space="0" w:color="auto"/>
              <w:left w:val="single" w:sz="4" w:space="0" w:color="auto"/>
              <w:bottom w:val="single" w:sz="4" w:space="0" w:color="auto"/>
              <w:right w:val="single" w:sz="4" w:space="0" w:color="auto"/>
            </w:tcBorders>
          </w:tcPr>
          <w:p w14:paraId="72069052"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2.2</w:t>
            </w:r>
          </w:p>
        </w:tc>
        <w:tc>
          <w:tcPr>
            <w:tcW w:w="2970" w:type="dxa"/>
            <w:tcBorders>
              <w:top w:val="single" w:sz="4" w:space="0" w:color="auto"/>
              <w:left w:val="single" w:sz="4" w:space="0" w:color="auto"/>
              <w:bottom w:val="single" w:sz="4" w:space="0" w:color="auto"/>
              <w:right w:val="single" w:sz="4" w:space="0" w:color="auto"/>
            </w:tcBorders>
          </w:tcPr>
          <w:p w14:paraId="00DB8D1C"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Monitoring actual expenditure and commitments against budgets</w:t>
            </w:r>
          </w:p>
        </w:tc>
        <w:tc>
          <w:tcPr>
            <w:tcW w:w="1525" w:type="dxa"/>
            <w:tcBorders>
              <w:top w:val="single" w:sz="4" w:space="0" w:color="auto"/>
              <w:left w:val="single" w:sz="4" w:space="0" w:color="auto"/>
              <w:bottom w:val="single" w:sz="4" w:space="0" w:color="auto"/>
              <w:right w:val="single" w:sz="4" w:space="0" w:color="auto"/>
            </w:tcBorders>
          </w:tcPr>
          <w:p w14:paraId="01C10D45"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ACEs in Benin and Nigeria</w:t>
            </w:r>
          </w:p>
        </w:tc>
        <w:tc>
          <w:tcPr>
            <w:tcW w:w="1530" w:type="dxa"/>
            <w:tcBorders>
              <w:top w:val="single" w:sz="4" w:space="0" w:color="auto"/>
              <w:left w:val="single" w:sz="4" w:space="0" w:color="auto"/>
              <w:bottom w:val="single" w:sz="4" w:space="0" w:color="auto"/>
              <w:right w:val="single" w:sz="4" w:space="0" w:color="auto"/>
            </w:tcBorders>
          </w:tcPr>
          <w:p w14:paraId="6626B5FB"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15" w:type="dxa"/>
            <w:tcBorders>
              <w:top w:val="single" w:sz="4" w:space="0" w:color="auto"/>
              <w:left w:val="single" w:sz="4" w:space="0" w:color="auto"/>
              <w:bottom w:val="single" w:sz="4" w:space="0" w:color="auto"/>
              <w:right w:val="single" w:sz="4" w:space="0" w:color="auto"/>
            </w:tcBorders>
          </w:tcPr>
          <w:p w14:paraId="76204012"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4E46FAFC"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Pr>
                <w:rFonts w:asciiTheme="minorHAnsi" w:eastAsia="Times New Roman" w:hAnsiTheme="minorHAnsi" w:cstheme="minorHAnsi"/>
                <w:color w:val="auto"/>
                <w:sz w:val="20"/>
                <w:szCs w:val="20"/>
              </w:rPr>
              <w:t xml:space="preserve"> will c</w:t>
            </w:r>
            <w:r w:rsidRPr="00A01C2F">
              <w:rPr>
                <w:rFonts w:asciiTheme="minorHAnsi" w:eastAsia="Times New Roman" w:hAnsiTheme="minorHAnsi" w:cstheme="minorHAnsi"/>
                <w:color w:val="auto"/>
                <w:sz w:val="20"/>
                <w:szCs w:val="20"/>
              </w:rPr>
              <w:t>opy AFD on approval</w:t>
            </w:r>
          </w:p>
        </w:tc>
      </w:tr>
      <w:tr w:rsidR="000C3959" w14:paraId="1CC8927E"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60C5C9E5"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2.3</w:t>
            </w:r>
          </w:p>
        </w:tc>
        <w:tc>
          <w:tcPr>
            <w:tcW w:w="2970" w:type="dxa"/>
            <w:tcBorders>
              <w:top w:val="single" w:sz="4" w:space="0" w:color="auto"/>
              <w:left w:val="single" w:sz="4" w:space="0" w:color="auto"/>
              <w:bottom w:val="single" w:sz="4" w:space="0" w:color="auto"/>
              <w:right w:val="single" w:sz="4" w:space="0" w:color="auto"/>
            </w:tcBorders>
          </w:tcPr>
          <w:p w14:paraId="1EDF4982"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Verification; confirmation of eligibility of expenditure with supporting documents.</w:t>
            </w:r>
          </w:p>
        </w:tc>
        <w:tc>
          <w:tcPr>
            <w:tcW w:w="1525" w:type="dxa"/>
            <w:tcBorders>
              <w:top w:val="single" w:sz="4" w:space="0" w:color="auto"/>
              <w:left w:val="single" w:sz="4" w:space="0" w:color="auto"/>
              <w:bottom w:val="single" w:sz="4" w:space="0" w:color="auto"/>
              <w:right w:val="single" w:sz="4" w:space="0" w:color="auto"/>
            </w:tcBorders>
          </w:tcPr>
          <w:p w14:paraId="7713C89B"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ACEs in Benin and Nigeria</w:t>
            </w:r>
          </w:p>
        </w:tc>
        <w:tc>
          <w:tcPr>
            <w:tcW w:w="1530" w:type="dxa"/>
            <w:tcBorders>
              <w:top w:val="single" w:sz="4" w:space="0" w:color="auto"/>
              <w:left w:val="single" w:sz="4" w:space="0" w:color="auto"/>
              <w:bottom w:val="single" w:sz="4" w:space="0" w:color="auto"/>
              <w:right w:val="single" w:sz="4" w:space="0" w:color="auto"/>
            </w:tcBorders>
          </w:tcPr>
          <w:p w14:paraId="4D03CDFB"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15" w:type="dxa"/>
            <w:tcBorders>
              <w:top w:val="single" w:sz="4" w:space="0" w:color="auto"/>
              <w:left w:val="single" w:sz="4" w:space="0" w:color="auto"/>
              <w:bottom w:val="single" w:sz="4" w:space="0" w:color="auto"/>
              <w:right w:val="single" w:sz="4" w:space="0" w:color="auto"/>
            </w:tcBorders>
          </w:tcPr>
          <w:p w14:paraId="2601F0C6"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337EA68F"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Pr>
                <w:rFonts w:asciiTheme="minorHAnsi" w:eastAsia="Times New Roman" w:hAnsiTheme="minorHAnsi" w:cstheme="minorHAnsi"/>
                <w:color w:val="auto"/>
                <w:sz w:val="20"/>
                <w:szCs w:val="20"/>
              </w:rPr>
              <w:t xml:space="preserve"> will c</w:t>
            </w:r>
            <w:r w:rsidRPr="00A01C2F">
              <w:rPr>
                <w:rFonts w:asciiTheme="minorHAnsi" w:eastAsia="Times New Roman" w:hAnsiTheme="minorHAnsi" w:cstheme="minorHAnsi"/>
                <w:color w:val="auto"/>
                <w:sz w:val="20"/>
                <w:szCs w:val="20"/>
              </w:rPr>
              <w:t>opy AFD on approval</w:t>
            </w:r>
          </w:p>
        </w:tc>
      </w:tr>
      <w:tr w:rsidR="000C3959" w14:paraId="4F93EE8A"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55A8BDBE"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lastRenderedPageBreak/>
              <w:t>2.4</w:t>
            </w:r>
          </w:p>
        </w:tc>
        <w:tc>
          <w:tcPr>
            <w:tcW w:w="2970" w:type="dxa"/>
            <w:tcBorders>
              <w:top w:val="single" w:sz="4" w:space="0" w:color="auto"/>
              <w:left w:val="single" w:sz="4" w:space="0" w:color="auto"/>
              <w:bottom w:val="single" w:sz="4" w:space="0" w:color="auto"/>
              <w:right w:val="single" w:sz="4" w:space="0" w:color="auto"/>
            </w:tcBorders>
          </w:tcPr>
          <w:p w14:paraId="45841749"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Preparation of semi-annual IFRs and </w:t>
            </w:r>
            <w:r w:rsidR="004249EE" w:rsidRPr="00126CD2">
              <w:rPr>
                <w:rFonts w:asciiTheme="minorHAnsi" w:eastAsia="Times New Roman" w:hAnsiTheme="minorHAnsi" w:cstheme="minorHAnsi"/>
                <w:color w:val="auto"/>
                <w:sz w:val="20"/>
                <w:szCs w:val="20"/>
              </w:rPr>
              <w:t>audited annual</w:t>
            </w:r>
            <w:r w:rsidRPr="00126CD2">
              <w:rPr>
                <w:rFonts w:asciiTheme="minorHAnsi" w:eastAsia="Times New Roman" w:hAnsiTheme="minorHAnsi" w:cstheme="minorHAnsi"/>
                <w:color w:val="auto"/>
                <w:sz w:val="20"/>
                <w:szCs w:val="20"/>
              </w:rPr>
              <w:t xml:space="preserve"> Financial Statements, using format acceptable to the</w:t>
            </w:r>
            <w:r w:rsidR="00C00B64">
              <w:rPr>
                <w:rFonts w:asciiTheme="minorHAnsi" w:eastAsia="Times New Roman" w:hAnsiTheme="minorHAnsi" w:cstheme="minorHAnsi"/>
                <w:color w:val="auto"/>
                <w:sz w:val="20"/>
                <w:szCs w:val="20"/>
              </w:rPr>
              <w:t xml:space="preserve"> World</w:t>
            </w:r>
            <w:r w:rsidRPr="00126CD2">
              <w:rPr>
                <w:rFonts w:asciiTheme="minorHAnsi" w:eastAsia="Times New Roman" w:hAnsiTheme="minorHAnsi" w:cstheme="minorHAnsi"/>
                <w:color w:val="auto"/>
                <w:sz w:val="20"/>
                <w:szCs w:val="20"/>
              </w:rPr>
              <w:t xml:space="preserve"> Bank</w:t>
            </w:r>
          </w:p>
        </w:tc>
        <w:tc>
          <w:tcPr>
            <w:tcW w:w="1525" w:type="dxa"/>
            <w:tcBorders>
              <w:top w:val="single" w:sz="4" w:space="0" w:color="auto"/>
              <w:left w:val="single" w:sz="4" w:space="0" w:color="auto"/>
              <w:bottom w:val="single" w:sz="4" w:space="0" w:color="auto"/>
              <w:right w:val="single" w:sz="4" w:space="0" w:color="auto"/>
            </w:tcBorders>
          </w:tcPr>
          <w:p w14:paraId="777E2F9F"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and Nigeria </w:t>
            </w:r>
          </w:p>
        </w:tc>
        <w:tc>
          <w:tcPr>
            <w:tcW w:w="1530" w:type="dxa"/>
            <w:tcBorders>
              <w:top w:val="single" w:sz="4" w:space="0" w:color="auto"/>
              <w:left w:val="single" w:sz="4" w:space="0" w:color="auto"/>
              <w:bottom w:val="single" w:sz="4" w:space="0" w:color="auto"/>
              <w:right w:val="single" w:sz="4" w:space="0" w:color="auto"/>
            </w:tcBorders>
          </w:tcPr>
          <w:p w14:paraId="3EF5DA60"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78C77933"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1781A20D"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63327E66"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2327F94E"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1D39A3">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290D1443"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79330FBA"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2.5</w:t>
            </w:r>
          </w:p>
        </w:tc>
        <w:tc>
          <w:tcPr>
            <w:tcW w:w="2970" w:type="dxa"/>
            <w:tcBorders>
              <w:top w:val="single" w:sz="4" w:space="0" w:color="auto"/>
              <w:left w:val="single" w:sz="4" w:space="0" w:color="auto"/>
              <w:bottom w:val="single" w:sz="4" w:space="0" w:color="auto"/>
              <w:right w:val="single" w:sz="4" w:space="0" w:color="auto"/>
            </w:tcBorders>
            <w:hideMark/>
          </w:tcPr>
          <w:p w14:paraId="36EF4C7B"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Financial audit (T</w:t>
            </w:r>
            <w:r w:rsidR="00B31F6D">
              <w:rPr>
                <w:rFonts w:asciiTheme="minorHAnsi" w:eastAsia="Times New Roman" w:hAnsiTheme="minorHAnsi" w:cstheme="minorHAnsi"/>
                <w:color w:val="auto"/>
                <w:sz w:val="20"/>
                <w:szCs w:val="20"/>
              </w:rPr>
              <w:t>o</w:t>
            </w:r>
            <w:r w:rsidRPr="00126CD2">
              <w:rPr>
                <w:rFonts w:asciiTheme="minorHAnsi" w:eastAsia="Times New Roman" w:hAnsiTheme="minorHAnsi" w:cstheme="minorHAnsi"/>
                <w:color w:val="auto"/>
                <w:sz w:val="20"/>
                <w:szCs w:val="20"/>
              </w:rPr>
              <w:t>R and acceptance of auditors)</w:t>
            </w:r>
          </w:p>
          <w:p w14:paraId="1555D28B" w14:textId="77777777" w:rsidR="00837AE1" w:rsidRPr="00126CD2" w:rsidRDefault="00837AE1" w:rsidP="008E2709">
            <w:pPr>
              <w:rPr>
                <w:rFonts w:asciiTheme="minorHAnsi" w:eastAsia="Times New Roman" w:hAnsiTheme="minorHAnsi" w:cstheme="minorHAnsi"/>
                <w:color w:val="auto"/>
                <w:sz w:val="20"/>
                <w:szCs w:val="20"/>
              </w:rPr>
            </w:pPr>
          </w:p>
          <w:p w14:paraId="187AD964" w14:textId="77777777" w:rsidR="00837AE1" w:rsidRPr="00126CD2" w:rsidRDefault="00837AE1" w:rsidP="008E2709">
            <w:pPr>
              <w:rPr>
                <w:rFonts w:asciiTheme="minorHAnsi" w:eastAsia="Times New Roman" w:hAnsiTheme="minorHAnsi" w:cstheme="minorHAnsi"/>
                <w:color w:val="auto"/>
                <w:sz w:val="20"/>
                <w:szCs w:val="20"/>
              </w:rPr>
            </w:pPr>
          </w:p>
        </w:tc>
        <w:tc>
          <w:tcPr>
            <w:tcW w:w="1525" w:type="dxa"/>
            <w:tcBorders>
              <w:top w:val="single" w:sz="4" w:space="0" w:color="auto"/>
              <w:left w:val="single" w:sz="4" w:space="0" w:color="auto"/>
              <w:bottom w:val="single" w:sz="4" w:space="0" w:color="auto"/>
              <w:right w:val="single" w:sz="4" w:space="0" w:color="auto"/>
            </w:tcBorders>
            <w:hideMark/>
          </w:tcPr>
          <w:p w14:paraId="3BF2A254"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and Nigeria </w:t>
            </w:r>
          </w:p>
        </w:tc>
        <w:tc>
          <w:tcPr>
            <w:tcW w:w="1530" w:type="dxa"/>
            <w:tcBorders>
              <w:top w:val="single" w:sz="4" w:space="0" w:color="auto"/>
              <w:left w:val="single" w:sz="4" w:space="0" w:color="auto"/>
              <w:bottom w:val="single" w:sz="4" w:space="0" w:color="auto"/>
              <w:right w:val="single" w:sz="4" w:space="0" w:color="auto"/>
            </w:tcBorders>
            <w:hideMark/>
          </w:tcPr>
          <w:p w14:paraId="664A318D"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1515" w:type="dxa"/>
            <w:tcBorders>
              <w:top w:val="single" w:sz="4" w:space="0" w:color="auto"/>
              <w:left w:val="single" w:sz="4" w:space="0" w:color="auto"/>
              <w:bottom w:val="single" w:sz="4" w:space="0" w:color="auto"/>
              <w:right w:val="single" w:sz="4" w:space="0" w:color="auto"/>
            </w:tcBorders>
            <w:hideMark/>
          </w:tcPr>
          <w:p w14:paraId="475BE18A"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hideMark/>
          </w:tcPr>
          <w:p w14:paraId="2AE83384" w14:textId="77777777" w:rsidR="00837AE1" w:rsidRPr="00126CD2" w:rsidRDefault="00B00100" w:rsidP="008E2709">
            <w:pPr>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Pr>
                <w:rFonts w:asciiTheme="minorHAnsi" w:eastAsia="Times New Roman" w:hAnsiTheme="minorHAnsi" w:cstheme="minorHAnsi"/>
                <w:color w:val="auto"/>
                <w:sz w:val="20"/>
                <w:szCs w:val="20"/>
              </w:rPr>
              <w:t xml:space="preserve"> will c</w:t>
            </w:r>
            <w:r w:rsidRPr="00A01C2F">
              <w:rPr>
                <w:rFonts w:asciiTheme="minorHAnsi" w:eastAsia="Times New Roman" w:hAnsiTheme="minorHAnsi" w:cstheme="minorHAnsi"/>
                <w:color w:val="auto"/>
                <w:sz w:val="20"/>
                <w:szCs w:val="20"/>
              </w:rPr>
              <w:t>opy AFD on approval</w:t>
            </w:r>
          </w:p>
        </w:tc>
      </w:tr>
      <w:tr w:rsidR="000C3959" w14:paraId="5FF4ED7F"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CF28DA"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3.0</w:t>
            </w:r>
          </w:p>
        </w:tc>
        <w:tc>
          <w:tcPr>
            <w:tcW w:w="29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5F1D38"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Procurement Management</w:t>
            </w:r>
          </w:p>
        </w:tc>
        <w:tc>
          <w:tcPr>
            <w:tcW w:w="15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F0C816"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38A631" w14:textId="77777777" w:rsidR="00837AE1" w:rsidRPr="00126CD2" w:rsidRDefault="00837AE1" w:rsidP="008E2709">
            <w:pP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4C9A77"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CE99F4" w14:textId="77777777" w:rsidR="00837AE1" w:rsidRPr="00126CD2" w:rsidRDefault="00837AE1" w:rsidP="008E2709">
            <w:pPr>
              <w:rPr>
                <w:rFonts w:asciiTheme="minorHAnsi" w:eastAsia="Times New Roman" w:hAnsiTheme="minorHAnsi" w:cstheme="minorHAnsi"/>
                <w:color w:val="auto"/>
                <w:sz w:val="20"/>
                <w:szCs w:val="20"/>
              </w:rPr>
            </w:pPr>
          </w:p>
        </w:tc>
      </w:tr>
      <w:tr w:rsidR="000C3959" w14:paraId="5E5AC94D" w14:textId="77777777" w:rsidTr="000C46A6">
        <w:trPr>
          <w:trHeight w:val="1304"/>
          <w:jc w:val="right"/>
        </w:trPr>
        <w:tc>
          <w:tcPr>
            <w:tcW w:w="990" w:type="dxa"/>
            <w:tcBorders>
              <w:top w:val="single" w:sz="4" w:space="0" w:color="auto"/>
              <w:left w:val="single" w:sz="4" w:space="0" w:color="auto"/>
              <w:bottom w:val="single" w:sz="4" w:space="0" w:color="auto"/>
              <w:right w:val="single" w:sz="4" w:space="0" w:color="auto"/>
            </w:tcBorders>
          </w:tcPr>
          <w:p w14:paraId="52480265"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3.1</w:t>
            </w:r>
          </w:p>
        </w:tc>
        <w:tc>
          <w:tcPr>
            <w:tcW w:w="2970" w:type="dxa"/>
            <w:tcBorders>
              <w:top w:val="single" w:sz="4" w:space="0" w:color="auto"/>
              <w:left w:val="single" w:sz="4" w:space="0" w:color="auto"/>
              <w:bottom w:val="single" w:sz="4" w:space="0" w:color="auto"/>
              <w:right w:val="single" w:sz="4" w:space="0" w:color="auto"/>
            </w:tcBorders>
          </w:tcPr>
          <w:p w14:paraId="2F90ADB1"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Procurement Plans</w:t>
            </w:r>
          </w:p>
        </w:tc>
        <w:tc>
          <w:tcPr>
            <w:tcW w:w="1525" w:type="dxa"/>
            <w:tcBorders>
              <w:top w:val="single" w:sz="4" w:space="0" w:color="auto"/>
              <w:left w:val="single" w:sz="4" w:space="0" w:color="auto"/>
              <w:bottom w:val="single" w:sz="4" w:space="0" w:color="auto"/>
              <w:right w:val="single" w:sz="4" w:space="0" w:color="auto"/>
            </w:tcBorders>
          </w:tcPr>
          <w:p w14:paraId="5C642056"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and Nigeria </w:t>
            </w:r>
          </w:p>
        </w:tc>
        <w:tc>
          <w:tcPr>
            <w:tcW w:w="1530" w:type="dxa"/>
            <w:tcBorders>
              <w:top w:val="single" w:sz="4" w:space="0" w:color="auto"/>
              <w:left w:val="single" w:sz="4" w:space="0" w:color="auto"/>
              <w:bottom w:val="single" w:sz="4" w:space="0" w:color="auto"/>
              <w:right w:val="single" w:sz="4" w:space="0" w:color="auto"/>
            </w:tcBorders>
          </w:tcPr>
          <w:p w14:paraId="08397690"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(quality review, for Benin and Nigeria)</w:t>
            </w:r>
          </w:p>
        </w:tc>
        <w:tc>
          <w:tcPr>
            <w:tcW w:w="1515" w:type="dxa"/>
            <w:tcBorders>
              <w:top w:val="single" w:sz="4" w:space="0" w:color="auto"/>
              <w:left w:val="single" w:sz="4" w:space="0" w:color="auto"/>
              <w:bottom w:val="single" w:sz="4" w:space="0" w:color="auto"/>
              <w:right w:val="single" w:sz="4" w:space="0" w:color="auto"/>
            </w:tcBorders>
          </w:tcPr>
          <w:p w14:paraId="1F861455"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75C6C62F"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provides quality review </w:t>
            </w:r>
          </w:p>
          <w:p w14:paraId="65ADF9F3"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AFD will be copied on feedback to relevant centers</w:t>
            </w:r>
          </w:p>
        </w:tc>
      </w:tr>
      <w:tr w:rsidR="000C3959" w14:paraId="48BB8642"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5BE969A2"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3.2</w:t>
            </w:r>
          </w:p>
        </w:tc>
        <w:tc>
          <w:tcPr>
            <w:tcW w:w="2970" w:type="dxa"/>
            <w:tcBorders>
              <w:top w:val="single" w:sz="4" w:space="0" w:color="auto"/>
              <w:left w:val="single" w:sz="4" w:space="0" w:color="auto"/>
              <w:bottom w:val="single" w:sz="4" w:space="0" w:color="auto"/>
              <w:right w:val="single" w:sz="4" w:space="0" w:color="auto"/>
            </w:tcBorders>
          </w:tcPr>
          <w:p w14:paraId="248663D0"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Procurement processes follow national or the universities’ own procurement system</w:t>
            </w:r>
          </w:p>
        </w:tc>
        <w:tc>
          <w:tcPr>
            <w:tcW w:w="1525" w:type="dxa"/>
            <w:tcBorders>
              <w:top w:val="single" w:sz="4" w:space="0" w:color="auto"/>
              <w:left w:val="single" w:sz="4" w:space="0" w:color="auto"/>
              <w:bottom w:val="single" w:sz="4" w:space="0" w:color="auto"/>
              <w:right w:val="single" w:sz="4" w:space="0" w:color="auto"/>
            </w:tcBorders>
          </w:tcPr>
          <w:p w14:paraId="52AFF4FC"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and Nigeria </w:t>
            </w:r>
          </w:p>
        </w:tc>
        <w:tc>
          <w:tcPr>
            <w:tcW w:w="1530" w:type="dxa"/>
            <w:tcBorders>
              <w:top w:val="single" w:sz="4" w:space="0" w:color="auto"/>
              <w:left w:val="single" w:sz="4" w:space="0" w:color="auto"/>
              <w:bottom w:val="single" w:sz="4" w:space="0" w:color="auto"/>
              <w:right w:val="single" w:sz="4" w:space="0" w:color="auto"/>
            </w:tcBorders>
          </w:tcPr>
          <w:p w14:paraId="435639E5" w14:textId="77777777" w:rsidR="00837AE1" w:rsidRPr="00126CD2" w:rsidRDefault="00837AE1" w:rsidP="008E2709">
            <w:pP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5DF7D191"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072F9D8B" w14:textId="77777777" w:rsidR="00837AE1" w:rsidRPr="00126CD2" w:rsidRDefault="00837AE1" w:rsidP="008E2709">
            <w:pPr>
              <w:rPr>
                <w:rFonts w:asciiTheme="minorHAnsi" w:eastAsia="Times New Roman" w:hAnsiTheme="minorHAnsi" w:cstheme="minorHAnsi"/>
                <w:color w:val="auto"/>
                <w:sz w:val="20"/>
                <w:szCs w:val="20"/>
              </w:rPr>
            </w:pPr>
          </w:p>
        </w:tc>
      </w:tr>
      <w:tr w:rsidR="000C3959" w14:paraId="6E73BE46" w14:textId="77777777" w:rsidTr="000C46A6">
        <w:trPr>
          <w:trHeight w:val="809"/>
          <w:jc w:val="right"/>
        </w:trPr>
        <w:tc>
          <w:tcPr>
            <w:tcW w:w="990" w:type="dxa"/>
            <w:tcBorders>
              <w:top w:val="single" w:sz="4" w:space="0" w:color="auto"/>
              <w:left w:val="single" w:sz="4" w:space="0" w:color="auto"/>
              <w:bottom w:val="single" w:sz="4" w:space="0" w:color="auto"/>
              <w:right w:val="single" w:sz="4" w:space="0" w:color="auto"/>
            </w:tcBorders>
          </w:tcPr>
          <w:p w14:paraId="5D1A649F"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3.4</w:t>
            </w:r>
          </w:p>
        </w:tc>
        <w:tc>
          <w:tcPr>
            <w:tcW w:w="2970" w:type="dxa"/>
            <w:tcBorders>
              <w:top w:val="single" w:sz="4" w:space="0" w:color="auto"/>
              <w:left w:val="single" w:sz="4" w:space="0" w:color="auto"/>
              <w:bottom w:val="single" w:sz="4" w:space="0" w:color="auto"/>
              <w:right w:val="single" w:sz="4" w:space="0" w:color="auto"/>
            </w:tcBorders>
          </w:tcPr>
          <w:p w14:paraId="58930F03"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Procurement audit (T</w:t>
            </w:r>
            <w:r w:rsidR="00B31F6D">
              <w:rPr>
                <w:rFonts w:asciiTheme="minorHAnsi" w:eastAsia="Times New Roman" w:hAnsiTheme="minorHAnsi" w:cstheme="minorHAnsi"/>
                <w:color w:val="auto"/>
                <w:sz w:val="20"/>
                <w:szCs w:val="20"/>
              </w:rPr>
              <w:t>o</w:t>
            </w:r>
            <w:r w:rsidRPr="00126CD2">
              <w:rPr>
                <w:rFonts w:asciiTheme="minorHAnsi" w:eastAsia="Times New Roman" w:hAnsiTheme="minorHAnsi" w:cstheme="minorHAnsi"/>
                <w:color w:val="auto"/>
                <w:sz w:val="20"/>
                <w:szCs w:val="20"/>
              </w:rPr>
              <w:t>R and acceptance of auditors)</w:t>
            </w:r>
          </w:p>
        </w:tc>
        <w:tc>
          <w:tcPr>
            <w:tcW w:w="1525" w:type="dxa"/>
            <w:tcBorders>
              <w:top w:val="single" w:sz="4" w:space="0" w:color="auto"/>
              <w:left w:val="single" w:sz="4" w:space="0" w:color="auto"/>
              <w:bottom w:val="single" w:sz="4" w:space="0" w:color="auto"/>
              <w:right w:val="single" w:sz="4" w:space="0" w:color="auto"/>
            </w:tcBorders>
          </w:tcPr>
          <w:p w14:paraId="1CB3CB78"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Nigeria </w:t>
            </w:r>
          </w:p>
        </w:tc>
        <w:tc>
          <w:tcPr>
            <w:tcW w:w="1530" w:type="dxa"/>
            <w:tcBorders>
              <w:top w:val="single" w:sz="4" w:space="0" w:color="auto"/>
              <w:left w:val="single" w:sz="4" w:space="0" w:color="auto"/>
              <w:bottom w:val="single" w:sz="4" w:space="0" w:color="auto"/>
              <w:right w:val="single" w:sz="4" w:space="0" w:color="auto"/>
            </w:tcBorders>
          </w:tcPr>
          <w:p w14:paraId="38918B38"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4296A7E7"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28B42A7A"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22CE50D4"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5FFFABEE"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332907EE" w14:textId="77777777" w:rsidTr="000C46A6">
        <w:trPr>
          <w:trHeight w:val="1340"/>
          <w:jc w:val="right"/>
        </w:trPr>
        <w:tc>
          <w:tcPr>
            <w:tcW w:w="990" w:type="dxa"/>
            <w:tcBorders>
              <w:top w:val="single" w:sz="4" w:space="0" w:color="auto"/>
              <w:left w:val="single" w:sz="4" w:space="0" w:color="auto"/>
              <w:bottom w:val="single" w:sz="4" w:space="0" w:color="auto"/>
              <w:right w:val="single" w:sz="4" w:space="0" w:color="auto"/>
            </w:tcBorders>
          </w:tcPr>
          <w:p w14:paraId="69576416"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3.5</w:t>
            </w:r>
          </w:p>
        </w:tc>
        <w:tc>
          <w:tcPr>
            <w:tcW w:w="2970" w:type="dxa"/>
            <w:tcBorders>
              <w:top w:val="single" w:sz="4" w:space="0" w:color="auto"/>
              <w:left w:val="single" w:sz="4" w:space="0" w:color="auto"/>
              <w:bottom w:val="single" w:sz="4" w:space="0" w:color="auto"/>
              <w:right w:val="single" w:sz="4" w:space="0" w:color="auto"/>
            </w:tcBorders>
          </w:tcPr>
          <w:p w14:paraId="58A7861E"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List of eligible vendors </w:t>
            </w:r>
          </w:p>
        </w:tc>
        <w:tc>
          <w:tcPr>
            <w:tcW w:w="1525" w:type="dxa"/>
            <w:tcBorders>
              <w:top w:val="single" w:sz="4" w:space="0" w:color="auto"/>
              <w:left w:val="single" w:sz="4" w:space="0" w:color="auto"/>
              <w:bottom w:val="single" w:sz="4" w:space="0" w:color="auto"/>
              <w:right w:val="single" w:sz="4" w:space="0" w:color="auto"/>
            </w:tcBorders>
          </w:tcPr>
          <w:p w14:paraId="2DD11CD8"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A4C4C2E"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6C136603"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3F3D711C"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Decide here which list counts, in case b</w:t>
            </w:r>
            <w:r w:rsidR="007862A8" w:rsidRPr="00126CD2">
              <w:rPr>
                <w:rFonts w:asciiTheme="minorHAnsi" w:eastAsia="Times New Roman" w:hAnsiTheme="minorHAnsi" w:cstheme="minorHAnsi"/>
                <w:color w:val="auto"/>
                <w:sz w:val="20"/>
                <w:szCs w:val="20"/>
              </w:rPr>
              <w:t>l</w:t>
            </w:r>
            <w:r w:rsidRPr="00126CD2">
              <w:rPr>
                <w:rFonts w:asciiTheme="minorHAnsi" w:eastAsia="Times New Roman" w:hAnsiTheme="minorHAnsi" w:cstheme="minorHAnsi"/>
                <w:color w:val="auto"/>
                <w:sz w:val="20"/>
                <w:szCs w:val="20"/>
              </w:rPr>
              <w:t xml:space="preserve">acklisted vendors </w:t>
            </w:r>
            <w:r w:rsidR="00EC40BF" w:rsidRPr="00126CD2">
              <w:rPr>
                <w:rFonts w:asciiTheme="minorHAnsi" w:eastAsia="Times New Roman" w:hAnsiTheme="minorHAnsi" w:cstheme="minorHAnsi"/>
                <w:color w:val="auto"/>
                <w:sz w:val="20"/>
                <w:szCs w:val="20"/>
              </w:rPr>
              <w:t>on the W</w:t>
            </w:r>
            <w:r w:rsidR="00C00B64">
              <w:rPr>
                <w:rFonts w:asciiTheme="minorHAnsi" w:eastAsia="Times New Roman" w:hAnsiTheme="minorHAnsi" w:cstheme="minorHAnsi"/>
                <w:color w:val="auto"/>
                <w:sz w:val="20"/>
                <w:szCs w:val="20"/>
              </w:rPr>
              <w:t xml:space="preserve">orld </w:t>
            </w:r>
            <w:r w:rsidR="00EC40BF"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00EC40BF" w:rsidRPr="00126CD2">
              <w:rPr>
                <w:rFonts w:asciiTheme="minorHAnsi" w:eastAsia="Times New Roman" w:hAnsiTheme="minorHAnsi" w:cstheme="minorHAnsi"/>
                <w:color w:val="auto"/>
                <w:sz w:val="20"/>
                <w:szCs w:val="20"/>
              </w:rPr>
              <w:t xml:space="preserve"> and AFD lists </w:t>
            </w:r>
            <w:r w:rsidR="007862A8" w:rsidRPr="00126CD2">
              <w:rPr>
                <w:rFonts w:asciiTheme="minorHAnsi" w:eastAsia="Times New Roman" w:hAnsiTheme="minorHAnsi" w:cstheme="minorHAnsi"/>
                <w:color w:val="auto"/>
                <w:sz w:val="20"/>
                <w:szCs w:val="20"/>
              </w:rPr>
              <w:t>d</w:t>
            </w:r>
            <w:r w:rsidRPr="00126CD2">
              <w:rPr>
                <w:rFonts w:asciiTheme="minorHAnsi" w:eastAsia="Times New Roman" w:hAnsiTheme="minorHAnsi" w:cstheme="minorHAnsi"/>
                <w:color w:val="auto"/>
                <w:sz w:val="20"/>
                <w:szCs w:val="20"/>
              </w:rPr>
              <w:t xml:space="preserve">o not match </w:t>
            </w:r>
          </w:p>
        </w:tc>
      </w:tr>
      <w:tr w:rsidR="000C3959" w14:paraId="5D96E4ED" w14:textId="77777777" w:rsidTr="005C5F63">
        <w:trPr>
          <w:trHeight w:val="527"/>
          <w:jc w:val="right"/>
        </w:trPr>
        <w:tc>
          <w:tcPr>
            <w:tcW w:w="9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21F73F"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br w:type="page"/>
              <w:t>4.0</w:t>
            </w:r>
          </w:p>
        </w:tc>
        <w:tc>
          <w:tcPr>
            <w:tcW w:w="29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171828"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Monitoring &amp; Evaluation and DLI Verification</w:t>
            </w:r>
          </w:p>
        </w:tc>
        <w:tc>
          <w:tcPr>
            <w:tcW w:w="15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06A26E"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921F03" w14:textId="77777777" w:rsidR="00837AE1" w:rsidRPr="00126CD2" w:rsidRDefault="00837AE1" w:rsidP="008E2709">
            <w:pP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BCBA1D"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3CC679" w14:textId="77777777" w:rsidR="00837AE1" w:rsidRPr="00126CD2" w:rsidRDefault="00837AE1" w:rsidP="008E2709">
            <w:pPr>
              <w:rPr>
                <w:rFonts w:asciiTheme="minorHAnsi" w:eastAsia="Times New Roman" w:hAnsiTheme="minorHAnsi" w:cstheme="minorHAnsi"/>
                <w:color w:val="auto"/>
                <w:sz w:val="20"/>
                <w:szCs w:val="20"/>
              </w:rPr>
            </w:pPr>
          </w:p>
        </w:tc>
      </w:tr>
      <w:tr w:rsidR="000C3959" w14:paraId="0DE1B336"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00D93131"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4.1</w:t>
            </w:r>
          </w:p>
        </w:tc>
        <w:tc>
          <w:tcPr>
            <w:tcW w:w="2970" w:type="dxa"/>
            <w:tcBorders>
              <w:top w:val="single" w:sz="4" w:space="0" w:color="auto"/>
              <w:left w:val="single" w:sz="4" w:space="0" w:color="auto"/>
              <w:bottom w:val="single" w:sz="4" w:space="0" w:color="auto"/>
              <w:right w:val="single" w:sz="4" w:space="0" w:color="auto"/>
            </w:tcBorders>
          </w:tcPr>
          <w:p w14:paraId="2740D728"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Monitoring project related indicators (results)</w:t>
            </w:r>
          </w:p>
        </w:tc>
        <w:tc>
          <w:tcPr>
            <w:tcW w:w="1525" w:type="dxa"/>
            <w:tcBorders>
              <w:top w:val="single" w:sz="4" w:space="0" w:color="auto"/>
              <w:left w:val="single" w:sz="4" w:space="0" w:color="auto"/>
              <w:bottom w:val="single" w:sz="4" w:space="0" w:color="auto"/>
              <w:right w:val="single" w:sz="4" w:space="0" w:color="auto"/>
            </w:tcBorders>
          </w:tcPr>
          <w:p w14:paraId="7D8ACF67"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w:t>
            </w:r>
            <w:r w:rsidR="004249EE" w:rsidRPr="00126CD2">
              <w:rPr>
                <w:rFonts w:asciiTheme="minorHAnsi" w:eastAsia="Times New Roman" w:hAnsiTheme="minorHAnsi" w:cstheme="minorHAnsi"/>
                <w:color w:val="auto"/>
                <w:sz w:val="20"/>
                <w:szCs w:val="20"/>
              </w:rPr>
              <w:t>Benin Nigeria</w:t>
            </w:r>
            <w:r w:rsidRPr="00126CD2">
              <w:rPr>
                <w:rFonts w:asciiTheme="minorHAnsi" w:eastAsia="Times New Roman" w:hAnsiTheme="minorHAnsi" w:cstheme="minorHAnsi"/>
                <w:color w:val="auto"/>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51439EC3"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experts</w:t>
            </w:r>
          </w:p>
        </w:tc>
        <w:tc>
          <w:tcPr>
            <w:tcW w:w="1515" w:type="dxa"/>
            <w:tcBorders>
              <w:top w:val="single" w:sz="4" w:space="0" w:color="auto"/>
              <w:left w:val="single" w:sz="4" w:space="0" w:color="auto"/>
              <w:bottom w:val="single" w:sz="4" w:space="0" w:color="auto"/>
              <w:right w:val="single" w:sz="4" w:space="0" w:color="auto"/>
            </w:tcBorders>
          </w:tcPr>
          <w:p w14:paraId="2A2E7622"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5376C147"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reports</w:t>
            </w:r>
            <w:r w:rsidR="00A70515" w:rsidRPr="00126CD2">
              <w:rPr>
                <w:rFonts w:asciiTheme="minorHAnsi" w:eastAsia="Times New Roman" w:hAnsiTheme="minorHAnsi" w:cstheme="minorHAnsi"/>
                <w:color w:val="auto"/>
                <w:sz w:val="20"/>
                <w:szCs w:val="20"/>
              </w:rPr>
              <w:t xml:space="preserve"> approved M&amp;E results to both W</w:t>
            </w:r>
            <w:r w:rsidR="00C00B64">
              <w:rPr>
                <w:rFonts w:asciiTheme="minorHAnsi" w:eastAsia="Times New Roman" w:hAnsiTheme="minorHAnsi" w:cstheme="minorHAnsi"/>
                <w:color w:val="auto"/>
                <w:sz w:val="20"/>
                <w:szCs w:val="20"/>
              </w:rPr>
              <w:t xml:space="preserve">orld </w:t>
            </w:r>
            <w:r w:rsidR="00A70515"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00A70515" w:rsidRPr="00126CD2">
              <w:rPr>
                <w:rFonts w:asciiTheme="minorHAnsi" w:eastAsia="Times New Roman" w:hAnsiTheme="minorHAnsi" w:cstheme="minorHAnsi"/>
                <w:color w:val="auto"/>
                <w:sz w:val="20"/>
                <w:szCs w:val="20"/>
              </w:rPr>
              <w:t xml:space="preserve"> and AFD</w:t>
            </w:r>
          </w:p>
        </w:tc>
      </w:tr>
      <w:tr w:rsidR="000C3959" w14:paraId="0B3F697A" w14:textId="77777777" w:rsidTr="005C5F63">
        <w:trPr>
          <w:trHeight w:val="243"/>
          <w:jc w:val="right"/>
        </w:trPr>
        <w:tc>
          <w:tcPr>
            <w:tcW w:w="990" w:type="dxa"/>
            <w:tcBorders>
              <w:top w:val="single" w:sz="4" w:space="0" w:color="auto"/>
              <w:left w:val="single" w:sz="4" w:space="0" w:color="auto"/>
              <w:bottom w:val="single" w:sz="4" w:space="0" w:color="auto"/>
              <w:right w:val="single" w:sz="4" w:space="0" w:color="auto"/>
            </w:tcBorders>
          </w:tcPr>
          <w:p w14:paraId="26A4E01B"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4.2</w:t>
            </w:r>
          </w:p>
        </w:tc>
        <w:tc>
          <w:tcPr>
            <w:tcW w:w="2970" w:type="dxa"/>
            <w:tcBorders>
              <w:top w:val="single" w:sz="4" w:space="0" w:color="auto"/>
              <w:left w:val="single" w:sz="4" w:space="0" w:color="auto"/>
              <w:bottom w:val="single" w:sz="4" w:space="0" w:color="auto"/>
              <w:right w:val="single" w:sz="4" w:space="0" w:color="auto"/>
            </w:tcBorders>
          </w:tcPr>
          <w:p w14:paraId="1E363C36"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Verification of DLIs (DLRs)</w:t>
            </w:r>
          </w:p>
        </w:tc>
        <w:tc>
          <w:tcPr>
            <w:tcW w:w="1525" w:type="dxa"/>
            <w:tcBorders>
              <w:top w:val="single" w:sz="4" w:space="0" w:color="auto"/>
              <w:left w:val="single" w:sz="4" w:space="0" w:color="auto"/>
              <w:bottom w:val="single" w:sz="4" w:space="0" w:color="auto"/>
              <w:right w:val="single" w:sz="4" w:space="0" w:color="auto"/>
            </w:tcBorders>
          </w:tcPr>
          <w:p w14:paraId="21B09346"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ACEs in Benin Nigeria and C</w:t>
            </w:r>
            <w:r w:rsidR="00B04A2E">
              <w:rPr>
                <w:rFonts w:asciiTheme="minorHAnsi" w:eastAsia="Times New Roman" w:hAnsiTheme="minorHAnsi" w:cstheme="minorHAnsi"/>
                <w:color w:val="auto"/>
                <w:sz w:val="20"/>
                <w:szCs w:val="20"/>
              </w:rPr>
              <w:t>ô</w:t>
            </w:r>
            <w:r w:rsidRPr="00126CD2">
              <w:rPr>
                <w:rFonts w:asciiTheme="minorHAnsi" w:eastAsia="Times New Roman" w:hAnsiTheme="minorHAnsi" w:cstheme="minorHAnsi"/>
                <w:color w:val="auto"/>
                <w:sz w:val="20"/>
                <w:szCs w:val="20"/>
              </w:rPr>
              <w:t>te d’Ivoire</w:t>
            </w:r>
          </w:p>
        </w:tc>
        <w:tc>
          <w:tcPr>
            <w:tcW w:w="1530" w:type="dxa"/>
            <w:tcBorders>
              <w:top w:val="single" w:sz="4" w:space="0" w:color="auto"/>
              <w:left w:val="single" w:sz="4" w:space="0" w:color="auto"/>
              <w:bottom w:val="single" w:sz="4" w:space="0" w:color="auto"/>
              <w:right w:val="single" w:sz="4" w:space="0" w:color="auto"/>
            </w:tcBorders>
          </w:tcPr>
          <w:p w14:paraId="0E0EABF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experts</w:t>
            </w:r>
          </w:p>
        </w:tc>
        <w:tc>
          <w:tcPr>
            <w:tcW w:w="1515" w:type="dxa"/>
            <w:tcBorders>
              <w:top w:val="single" w:sz="4" w:space="0" w:color="auto"/>
              <w:left w:val="single" w:sz="4" w:space="0" w:color="auto"/>
              <w:bottom w:val="single" w:sz="4" w:space="0" w:color="auto"/>
              <w:right w:val="single" w:sz="4" w:space="0" w:color="auto"/>
            </w:tcBorders>
          </w:tcPr>
          <w:p w14:paraId="63E8CE4B"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753EF4BA"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copies AFD on approval /confirmation email to centers informing them of DLI achievement</w:t>
            </w:r>
          </w:p>
        </w:tc>
      </w:tr>
      <w:tr w:rsidR="000C3959" w14:paraId="2890B545"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1ABE21FF"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5.1</w:t>
            </w:r>
          </w:p>
        </w:tc>
        <w:tc>
          <w:tcPr>
            <w:tcW w:w="2970" w:type="dxa"/>
            <w:tcBorders>
              <w:top w:val="single" w:sz="4" w:space="0" w:color="auto"/>
              <w:left w:val="single" w:sz="4" w:space="0" w:color="auto"/>
              <w:bottom w:val="single" w:sz="4" w:space="0" w:color="auto"/>
              <w:right w:val="single" w:sz="4" w:space="0" w:color="auto"/>
            </w:tcBorders>
          </w:tcPr>
          <w:p w14:paraId="0B2B01B7" w14:textId="77777777" w:rsidR="00837AE1" w:rsidRPr="00126CD2" w:rsidRDefault="00B00100" w:rsidP="008E2709">
            <w:pPr>
              <w:spacing w:after="60"/>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 Setting up reimbursable accounts (approval of banks)</w:t>
            </w:r>
          </w:p>
        </w:tc>
        <w:tc>
          <w:tcPr>
            <w:tcW w:w="1525" w:type="dxa"/>
            <w:tcBorders>
              <w:top w:val="single" w:sz="4" w:space="0" w:color="auto"/>
              <w:left w:val="single" w:sz="4" w:space="0" w:color="auto"/>
              <w:bottom w:val="single" w:sz="4" w:space="0" w:color="auto"/>
              <w:right w:val="single" w:sz="4" w:space="0" w:color="auto"/>
            </w:tcBorders>
          </w:tcPr>
          <w:p w14:paraId="0BED874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Nigeria </w:t>
            </w:r>
          </w:p>
        </w:tc>
        <w:tc>
          <w:tcPr>
            <w:tcW w:w="1530" w:type="dxa"/>
            <w:tcBorders>
              <w:top w:val="single" w:sz="4" w:space="0" w:color="auto"/>
              <w:left w:val="single" w:sz="4" w:space="0" w:color="auto"/>
              <w:bottom w:val="single" w:sz="4" w:space="0" w:color="auto"/>
              <w:right w:val="single" w:sz="4" w:space="0" w:color="auto"/>
            </w:tcBorders>
          </w:tcPr>
          <w:p w14:paraId="326C42D4"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7E4C9F25"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5C82505E"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0E51FECB"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7AA860A6"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2B044961" w14:textId="77777777" w:rsidTr="005C5F63">
        <w:trPr>
          <w:trHeight w:val="401"/>
          <w:jc w:val="right"/>
        </w:trPr>
        <w:tc>
          <w:tcPr>
            <w:tcW w:w="990" w:type="dxa"/>
            <w:tcBorders>
              <w:top w:val="single" w:sz="4" w:space="0" w:color="auto"/>
              <w:left w:val="single" w:sz="4" w:space="0" w:color="auto"/>
              <w:bottom w:val="single" w:sz="4" w:space="0" w:color="auto"/>
              <w:right w:val="single" w:sz="4" w:space="0" w:color="auto"/>
            </w:tcBorders>
          </w:tcPr>
          <w:p w14:paraId="5286E05F"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5.2</w:t>
            </w:r>
          </w:p>
        </w:tc>
        <w:tc>
          <w:tcPr>
            <w:tcW w:w="2970" w:type="dxa"/>
            <w:tcBorders>
              <w:top w:val="single" w:sz="4" w:space="0" w:color="auto"/>
              <w:left w:val="single" w:sz="4" w:space="0" w:color="auto"/>
              <w:bottom w:val="single" w:sz="4" w:space="0" w:color="auto"/>
              <w:right w:val="single" w:sz="4" w:space="0" w:color="auto"/>
            </w:tcBorders>
          </w:tcPr>
          <w:p w14:paraId="1B5A8138"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Withdrawal Applications</w:t>
            </w:r>
          </w:p>
        </w:tc>
        <w:tc>
          <w:tcPr>
            <w:tcW w:w="1525" w:type="dxa"/>
            <w:tcBorders>
              <w:top w:val="single" w:sz="4" w:space="0" w:color="auto"/>
              <w:left w:val="single" w:sz="4" w:space="0" w:color="auto"/>
              <w:bottom w:val="single" w:sz="4" w:space="0" w:color="auto"/>
              <w:right w:val="single" w:sz="4" w:space="0" w:color="auto"/>
            </w:tcBorders>
          </w:tcPr>
          <w:p w14:paraId="7A1BF99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ACEs in Benin; NUC (on behalf of ACEs in Nigeria);</w:t>
            </w:r>
          </w:p>
        </w:tc>
        <w:tc>
          <w:tcPr>
            <w:tcW w:w="1530" w:type="dxa"/>
            <w:tcBorders>
              <w:top w:val="single" w:sz="4" w:space="0" w:color="auto"/>
              <w:left w:val="single" w:sz="4" w:space="0" w:color="auto"/>
              <w:bottom w:val="single" w:sz="4" w:space="0" w:color="auto"/>
              <w:right w:val="single" w:sz="4" w:space="0" w:color="auto"/>
            </w:tcBorders>
          </w:tcPr>
          <w:p w14:paraId="1E43E5B0"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2DCF48E9"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042CE06D"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48AA578A"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49ED2DD6"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6C2AE51F"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5E7FD186"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5.3</w:t>
            </w:r>
          </w:p>
        </w:tc>
        <w:tc>
          <w:tcPr>
            <w:tcW w:w="2970" w:type="dxa"/>
            <w:tcBorders>
              <w:top w:val="single" w:sz="4" w:space="0" w:color="auto"/>
              <w:left w:val="single" w:sz="4" w:space="0" w:color="auto"/>
              <w:bottom w:val="single" w:sz="4" w:space="0" w:color="auto"/>
              <w:right w:val="single" w:sz="4" w:space="0" w:color="auto"/>
            </w:tcBorders>
          </w:tcPr>
          <w:p w14:paraId="6895DFDD"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Disbursement of Funds</w:t>
            </w:r>
          </w:p>
        </w:tc>
        <w:tc>
          <w:tcPr>
            <w:tcW w:w="1525" w:type="dxa"/>
            <w:tcBorders>
              <w:top w:val="single" w:sz="4" w:space="0" w:color="auto"/>
              <w:left w:val="single" w:sz="4" w:space="0" w:color="auto"/>
              <w:bottom w:val="single" w:sz="4" w:space="0" w:color="auto"/>
              <w:right w:val="single" w:sz="4" w:space="0" w:color="auto"/>
            </w:tcBorders>
          </w:tcPr>
          <w:p w14:paraId="58BA077C"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3BE16F5"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5E8398F5"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&amp; AFD (Benin &amp; </w:t>
            </w:r>
            <w:r w:rsidRPr="00126CD2">
              <w:rPr>
                <w:rFonts w:asciiTheme="minorHAnsi" w:eastAsia="Times New Roman" w:hAnsiTheme="minorHAnsi" w:cstheme="minorHAnsi"/>
                <w:color w:val="auto"/>
                <w:sz w:val="20"/>
                <w:szCs w:val="20"/>
              </w:rPr>
              <w:lastRenderedPageBreak/>
              <w:t>Nigeria)</w:t>
            </w:r>
          </w:p>
          <w:p w14:paraId="798FD4D4"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1DE4C373"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lastRenderedPageBreak/>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0FB3804B" w14:textId="77777777" w:rsidTr="005C5F63">
        <w:trPr>
          <w:trHeight w:val="486"/>
          <w:jc w:val="right"/>
        </w:trPr>
        <w:tc>
          <w:tcPr>
            <w:tcW w:w="990" w:type="dxa"/>
            <w:tcBorders>
              <w:top w:val="single" w:sz="4" w:space="0" w:color="auto"/>
              <w:left w:val="single" w:sz="4" w:space="0" w:color="auto"/>
              <w:bottom w:val="single" w:sz="4" w:space="0" w:color="auto"/>
              <w:right w:val="single" w:sz="4" w:space="0" w:color="auto"/>
            </w:tcBorders>
          </w:tcPr>
          <w:p w14:paraId="44A4C801"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5.4</w:t>
            </w:r>
          </w:p>
        </w:tc>
        <w:tc>
          <w:tcPr>
            <w:tcW w:w="2970" w:type="dxa"/>
            <w:tcBorders>
              <w:top w:val="single" w:sz="4" w:space="0" w:color="auto"/>
              <w:left w:val="single" w:sz="4" w:space="0" w:color="auto"/>
              <w:bottom w:val="single" w:sz="4" w:space="0" w:color="auto"/>
              <w:right w:val="single" w:sz="4" w:space="0" w:color="auto"/>
            </w:tcBorders>
          </w:tcPr>
          <w:p w14:paraId="00999E04"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Expert reports on supervision visits to centers</w:t>
            </w:r>
          </w:p>
        </w:tc>
        <w:tc>
          <w:tcPr>
            <w:tcW w:w="1525" w:type="dxa"/>
            <w:tcBorders>
              <w:top w:val="single" w:sz="4" w:space="0" w:color="auto"/>
              <w:left w:val="single" w:sz="4" w:space="0" w:color="auto"/>
              <w:bottom w:val="single" w:sz="4" w:space="0" w:color="auto"/>
              <w:right w:val="single" w:sz="4" w:space="0" w:color="auto"/>
            </w:tcBorders>
          </w:tcPr>
          <w:p w14:paraId="204FB627"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experts</w:t>
            </w:r>
          </w:p>
        </w:tc>
        <w:tc>
          <w:tcPr>
            <w:tcW w:w="1530" w:type="dxa"/>
            <w:tcBorders>
              <w:top w:val="single" w:sz="4" w:space="0" w:color="auto"/>
              <w:left w:val="single" w:sz="4" w:space="0" w:color="auto"/>
              <w:bottom w:val="single" w:sz="4" w:space="0" w:color="auto"/>
              <w:right w:val="single" w:sz="4" w:space="0" w:color="auto"/>
            </w:tcBorders>
          </w:tcPr>
          <w:p w14:paraId="2D0BC093"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36E7948B"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tcPr>
          <w:p w14:paraId="6D3A5F1D" w14:textId="77777777" w:rsidR="00837AE1" w:rsidRPr="00126CD2" w:rsidRDefault="00B00100" w:rsidP="008E2709">
            <w:pPr>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(Benin &amp; Nigeria)</w:t>
            </w:r>
          </w:p>
          <w:p w14:paraId="735FD01F" w14:textId="77777777" w:rsidR="00837AE1" w:rsidRPr="00126CD2" w:rsidRDefault="00837AE1" w:rsidP="008E2709">
            <w:pPr>
              <w:jc w:val="cente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tcPr>
          <w:p w14:paraId="3DC02761"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r w:rsidR="000C3959" w14:paraId="5DDF8E90" w14:textId="77777777" w:rsidTr="005C5F63">
        <w:trPr>
          <w:trHeight w:val="243"/>
          <w:jc w:val="right"/>
        </w:trPr>
        <w:tc>
          <w:tcPr>
            <w:tcW w:w="9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4D7EBB"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6.0</w:t>
            </w:r>
          </w:p>
        </w:tc>
        <w:tc>
          <w:tcPr>
            <w:tcW w:w="29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03C2B2"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Safeguards</w:t>
            </w:r>
          </w:p>
        </w:tc>
        <w:tc>
          <w:tcPr>
            <w:tcW w:w="15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50FCC2" w14:textId="77777777" w:rsidR="00837AE1" w:rsidRPr="00126CD2" w:rsidRDefault="00837AE1" w:rsidP="008E2709">
            <w:pPr>
              <w:rPr>
                <w:rFonts w:asciiTheme="minorHAnsi" w:eastAsia="Times New Roman" w:hAnsiTheme="minorHAnsi" w:cstheme="minorHAnsi"/>
                <w:color w:val="auto"/>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FD6D01" w14:textId="77777777" w:rsidR="00837AE1" w:rsidRPr="00126CD2" w:rsidRDefault="00837AE1" w:rsidP="008E2709">
            <w:pPr>
              <w:rPr>
                <w:rFonts w:asciiTheme="minorHAnsi" w:eastAsia="Times New Roman" w:hAnsiTheme="minorHAnsi" w:cstheme="minorHAnsi"/>
                <w:color w:val="auto"/>
                <w:sz w:val="20"/>
                <w:szCs w:val="20"/>
              </w:rPr>
            </w:pP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4B80A0" w14:textId="77777777" w:rsidR="00837AE1" w:rsidRPr="00126CD2" w:rsidRDefault="00837AE1" w:rsidP="008E2709">
            <w:pPr>
              <w:rPr>
                <w:rFonts w:asciiTheme="minorHAnsi" w:eastAsia="Times New Roman" w:hAnsiTheme="minorHAnsi" w:cstheme="minorHAnsi"/>
                <w:color w:val="auto"/>
                <w:sz w:val="20"/>
                <w:szCs w:val="20"/>
              </w:rPr>
            </w:pPr>
          </w:p>
        </w:tc>
        <w:tc>
          <w:tcPr>
            <w:tcW w:w="20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925BFB" w14:textId="77777777" w:rsidR="00837AE1" w:rsidRPr="00126CD2" w:rsidRDefault="00837AE1" w:rsidP="008E2709">
            <w:pPr>
              <w:rPr>
                <w:rFonts w:asciiTheme="minorHAnsi" w:eastAsia="Times New Roman" w:hAnsiTheme="minorHAnsi" w:cstheme="minorHAnsi"/>
                <w:color w:val="auto"/>
                <w:sz w:val="20"/>
                <w:szCs w:val="20"/>
              </w:rPr>
            </w:pPr>
          </w:p>
        </w:tc>
      </w:tr>
      <w:tr w:rsidR="000C3959" w14:paraId="71125F4C" w14:textId="77777777" w:rsidTr="005C5F63">
        <w:trPr>
          <w:trHeight w:val="539"/>
          <w:jc w:val="right"/>
        </w:trPr>
        <w:tc>
          <w:tcPr>
            <w:tcW w:w="990" w:type="dxa"/>
            <w:tcBorders>
              <w:top w:val="single" w:sz="4" w:space="0" w:color="auto"/>
              <w:left w:val="single" w:sz="4" w:space="0" w:color="auto"/>
              <w:bottom w:val="single" w:sz="4" w:space="0" w:color="auto"/>
              <w:right w:val="single" w:sz="4" w:space="0" w:color="auto"/>
            </w:tcBorders>
          </w:tcPr>
          <w:p w14:paraId="646D171B" w14:textId="77777777" w:rsidR="00837AE1" w:rsidRPr="00126CD2" w:rsidRDefault="00B00100" w:rsidP="008E2709">
            <w:pPr>
              <w:spacing w:after="60"/>
              <w:jc w:val="cente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6.1</w:t>
            </w:r>
          </w:p>
        </w:tc>
        <w:tc>
          <w:tcPr>
            <w:tcW w:w="2970" w:type="dxa"/>
            <w:tcBorders>
              <w:top w:val="single" w:sz="4" w:space="0" w:color="auto"/>
              <w:left w:val="single" w:sz="4" w:space="0" w:color="auto"/>
              <w:bottom w:val="single" w:sz="4" w:space="0" w:color="auto"/>
              <w:right w:val="single" w:sz="4" w:space="0" w:color="auto"/>
            </w:tcBorders>
          </w:tcPr>
          <w:p w14:paraId="481C5D1F"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ESMP/ESIA (E&amp;S compliance)</w:t>
            </w:r>
          </w:p>
        </w:tc>
        <w:tc>
          <w:tcPr>
            <w:tcW w:w="1525" w:type="dxa"/>
            <w:tcBorders>
              <w:top w:val="single" w:sz="4" w:space="0" w:color="auto"/>
              <w:left w:val="single" w:sz="4" w:space="0" w:color="auto"/>
              <w:bottom w:val="single" w:sz="4" w:space="0" w:color="auto"/>
              <w:right w:val="single" w:sz="4" w:space="0" w:color="auto"/>
            </w:tcBorders>
          </w:tcPr>
          <w:p w14:paraId="032D40D6"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 xml:space="preserve">ACEs in Benin, Nigeria </w:t>
            </w:r>
          </w:p>
        </w:tc>
        <w:tc>
          <w:tcPr>
            <w:tcW w:w="1530" w:type="dxa"/>
            <w:tcBorders>
              <w:top w:val="single" w:sz="4" w:space="0" w:color="auto"/>
              <w:left w:val="single" w:sz="4" w:space="0" w:color="auto"/>
              <w:bottom w:val="single" w:sz="4" w:space="0" w:color="auto"/>
              <w:right w:val="single" w:sz="4" w:space="0" w:color="auto"/>
            </w:tcBorders>
          </w:tcPr>
          <w:p w14:paraId="7A1D0BA9"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AAU Safeguards Specialist</w:t>
            </w:r>
          </w:p>
        </w:tc>
        <w:tc>
          <w:tcPr>
            <w:tcW w:w="1515" w:type="dxa"/>
            <w:tcBorders>
              <w:top w:val="single" w:sz="4" w:space="0" w:color="auto"/>
              <w:left w:val="single" w:sz="4" w:space="0" w:color="auto"/>
              <w:bottom w:val="single" w:sz="4" w:space="0" w:color="auto"/>
              <w:right w:val="single" w:sz="4" w:space="0" w:color="auto"/>
            </w:tcBorders>
          </w:tcPr>
          <w:p w14:paraId="47553BE5"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p>
        </w:tc>
        <w:tc>
          <w:tcPr>
            <w:tcW w:w="2069" w:type="dxa"/>
            <w:tcBorders>
              <w:top w:val="single" w:sz="4" w:space="0" w:color="auto"/>
              <w:left w:val="single" w:sz="4" w:space="0" w:color="auto"/>
              <w:bottom w:val="single" w:sz="4" w:space="0" w:color="auto"/>
              <w:right w:val="single" w:sz="4" w:space="0" w:color="auto"/>
            </w:tcBorders>
          </w:tcPr>
          <w:p w14:paraId="2BE7A785" w14:textId="77777777" w:rsidR="00837AE1" w:rsidRPr="00126CD2" w:rsidRDefault="00B00100" w:rsidP="008E2709">
            <w:pPr>
              <w:rPr>
                <w:rFonts w:asciiTheme="minorHAnsi" w:eastAsia="Times New Roman" w:hAnsiTheme="minorHAnsi" w:cstheme="minorHAnsi"/>
                <w:color w:val="auto"/>
                <w:sz w:val="20"/>
                <w:szCs w:val="20"/>
              </w:rPr>
            </w:pPr>
            <w:r w:rsidRPr="00126CD2">
              <w:rPr>
                <w:rFonts w:asciiTheme="minorHAnsi" w:eastAsia="Times New Roman" w:hAnsiTheme="minorHAnsi" w:cstheme="minorHAnsi"/>
                <w:color w:val="auto"/>
                <w:sz w:val="20"/>
                <w:szCs w:val="20"/>
              </w:rPr>
              <w:t>W</w:t>
            </w:r>
            <w:r w:rsidR="00C00B64">
              <w:rPr>
                <w:rFonts w:asciiTheme="minorHAnsi" w:eastAsia="Times New Roman" w:hAnsiTheme="minorHAnsi" w:cstheme="minorHAnsi"/>
                <w:color w:val="auto"/>
                <w:sz w:val="20"/>
                <w:szCs w:val="20"/>
              </w:rPr>
              <w:t xml:space="preserve">orld </w:t>
            </w:r>
            <w:r w:rsidRPr="00126CD2">
              <w:rPr>
                <w:rFonts w:asciiTheme="minorHAnsi" w:eastAsia="Times New Roman" w:hAnsiTheme="minorHAnsi" w:cstheme="minorHAnsi"/>
                <w:color w:val="auto"/>
                <w:sz w:val="20"/>
                <w:szCs w:val="20"/>
              </w:rPr>
              <w:t>B</w:t>
            </w:r>
            <w:r w:rsidR="00C00B64">
              <w:rPr>
                <w:rFonts w:asciiTheme="minorHAnsi" w:eastAsia="Times New Roman" w:hAnsiTheme="minorHAnsi" w:cstheme="minorHAnsi"/>
                <w:color w:val="auto"/>
                <w:sz w:val="20"/>
                <w:szCs w:val="20"/>
              </w:rPr>
              <w:t>ank</w:t>
            </w:r>
            <w:r w:rsidRPr="00126CD2">
              <w:rPr>
                <w:rFonts w:asciiTheme="minorHAnsi" w:eastAsia="Times New Roman" w:hAnsiTheme="minorHAnsi" w:cstheme="minorHAnsi"/>
                <w:color w:val="auto"/>
                <w:sz w:val="20"/>
                <w:szCs w:val="20"/>
              </w:rPr>
              <w:t xml:space="preserve"> will </w:t>
            </w:r>
            <w:r w:rsidR="00CD7636">
              <w:rPr>
                <w:rFonts w:asciiTheme="minorHAnsi" w:eastAsia="Times New Roman" w:hAnsiTheme="minorHAnsi" w:cstheme="minorHAnsi"/>
                <w:color w:val="auto"/>
                <w:sz w:val="20"/>
                <w:szCs w:val="20"/>
              </w:rPr>
              <w:t>c</w:t>
            </w:r>
            <w:r w:rsidRPr="00126CD2">
              <w:rPr>
                <w:rFonts w:asciiTheme="minorHAnsi" w:eastAsia="Times New Roman" w:hAnsiTheme="minorHAnsi" w:cstheme="minorHAnsi"/>
                <w:color w:val="auto"/>
                <w:sz w:val="20"/>
                <w:szCs w:val="20"/>
              </w:rPr>
              <w:t xml:space="preserve">opy AFD on approval </w:t>
            </w:r>
          </w:p>
        </w:tc>
      </w:tr>
    </w:tbl>
    <w:p w14:paraId="68DED979" w14:textId="77777777" w:rsidR="005A0FA6" w:rsidRDefault="005A0FA6">
      <w:pPr>
        <w:spacing w:after="120"/>
        <w:ind w:right="-540"/>
        <w:rPr>
          <w:rFonts w:ascii="Calibri" w:eastAsia="Times New Roman" w:hAnsi="Calibri" w:cs="Calibri"/>
          <w:b/>
          <w:sz w:val="22"/>
          <w:szCs w:val="22"/>
          <w:lang w:eastAsia="ko-KR"/>
        </w:rPr>
      </w:pPr>
    </w:p>
    <w:p w14:paraId="4849E254" w14:textId="77777777" w:rsidR="00837AE1" w:rsidRPr="002E1A3F" w:rsidRDefault="00B00100" w:rsidP="00F463C2">
      <w:pPr>
        <w:spacing w:after="120"/>
        <w:ind w:right="-540"/>
        <w:rPr>
          <w:rFonts w:ascii="Calibri" w:eastAsia="Times New Roman" w:hAnsi="Calibri" w:cs="Calibri"/>
          <w:b/>
          <w:i/>
          <w:sz w:val="22"/>
          <w:szCs w:val="22"/>
          <w:lang w:eastAsia="ko-KR"/>
        </w:rPr>
      </w:pPr>
      <w:r w:rsidRPr="002E1A3F">
        <w:rPr>
          <w:rFonts w:ascii="Calibri" w:eastAsia="Times New Roman" w:hAnsi="Calibri" w:cs="Calibri"/>
          <w:b/>
          <w:sz w:val="22"/>
          <w:szCs w:val="22"/>
          <w:lang w:eastAsia="ko-KR"/>
        </w:rPr>
        <w:t xml:space="preserve">Table </w:t>
      </w:r>
      <w:r w:rsidR="00BA6EA3">
        <w:rPr>
          <w:rFonts w:ascii="Calibri" w:eastAsia="Times New Roman" w:hAnsi="Calibri" w:cs="Calibri"/>
          <w:b/>
          <w:sz w:val="22"/>
          <w:szCs w:val="22"/>
          <w:lang w:eastAsia="ko-KR"/>
        </w:rPr>
        <w:t>A8.2</w:t>
      </w:r>
      <w:r w:rsidRPr="002E1A3F">
        <w:rPr>
          <w:rFonts w:ascii="Calibri" w:eastAsia="Times New Roman" w:hAnsi="Calibri" w:cs="Calibri"/>
          <w:b/>
          <w:sz w:val="22"/>
          <w:szCs w:val="22"/>
          <w:lang w:eastAsia="ko-KR"/>
        </w:rPr>
        <w:t xml:space="preserve">. </w:t>
      </w:r>
      <w:r w:rsidRPr="002E1A3F">
        <w:rPr>
          <w:rFonts w:ascii="Calibri" w:eastAsia="Times New Roman" w:hAnsi="Calibri" w:cs="Calibri"/>
          <w:b/>
          <w:i/>
          <w:sz w:val="22"/>
          <w:szCs w:val="22"/>
          <w:lang w:eastAsia="ko-KR"/>
        </w:rPr>
        <w:t xml:space="preserve">Selected ACE Impact Centers </w:t>
      </w:r>
      <w:r>
        <w:rPr>
          <w:rFonts w:ascii="Calibri" w:eastAsia="Times New Roman" w:hAnsi="Calibri" w:cs="Calibri"/>
          <w:b/>
          <w:i/>
          <w:sz w:val="22"/>
          <w:szCs w:val="22"/>
          <w:lang w:eastAsia="ko-KR"/>
        </w:rPr>
        <w:t xml:space="preserve">Co-Financed by AFD in Nigeria and Benin </w:t>
      </w:r>
      <w:r w:rsidRPr="002E1A3F">
        <w:rPr>
          <w:rFonts w:ascii="Calibri" w:eastAsia="Times New Roman" w:hAnsi="Calibri" w:cs="Calibri"/>
          <w:b/>
          <w:i/>
          <w:sz w:val="22"/>
          <w:szCs w:val="22"/>
          <w:lang w:eastAsia="ko-KR"/>
        </w:rPr>
        <w:t>(Renewals</w:t>
      </w:r>
      <w:r w:rsidR="0075498A">
        <w:rPr>
          <w:rFonts w:ascii="Calibri" w:eastAsia="Times New Roman" w:hAnsi="Calibri" w:cs="Calibri"/>
          <w:b/>
          <w:i/>
          <w:sz w:val="22"/>
          <w:szCs w:val="22"/>
          <w:lang w:eastAsia="ko-KR"/>
        </w:rPr>
        <w:t xml:space="preserve"> </w:t>
      </w:r>
      <w:r w:rsidR="004249EE">
        <w:rPr>
          <w:rFonts w:ascii="Calibri" w:eastAsia="Times New Roman" w:hAnsi="Calibri" w:cs="Calibri"/>
          <w:b/>
          <w:i/>
          <w:sz w:val="22"/>
          <w:szCs w:val="22"/>
          <w:lang w:eastAsia="ko-KR"/>
        </w:rPr>
        <w:t xml:space="preserve">and </w:t>
      </w:r>
      <w:r w:rsidR="004249EE" w:rsidRPr="002E1A3F">
        <w:rPr>
          <w:rFonts w:ascii="Calibri" w:eastAsia="Times New Roman" w:hAnsi="Calibri" w:cs="Calibri"/>
          <w:b/>
          <w:i/>
          <w:sz w:val="22"/>
          <w:szCs w:val="22"/>
          <w:lang w:eastAsia="ko-KR"/>
        </w:rPr>
        <w:t>New</w:t>
      </w:r>
      <w:r w:rsidRPr="002E1A3F">
        <w:rPr>
          <w:rFonts w:ascii="Calibri" w:eastAsia="Times New Roman" w:hAnsi="Calibri" w:cs="Calibri"/>
          <w:b/>
          <w:i/>
          <w:sz w:val="22"/>
          <w:szCs w:val="22"/>
          <w:lang w:eastAsia="ko-KR"/>
        </w:rPr>
        <w:t>)</w:t>
      </w:r>
    </w:p>
    <w:tbl>
      <w:tblPr>
        <w:tblW w:w="513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
        <w:gridCol w:w="3577"/>
        <w:gridCol w:w="2629"/>
        <w:gridCol w:w="1165"/>
        <w:gridCol w:w="1648"/>
        <w:gridCol w:w="946"/>
      </w:tblGrid>
      <w:tr w:rsidR="000C3959" w14:paraId="2780E376" w14:textId="77777777" w:rsidTr="00CF2235">
        <w:trPr>
          <w:trHeight w:val="125"/>
          <w:jc w:val="right"/>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vAlign w:val="center"/>
          </w:tcPr>
          <w:p w14:paraId="557C9585" w14:textId="77777777" w:rsidR="00837AE1" w:rsidRPr="002E1A3F" w:rsidRDefault="00B00100" w:rsidP="00FC1A97">
            <w:pPr>
              <w:spacing w:after="240"/>
              <w:ind w:left="720"/>
              <w:contextualSpacing/>
              <w:jc w:val="center"/>
              <w:rPr>
                <w:rFonts w:ascii="Calibri" w:eastAsia="Calibri" w:hAnsi="Calibri" w:cs="Calibri"/>
                <w:b/>
                <w:sz w:val="20"/>
                <w:szCs w:val="20"/>
              </w:rPr>
            </w:pPr>
            <w:r w:rsidRPr="008636B3">
              <w:rPr>
                <w:rFonts w:ascii="Calibri" w:eastAsia="Calibri" w:hAnsi="Calibri" w:cs="Calibri"/>
                <w:b/>
                <w:sz w:val="16"/>
                <w:szCs w:val="20"/>
              </w:rPr>
              <w:t>Sub-component 1.1: EXISTING AFRICA CENTERS OF EXCELLENCE THAT HAVE BEEN RENEWED (Renewal centers)</w:t>
            </w:r>
          </w:p>
        </w:tc>
      </w:tr>
      <w:tr w:rsidR="000C3959" w14:paraId="12CF4F89" w14:textId="77777777" w:rsidTr="00CF2235">
        <w:trPr>
          <w:trHeight w:val="440"/>
          <w:jc w:val="right"/>
        </w:trPr>
        <w:tc>
          <w:tcPr>
            <w:tcW w:w="186" w:type="pct"/>
          </w:tcPr>
          <w:p w14:paraId="16A2FF09" w14:textId="77777777" w:rsidR="00837AE1" w:rsidRPr="002E1A3F" w:rsidRDefault="00B00100" w:rsidP="008E2709">
            <w:pPr>
              <w:widowControl/>
              <w:numPr>
                <w:ilvl w:val="0"/>
                <w:numId w:val="66"/>
              </w:numPr>
              <w:autoSpaceDE/>
              <w:autoSpaceDN/>
              <w:adjustRightInd/>
              <w:spacing w:after="160"/>
              <w:contextualSpacing/>
              <w:jc w:val="center"/>
              <w:rPr>
                <w:rFonts w:ascii="Calibri" w:eastAsia="Calibri" w:hAnsi="Calibri" w:cs="Calibri"/>
                <w:sz w:val="16"/>
                <w:szCs w:val="16"/>
              </w:rPr>
            </w:pPr>
            <w:r w:rsidRPr="002E1A3F">
              <w:rPr>
                <w:rFonts w:ascii="Calibri" w:eastAsia="Calibri" w:hAnsi="Calibri" w:cs="Calibri"/>
                <w:sz w:val="16"/>
                <w:szCs w:val="16"/>
              </w:rPr>
              <w:t>1.</w:t>
            </w:r>
          </w:p>
        </w:tc>
        <w:tc>
          <w:tcPr>
            <w:tcW w:w="1728" w:type="pct"/>
          </w:tcPr>
          <w:p w14:paraId="061EB598"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Calibri" w:hAnsi="Calibri" w:cs="Calibri"/>
                <w:sz w:val="16"/>
                <w:szCs w:val="16"/>
              </w:rPr>
              <w:t>ACE: Mathematical Sciences, Computer Science and Applications</w:t>
            </w:r>
          </w:p>
        </w:tc>
        <w:tc>
          <w:tcPr>
            <w:tcW w:w="1270" w:type="pct"/>
          </w:tcPr>
          <w:p w14:paraId="632939F8"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Calibri" w:hAnsi="Calibri" w:cs="Calibri"/>
                <w:sz w:val="16"/>
                <w:szCs w:val="16"/>
              </w:rPr>
              <w:t xml:space="preserve">University of Abomey Calavi </w:t>
            </w:r>
          </w:p>
        </w:tc>
        <w:tc>
          <w:tcPr>
            <w:tcW w:w="563" w:type="pct"/>
          </w:tcPr>
          <w:p w14:paraId="3FA1D050"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Calibri" w:hAnsi="Calibri" w:cs="Calibri"/>
                <w:sz w:val="16"/>
                <w:szCs w:val="16"/>
              </w:rPr>
              <w:t xml:space="preserve">Benin </w:t>
            </w:r>
          </w:p>
        </w:tc>
        <w:tc>
          <w:tcPr>
            <w:tcW w:w="796" w:type="pct"/>
          </w:tcPr>
          <w:p w14:paraId="3DC15226"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Calibri" w:hAnsi="Calibri" w:cs="Calibri"/>
                <w:sz w:val="16"/>
                <w:szCs w:val="16"/>
              </w:rPr>
              <w:t xml:space="preserve">Applied math &amp; statistics </w:t>
            </w:r>
          </w:p>
        </w:tc>
        <w:tc>
          <w:tcPr>
            <w:tcW w:w="457" w:type="pct"/>
          </w:tcPr>
          <w:p w14:paraId="3C79416A"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Calibri" w:hAnsi="Calibri" w:cs="Calibri"/>
                <w:sz w:val="16"/>
                <w:szCs w:val="16"/>
              </w:rPr>
              <w:t>STEM</w:t>
            </w:r>
          </w:p>
        </w:tc>
      </w:tr>
      <w:tr w:rsidR="000C3959" w14:paraId="65FF7BC7" w14:textId="77777777" w:rsidTr="00CF2235">
        <w:trPr>
          <w:trHeight w:val="423"/>
          <w:jc w:val="right"/>
        </w:trPr>
        <w:tc>
          <w:tcPr>
            <w:tcW w:w="186" w:type="pct"/>
          </w:tcPr>
          <w:p w14:paraId="362AEDF2"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9. </w:t>
            </w:r>
          </w:p>
        </w:tc>
        <w:tc>
          <w:tcPr>
            <w:tcW w:w="1728" w:type="pct"/>
          </w:tcPr>
          <w:p w14:paraId="27F73914"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ACE: Genomics of Infectious Diseases (ACEGID) </w:t>
            </w:r>
          </w:p>
        </w:tc>
        <w:tc>
          <w:tcPr>
            <w:tcW w:w="1270" w:type="pct"/>
          </w:tcPr>
          <w:p w14:paraId="525577C6"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Redeemer's University </w:t>
            </w:r>
          </w:p>
        </w:tc>
        <w:tc>
          <w:tcPr>
            <w:tcW w:w="563" w:type="pct"/>
          </w:tcPr>
          <w:p w14:paraId="33E0DA05"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Nigeria </w:t>
            </w:r>
          </w:p>
        </w:tc>
        <w:tc>
          <w:tcPr>
            <w:tcW w:w="796" w:type="pct"/>
          </w:tcPr>
          <w:p w14:paraId="5418CBA8"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Genomics of infectious diseases </w:t>
            </w:r>
          </w:p>
        </w:tc>
        <w:tc>
          <w:tcPr>
            <w:tcW w:w="457" w:type="pct"/>
          </w:tcPr>
          <w:p w14:paraId="5649BDB4"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Health </w:t>
            </w:r>
          </w:p>
        </w:tc>
      </w:tr>
      <w:tr w:rsidR="000C3959" w14:paraId="60CFFE01" w14:textId="77777777" w:rsidTr="00CF2235">
        <w:trPr>
          <w:trHeight w:val="377"/>
          <w:jc w:val="right"/>
        </w:trPr>
        <w:tc>
          <w:tcPr>
            <w:tcW w:w="186" w:type="pct"/>
          </w:tcPr>
          <w:p w14:paraId="153C75E2"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10. </w:t>
            </w:r>
          </w:p>
        </w:tc>
        <w:tc>
          <w:tcPr>
            <w:tcW w:w="1728" w:type="pct"/>
          </w:tcPr>
          <w:p w14:paraId="4B832ADB"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ACE: Neglected Tropical Diseases and Forensic Biotechnology (ACENTDFB) </w:t>
            </w:r>
          </w:p>
        </w:tc>
        <w:tc>
          <w:tcPr>
            <w:tcW w:w="1270" w:type="pct"/>
          </w:tcPr>
          <w:p w14:paraId="020FDF8A" w14:textId="77777777" w:rsidR="00837AE1" w:rsidRPr="002E1A3F" w:rsidRDefault="00B00100" w:rsidP="008E2709">
            <w:pPr>
              <w:widowControl/>
              <w:autoSpaceDE/>
              <w:autoSpaceDN/>
              <w:adjustRightInd/>
              <w:rPr>
                <w:rFonts w:ascii="Calibri" w:eastAsia="Calibri" w:hAnsi="Calibri" w:cs="Calibri"/>
                <w:sz w:val="16"/>
                <w:szCs w:val="16"/>
                <w:lang w:val="fr-FR"/>
              </w:rPr>
            </w:pPr>
            <w:r w:rsidRPr="002E1A3F">
              <w:rPr>
                <w:rFonts w:ascii="Calibri" w:eastAsia="Times New Roman" w:hAnsi="Calibri" w:cs="Calibri"/>
                <w:sz w:val="16"/>
                <w:szCs w:val="16"/>
              </w:rPr>
              <w:t xml:space="preserve">Ahmadu Bello University </w:t>
            </w:r>
          </w:p>
        </w:tc>
        <w:tc>
          <w:tcPr>
            <w:tcW w:w="563" w:type="pct"/>
          </w:tcPr>
          <w:p w14:paraId="35FF6BA7" w14:textId="77777777" w:rsidR="00837AE1" w:rsidRPr="002E1A3F" w:rsidRDefault="00B00100" w:rsidP="008E2709">
            <w:pPr>
              <w:widowControl/>
              <w:autoSpaceDE/>
              <w:autoSpaceDN/>
              <w:adjustRightInd/>
              <w:jc w:val="center"/>
              <w:rPr>
                <w:rFonts w:ascii="Calibri" w:eastAsia="Calibri" w:hAnsi="Calibri" w:cs="Calibri"/>
                <w:sz w:val="16"/>
                <w:szCs w:val="16"/>
                <w:lang w:val="fr-FR"/>
              </w:rPr>
            </w:pPr>
            <w:r w:rsidRPr="002E1A3F">
              <w:rPr>
                <w:rFonts w:ascii="Calibri" w:eastAsia="Times New Roman" w:hAnsi="Calibri" w:cs="Calibri"/>
                <w:sz w:val="16"/>
                <w:szCs w:val="16"/>
              </w:rPr>
              <w:t xml:space="preserve">Nigeria </w:t>
            </w:r>
          </w:p>
        </w:tc>
        <w:tc>
          <w:tcPr>
            <w:tcW w:w="796" w:type="pct"/>
          </w:tcPr>
          <w:p w14:paraId="22D1BA31"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Neglected tropical diseases </w:t>
            </w:r>
          </w:p>
        </w:tc>
        <w:tc>
          <w:tcPr>
            <w:tcW w:w="457" w:type="pct"/>
          </w:tcPr>
          <w:p w14:paraId="62E0B015"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Health </w:t>
            </w:r>
          </w:p>
        </w:tc>
      </w:tr>
      <w:tr w:rsidR="000C3959" w14:paraId="525E85BD" w14:textId="77777777" w:rsidTr="00CF2235">
        <w:trPr>
          <w:trHeight w:val="340"/>
          <w:jc w:val="right"/>
        </w:trPr>
        <w:tc>
          <w:tcPr>
            <w:tcW w:w="186" w:type="pct"/>
          </w:tcPr>
          <w:p w14:paraId="2650472E"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 </w:t>
            </w:r>
          </w:p>
        </w:tc>
        <w:tc>
          <w:tcPr>
            <w:tcW w:w="1728" w:type="pct"/>
          </w:tcPr>
          <w:p w14:paraId="70C768E1"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ACE: Reproductive Health Innovation (CERHI) </w:t>
            </w:r>
          </w:p>
        </w:tc>
        <w:tc>
          <w:tcPr>
            <w:tcW w:w="1270" w:type="pct"/>
          </w:tcPr>
          <w:p w14:paraId="2D0F7048" w14:textId="77777777" w:rsidR="00837AE1" w:rsidRPr="002E1A3F" w:rsidRDefault="00B00100" w:rsidP="008E2709">
            <w:pPr>
              <w:widowControl/>
              <w:autoSpaceDE/>
              <w:autoSpaceDN/>
              <w:adjustRightInd/>
              <w:rPr>
                <w:rFonts w:ascii="Calibri" w:eastAsia="Calibri" w:hAnsi="Calibri" w:cs="Calibri"/>
                <w:sz w:val="16"/>
                <w:szCs w:val="16"/>
                <w:lang w:val="fr-FR"/>
              </w:rPr>
            </w:pPr>
            <w:r w:rsidRPr="002E1A3F">
              <w:rPr>
                <w:rFonts w:ascii="Calibri" w:eastAsia="Times New Roman" w:hAnsi="Calibri" w:cs="Calibri"/>
                <w:sz w:val="16"/>
                <w:szCs w:val="16"/>
              </w:rPr>
              <w:t xml:space="preserve">University of Benin </w:t>
            </w:r>
          </w:p>
        </w:tc>
        <w:tc>
          <w:tcPr>
            <w:tcW w:w="563" w:type="pct"/>
          </w:tcPr>
          <w:p w14:paraId="44534D67" w14:textId="77777777" w:rsidR="00837AE1" w:rsidRPr="002E1A3F" w:rsidRDefault="00B00100" w:rsidP="008E2709">
            <w:pPr>
              <w:widowControl/>
              <w:autoSpaceDE/>
              <w:autoSpaceDN/>
              <w:adjustRightInd/>
              <w:jc w:val="center"/>
              <w:rPr>
                <w:rFonts w:ascii="Calibri" w:eastAsia="Calibri" w:hAnsi="Calibri" w:cs="Calibri"/>
                <w:sz w:val="16"/>
                <w:szCs w:val="16"/>
                <w:lang w:val="fr-FR"/>
              </w:rPr>
            </w:pPr>
            <w:r w:rsidRPr="002E1A3F">
              <w:rPr>
                <w:rFonts w:ascii="Calibri" w:eastAsia="Times New Roman" w:hAnsi="Calibri" w:cs="Calibri"/>
                <w:sz w:val="16"/>
                <w:szCs w:val="16"/>
              </w:rPr>
              <w:t>Nigeria</w:t>
            </w:r>
          </w:p>
        </w:tc>
        <w:tc>
          <w:tcPr>
            <w:tcW w:w="796" w:type="pct"/>
          </w:tcPr>
          <w:p w14:paraId="4ACD3AB0"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Reproductive Health </w:t>
            </w:r>
          </w:p>
        </w:tc>
        <w:tc>
          <w:tcPr>
            <w:tcW w:w="457" w:type="pct"/>
          </w:tcPr>
          <w:p w14:paraId="3E515CB6"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Health </w:t>
            </w:r>
          </w:p>
        </w:tc>
      </w:tr>
      <w:tr w:rsidR="000C3959" w14:paraId="6EA60049" w14:textId="77777777" w:rsidTr="00CF2235">
        <w:trPr>
          <w:trHeight w:val="323"/>
          <w:jc w:val="right"/>
        </w:trPr>
        <w:tc>
          <w:tcPr>
            <w:tcW w:w="186" w:type="pct"/>
          </w:tcPr>
          <w:p w14:paraId="0F3D726A"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 </w:t>
            </w:r>
          </w:p>
        </w:tc>
        <w:tc>
          <w:tcPr>
            <w:tcW w:w="1728" w:type="pct"/>
          </w:tcPr>
          <w:p w14:paraId="435AFC50"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ACE: Dry Land Agriculture (CDA) </w:t>
            </w:r>
          </w:p>
        </w:tc>
        <w:tc>
          <w:tcPr>
            <w:tcW w:w="1270" w:type="pct"/>
          </w:tcPr>
          <w:p w14:paraId="148E5E8F" w14:textId="77777777" w:rsidR="00837AE1" w:rsidRPr="002E1A3F" w:rsidRDefault="00B00100" w:rsidP="008E2709">
            <w:pPr>
              <w:widowControl/>
              <w:autoSpaceDE/>
              <w:autoSpaceDN/>
              <w:adjustRightInd/>
              <w:rPr>
                <w:rFonts w:ascii="Calibri" w:eastAsia="Calibri" w:hAnsi="Calibri" w:cs="Calibri"/>
                <w:sz w:val="16"/>
                <w:szCs w:val="16"/>
                <w:lang w:val="fr-FR"/>
              </w:rPr>
            </w:pPr>
            <w:r w:rsidRPr="002E1A3F">
              <w:rPr>
                <w:rFonts w:ascii="Calibri" w:eastAsia="Times New Roman" w:hAnsi="Calibri" w:cs="Calibri"/>
                <w:sz w:val="16"/>
                <w:szCs w:val="16"/>
              </w:rPr>
              <w:t xml:space="preserve">Bayero University, Kano </w:t>
            </w:r>
          </w:p>
        </w:tc>
        <w:tc>
          <w:tcPr>
            <w:tcW w:w="563" w:type="pct"/>
          </w:tcPr>
          <w:p w14:paraId="34CE5117" w14:textId="77777777" w:rsidR="00837AE1" w:rsidRPr="002E1A3F" w:rsidRDefault="00B00100" w:rsidP="008E2709">
            <w:pPr>
              <w:widowControl/>
              <w:autoSpaceDE/>
              <w:autoSpaceDN/>
              <w:adjustRightInd/>
              <w:jc w:val="center"/>
              <w:rPr>
                <w:rFonts w:ascii="Calibri" w:eastAsia="Calibri" w:hAnsi="Calibri" w:cs="Calibri"/>
                <w:sz w:val="16"/>
                <w:szCs w:val="16"/>
                <w:lang w:val="fr-FR"/>
              </w:rPr>
            </w:pPr>
            <w:r w:rsidRPr="002E1A3F">
              <w:rPr>
                <w:rFonts w:ascii="Calibri" w:eastAsia="Times New Roman" w:hAnsi="Calibri" w:cs="Calibri"/>
                <w:sz w:val="16"/>
                <w:szCs w:val="16"/>
              </w:rPr>
              <w:t xml:space="preserve">Nigeria </w:t>
            </w:r>
          </w:p>
        </w:tc>
        <w:tc>
          <w:tcPr>
            <w:tcW w:w="796" w:type="pct"/>
          </w:tcPr>
          <w:p w14:paraId="6A09C196"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Dryland Agriculture </w:t>
            </w:r>
          </w:p>
        </w:tc>
        <w:tc>
          <w:tcPr>
            <w:tcW w:w="457" w:type="pct"/>
          </w:tcPr>
          <w:p w14:paraId="1354765B"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Agric</w:t>
            </w:r>
          </w:p>
          <w:p w14:paraId="2A4D32E3" w14:textId="77777777" w:rsidR="00837AE1" w:rsidRPr="002E1A3F" w:rsidRDefault="00837AE1" w:rsidP="008E2709">
            <w:pPr>
              <w:widowControl/>
              <w:autoSpaceDE/>
              <w:autoSpaceDN/>
              <w:adjustRightInd/>
              <w:jc w:val="center"/>
              <w:rPr>
                <w:rFonts w:ascii="Calibri" w:eastAsia="Calibri" w:hAnsi="Calibri" w:cs="Calibri"/>
                <w:sz w:val="16"/>
                <w:szCs w:val="16"/>
              </w:rPr>
            </w:pPr>
          </w:p>
        </w:tc>
      </w:tr>
      <w:tr w:rsidR="000C3959" w14:paraId="41EAD141" w14:textId="77777777" w:rsidTr="00CF2235">
        <w:trPr>
          <w:trHeight w:val="125"/>
          <w:jc w:val="right"/>
        </w:trPr>
        <w:tc>
          <w:tcPr>
            <w:tcW w:w="186" w:type="pct"/>
          </w:tcPr>
          <w:p w14:paraId="7165D7D8"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Times New Roman" w:hAnsi="Calibri" w:cs="Calibri"/>
                <w:sz w:val="16"/>
                <w:szCs w:val="16"/>
              </w:rPr>
              <w:t xml:space="preserve">3. </w:t>
            </w:r>
          </w:p>
        </w:tc>
        <w:tc>
          <w:tcPr>
            <w:tcW w:w="1728" w:type="pct"/>
          </w:tcPr>
          <w:p w14:paraId="6B1665E3" w14:textId="77777777" w:rsidR="00837AE1" w:rsidRPr="002E1A3F" w:rsidRDefault="00B00100" w:rsidP="008E2709">
            <w:pPr>
              <w:widowControl/>
              <w:autoSpaceDE/>
              <w:autoSpaceDN/>
              <w:adjustRightInd/>
              <w:rPr>
                <w:rFonts w:ascii="Calibri" w:eastAsia="Calibri" w:hAnsi="Calibri" w:cs="Calibri"/>
                <w:sz w:val="16"/>
                <w:szCs w:val="16"/>
              </w:rPr>
            </w:pPr>
            <w:r w:rsidRPr="002E1A3F">
              <w:rPr>
                <w:rFonts w:ascii="Calibri" w:eastAsia="Times New Roman" w:hAnsi="Calibri" w:cs="Calibri"/>
                <w:sz w:val="16"/>
                <w:szCs w:val="16"/>
              </w:rPr>
              <w:t xml:space="preserve">ACE: Food Technology and Research (CEFTER) </w:t>
            </w:r>
          </w:p>
        </w:tc>
        <w:tc>
          <w:tcPr>
            <w:tcW w:w="1270" w:type="pct"/>
          </w:tcPr>
          <w:p w14:paraId="554FAF5F" w14:textId="77777777" w:rsidR="00837AE1" w:rsidRPr="002E1A3F" w:rsidRDefault="00B00100" w:rsidP="008E2709">
            <w:pPr>
              <w:widowControl/>
              <w:autoSpaceDE/>
              <w:autoSpaceDN/>
              <w:adjustRightInd/>
              <w:rPr>
                <w:rFonts w:ascii="Calibri" w:eastAsia="Calibri" w:hAnsi="Calibri" w:cs="Calibri"/>
                <w:sz w:val="16"/>
                <w:szCs w:val="16"/>
                <w:lang w:val="fr-FR"/>
              </w:rPr>
            </w:pPr>
            <w:r w:rsidRPr="002E1A3F">
              <w:rPr>
                <w:rFonts w:ascii="Calibri" w:eastAsia="Times New Roman" w:hAnsi="Calibri" w:cs="Calibri"/>
                <w:sz w:val="16"/>
                <w:szCs w:val="16"/>
              </w:rPr>
              <w:t xml:space="preserve">Benue State University </w:t>
            </w:r>
          </w:p>
        </w:tc>
        <w:tc>
          <w:tcPr>
            <w:tcW w:w="563" w:type="pct"/>
          </w:tcPr>
          <w:p w14:paraId="6D07BDBB" w14:textId="77777777" w:rsidR="00837AE1" w:rsidRPr="002E1A3F" w:rsidRDefault="00B00100" w:rsidP="008E2709">
            <w:pPr>
              <w:widowControl/>
              <w:autoSpaceDE/>
              <w:autoSpaceDN/>
              <w:adjustRightInd/>
              <w:jc w:val="center"/>
              <w:rPr>
                <w:rFonts w:ascii="Calibri" w:eastAsia="Calibri" w:hAnsi="Calibri" w:cs="Calibri"/>
                <w:sz w:val="16"/>
                <w:szCs w:val="16"/>
                <w:lang w:val="fr-FR"/>
              </w:rPr>
            </w:pPr>
            <w:r w:rsidRPr="002E1A3F">
              <w:rPr>
                <w:rFonts w:ascii="Calibri" w:eastAsia="Times New Roman" w:hAnsi="Calibri" w:cs="Calibri"/>
                <w:sz w:val="16"/>
                <w:szCs w:val="16"/>
              </w:rPr>
              <w:t xml:space="preserve">Nigeria </w:t>
            </w:r>
          </w:p>
        </w:tc>
        <w:tc>
          <w:tcPr>
            <w:tcW w:w="796" w:type="pct"/>
          </w:tcPr>
          <w:p w14:paraId="5D069030"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Food tech and research </w:t>
            </w:r>
          </w:p>
        </w:tc>
        <w:tc>
          <w:tcPr>
            <w:tcW w:w="457" w:type="pct"/>
          </w:tcPr>
          <w:p w14:paraId="5FD678F2" w14:textId="77777777" w:rsidR="00837AE1" w:rsidRPr="002E1A3F" w:rsidRDefault="00B00100" w:rsidP="008E2709">
            <w:pPr>
              <w:widowControl/>
              <w:autoSpaceDE/>
              <w:autoSpaceDN/>
              <w:adjustRightInd/>
              <w:jc w:val="center"/>
              <w:rPr>
                <w:rFonts w:ascii="Calibri" w:eastAsia="Calibri" w:hAnsi="Calibri" w:cs="Calibri"/>
                <w:sz w:val="16"/>
                <w:szCs w:val="16"/>
              </w:rPr>
            </w:pPr>
            <w:r w:rsidRPr="002E1A3F">
              <w:rPr>
                <w:rFonts w:ascii="Calibri" w:eastAsia="Times New Roman" w:hAnsi="Calibri" w:cs="Calibri"/>
                <w:sz w:val="16"/>
                <w:szCs w:val="16"/>
              </w:rPr>
              <w:t xml:space="preserve">Agric </w:t>
            </w:r>
          </w:p>
        </w:tc>
      </w:tr>
      <w:tr w:rsidR="000C3959" w14:paraId="15408C05" w14:textId="77777777" w:rsidTr="00CF2235">
        <w:trPr>
          <w:trHeight w:val="125"/>
          <w:jc w:val="right"/>
        </w:trPr>
        <w:tc>
          <w:tcPr>
            <w:tcW w:w="186" w:type="pct"/>
          </w:tcPr>
          <w:p w14:paraId="686A6F52" w14:textId="77777777" w:rsidR="00837AE1" w:rsidRPr="002E1A3F" w:rsidRDefault="00837AE1" w:rsidP="008E2709">
            <w:pPr>
              <w:widowControl/>
              <w:numPr>
                <w:ilvl w:val="0"/>
                <w:numId w:val="66"/>
              </w:numPr>
              <w:autoSpaceDE/>
              <w:autoSpaceDN/>
              <w:adjustRightInd/>
              <w:spacing w:after="160"/>
              <w:contextualSpacing/>
              <w:rPr>
                <w:rFonts w:ascii="Calibri" w:eastAsia="Times New Roman" w:hAnsi="Calibri" w:cs="Calibri"/>
                <w:sz w:val="16"/>
                <w:szCs w:val="16"/>
              </w:rPr>
            </w:pPr>
          </w:p>
        </w:tc>
        <w:tc>
          <w:tcPr>
            <w:tcW w:w="1728" w:type="pct"/>
          </w:tcPr>
          <w:p w14:paraId="563D8C48"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OAU ICT-DRIVEN KNOWLEDGE PARK (OAU-OAK)</w:t>
            </w:r>
          </w:p>
        </w:tc>
        <w:tc>
          <w:tcPr>
            <w:tcW w:w="1270" w:type="pct"/>
          </w:tcPr>
          <w:p w14:paraId="123B8ACA" w14:textId="77777777" w:rsidR="00837AE1" w:rsidRPr="002E1A3F" w:rsidRDefault="00B00100" w:rsidP="008E2709">
            <w:pPr>
              <w:widowControl/>
              <w:autoSpaceDE/>
              <w:autoSpaceDN/>
              <w:adjustRightInd/>
              <w:rPr>
                <w:rFonts w:ascii="Calibri" w:eastAsia="Times New Roman" w:hAnsi="Calibri" w:cs="Calibri"/>
                <w:b/>
                <w:sz w:val="16"/>
                <w:szCs w:val="16"/>
              </w:rPr>
            </w:pPr>
            <w:r w:rsidRPr="002E1A3F">
              <w:rPr>
                <w:rFonts w:ascii="Calibri" w:eastAsia="Times New Roman" w:hAnsi="Calibri" w:cs="Calibri"/>
                <w:sz w:val="16"/>
                <w:szCs w:val="16"/>
              </w:rPr>
              <w:t xml:space="preserve">Obafemi Awolowo University </w:t>
            </w:r>
          </w:p>
        </w:tc>
        <w:tc>
          <w:tcPr>
            <w:tcW w:w="563" w:type="pct"/>
          </w:tcPr>
          <w:p w14:paraId="114818B0"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15E7DF59"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Digital Development </w:t>
            </w:r>
          </w:p>
        </w:tc>
        <w:tc>
          <w:tcPr>
            <w:tcW w:w="457" w:type="pct"/>
          </w:tcPr>
          <w:p w14:paraId="7B7010C7"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STEM </w:t>
            </w:r>
          </w:p>
        </w:tc>
      </w:tr>
      <w:tr w:rsidR="000C3959" w14:paraId="3ACBAE43" w14:textId="77777777" w:rsidTr="00CF2235">
        <w:trPr>
          <w:trHeight w:val="190"/>
          <w:jc w:val="right"/>
        </w:trPr>
        <w:tc>
          <w:tcPr>
            <w:tcW w:w="5000" w:type="pct"/>
            <w:gridSpan w:val="6"/>
            <w:shd w:val="clear" w:color="auto" w:fill="D0CECE"/>
            <w:vAlign w:val="center"/>
          </w:tcPr>
          <w:p w14:paraId="68485AAE" w14:textId="77777777" w:rsidR="00837AE1" w:rsidRPr="002E1A3F" w:rsidRDefault="00B00100" w:rsidP="008E2709">
            <w:pPr>
              <w:widowControl/>
              <w:autoSpaceDE/>
              <w:autoSpaceDN/>
              <w:adjustRightInd/>
              <w:jc w:val="center"/>
              <w:rPr>
                <w:rFonts w:ascii="Calibri" w:eastAsia="Calibri" w:hAnsi="Calibri" w:cs="Calibri"/>
                <w:bCs/>
                <w:color w:val="auto"/>
                <w:sz w:val="16"/>
                <w:szCs w:val="16"/>
              </w:rPr>
            </w:pPr>
            <w:r w:rsidRPr="002E1A3F">
              <w:rPr>
                <w:rFonts w:ascii="Calibri" w:eastAsia="Calibri" w:hAnsi="Calibri" w:cs="Calibri"/>
                <w:b/>
                <w:sz w:val="16"/>
                <w:szCs w:val="16"/>
              </w:rPr>
              <w:t>Sub-</w:t>
            </w:r>
            <w:r>
              <w:rPr>
                <w:rFonts w:ascii="Calibri" w:eastAsia="Calibri" w:hAnsi="Calibri" w:cs="Calibri"/>
                <w:b/>
                <w:sz w:val="16"/>
                <w:szCs w:val="16"/>
              </w:rPr>
              <w:t>c</w:t>
            </w:r>
            <w:r w:rsidRPr="002E1A3F">
              <w:rPr>
                <w:rFonts w:ascii="Calibri" w:eastAsia="Calibri" w:hAnsi="Calibri" w:cs="Calibri"/>
                <w:b/>
                <w:sz w:val="16"/>
                <w:szCs w:val="16"/>
              </w:rPr>
              <w:t>omponent 1.2: NEW AFRICA CENTERS OF EXCELLENCE (New centers)</w:t>
            </w:r>
          </w:p>
        </w:tc>
      </w:tr>
      <w:tr w:rsidR="000C3959" w14:paraId="23AA3BBC" w14:textId="77777777" w:rsidTr="00CF2235">
        <w:trPr>
          <w:trHeight w:val="125"/>
          <w:jc w:val="right"/>
        </w:trPr>
        <w:tc>
          <w:tcPr>
            <w:tcW w:w="186" w:type="pct"/>
          </w:tcPr>
          <w:p w14:paraId="32E90D24" w14:textId="77777777" w:rsidR="00837AE1" w:rsidRPr="002E1A3F" w:rsidRDefault="00B00100" w:rsidP="008E2709">
            <w:pPr>
              <w:widowControl/>
              <w:numPr>
                <w:ilvl w:val="0"/>
                <w:numId w:val="66"/>
              </w:numPr>
              <w:autoSpaceDE/>
              <w:autoSpaceDN/>
              <w:adjustRightInd/>
              <w:spacing w:after="160"/>
              <w:contextualSpacing/>
              <w:rPr>
                <w:rFonts w:ascii="Calibri" w:eastAsia="Calibri" w:hAnsi="Calibri" w:cs="Calibri"/>
                <w:color w:val="auto"/>
                <w:sz w:val="16"/>
                <w:szCs w:val="16"/>
              </w:rPr>
            </w:pPr>
            <w:r w:rsidRPr="002E1A3F">
              <w:rPr>
                <w:rFonts w:ascii="Calibri" w:eastAsia="Calibri" w:hAnsi="Calibri" w:cs="Calibri"/>
                <w:color w:val="auto"/>
                <w:sz w:val="16"/>
                <w:szCs w:val="16"/>
              </w:rPr>
              <w:t>7</w:t>
            </w:r>
          </w:p>
        </w:tc>
        <w:tc>
          <w:tcPr>
            <w:tcW w:w="1728" w:type="pct"/>
          </w:tcPr>
          <w:p w14:paraId="31A9FEE3"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 xml:space="preserve">ACE: Water and Sanitation (C2EA) </w:t>
            </w:r>
          </w:p>
        </w:tc>
        <w:tc>
          <w:tcPr>
            <w:tcW w:w="1270" w:type="pct"/>
          </w:tcPr>
          <w:p w14:paraId="61A41804"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 xml:space="preserve">University of Abomey Calavi </w:t>
            </w:r>
          </w:p>
        </w:tc>
        <w:tc>
          <w:tcPr>
            <w:tcW w:w="563" w:type="pct"/>
          </w:tcPr>
          <w:p w14:paraId="6F3A2B37"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Benin </w:t>
            </w:r>
          </w:p>
        </w:tc>
        <w:tc>
          <w:tcPr>
            <w:tcW w:w="796" w:type="pct"/>
          </w:tcPr>
          <w:p w14:paraId="2598CE0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Water &amp; sanitation </w:t>
            </w:r>
          </w:p>
        </w:tc>
        <w:tc>
          <w:tcPr>
            <w:tcW w:w="457" w:type="pct"/>
          </w:tcPr>
          <w:p w14:paraId="72257FF1"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STEM </w:t>
            </w:r>
          </w:p>
        </w:tc>
      </w:tr>
      <w:tr w:rsidR="000C3959" w14:paraId="7548CA89" w14:textId="77777777" w:rsidTr="00CF2235">
        <w:trPr>
          <w:trHeight w:val="125"/>
          <w:jc w:val="right"/>
        </w:trPr>
        <w:tc>
          <w:tcPr>
            <w:tcW w:w="186" w:type="pct"/>
          </w:tcPr>
          <w:p w14:paraId="54C26673"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40E12ABC"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Public Health and Toxicological Research</w:t>
            </w:r>
          </w:p>
        </w:tc>
        <w:tc>
          <w:tcPr>
            <w:tcW w:w="1270" w:type="pct"/>
            <w:vAlign w:val="bottom"/>
          </w:tcPr>
          <w:p w14:paraId="193149C9"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University of Port Harcourt</w:t>
            </w:r>
          </w:p>
        </w:tc>
        <w:tc>
          <w:tcPr>
            <w:tcW w:w="563" w:type="pct"/>
          </w:tcPr>
          <w:p w14:paraId="12E8758B"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7AF220F2"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Nursing</w:t>
            </w:r>
          </w:p>
        </w:tc>
        <w:tc>
          <w:tcPr>
            <w:tcW w:w="457" w:type="pct"/>
          </w:tcPr>
          <w:p w14:paraId="35E6E0BF"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health</w:t>
            </w:r>
          </w:p>
        </w:tc>
      </w:tr>
      <w:tr w:rsidR="000C3959" w14:paraId="7A57A673" w14:textId="77777777" w:rsidTr="00CF2235">
        <w:trPr>
          <w:trHeight w:val="125"/>
          <w:jc w:val="right"/>
        </w:trPr>
        <w:tc>
          <w:tcPr>
            <w:tcW w:w="186" w:type="pct"/>
          </w:tcPr>
          <w:p w14:paraId="048EF118"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7AC3DAFD"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Centre for Population Health and Policy</w:t>
            </w:r>
          </w:p>
        </w:tc>
        <w:tc>
          <w:tcPr>
            <w:tcW w:w="1270" w:type="pct"/>
            <w:vAlign w:val="bottom"/>
          </w:tcPr>
          <w:p w14:paraId="46B521BB"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Bayero University, Kano</w:t>
            </w:r>
          </w:p>
        </w:tc>
        <w:tc>
          <w:tcPr>
            <w:tcW w:w="563" w:type="pct"/>
          </w:tcPr>
          <w:p w14:paraId="2DDBECA9"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6912CE2F"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Nursing</w:t>
            </w:r>
          </w:p>
        </w:tc>
        <w:tc>
          <w:tcPr>
            <w:tcW w:w="457" w:type="pct"/>
          </w:tcPr>
          <w:p w14:paraId="117CC329"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health</w:t>
            </w:r>
          </w:p>
        </w:tc>
      </w:tr>
      <w:tr w:rsidR="000C3959" w14:paraId="3CDCC242" w14:textId="77777777" w:rsidTr="00CF2235">
        <w:trPr>
          <w:trHeight w:val="125"/>
          <w:jc w:val="right"/>
        </w:trPr>
        <w:tc>
          <w:tcPr>
            <w:tcW w:w="186" w:type="pct"/>
          </w:tcPr>
          <w:p w14:paraId="0F999094"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114C288E"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Covenant Applied Informatics and Communication</w:t>
            </w:r>
          </w:p>
        </w:tc>
        <w:tc>
          <w:tcPr>
            <w:tcW w:w="1270" w:type="pct"/>
            <w:vAlign w:val="bottom"/>
          </w:tcPr>
          <w:p w14:paraId="31BC7833"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Covenant University</w:t>
            </w:r>
          </w:p>
        </w:tc>
        <w:tc>
          <w:tcPr>
            <w:tcW w:w="563" w:type="pct"/>
          </w:tcPr>
          <w:p w14:paraId="265C013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32A84A4B"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Digital Development</w:t>
            </w:r>
          </w:p>
        </w:tc>
        <w:tc>
          <w:tcPr>
            <w:tcW w:w="457" w:type="pct"/>
          </w:tcPr>
          <w:p w14:paraId="7D36DD82"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w:t>
            </w:r>
          </w:p>
        </w:tc>
      </w:tr>
      <w:tr w:rsidR="000C3959" w14:paraId="5051B4A7" w14:textId="77777777" w:rsidTr="00CF2235">
        <w:trPr>
          <w:trHeight w:val="125"/>
          <w:jc w:val="right"/>
        </w:trPr>
        <w:tc>
          <w:tcPr>
            <w:tcW w:w="186" w:type="pct"/>
          </w:tcPr>
          <w:p w14:paraId="7C152588"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524DBE27"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Technology Enhanced Learning (ACETEL)</w:t>
            </w:r>
          </w:p>
        </w:tc>
        <w:tc>
          <w:tcPr>
            <w:tcW w:w="1270" w:type="pct"/>
            <w:vAlign w:val="bottom"/>
          </w:tcPr>
          <w:p w14:paraId="0B84BFCE"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National Open University of Nigeria</w:t>
            </w:r>
          </w:p>
        </w:tc>
        <w:tc>
          <w:tcPr>
            <w:tcW w:w="563" w:type="pct"/>
          </w:tcPr>
          <w:p w14:paraId="7EBEE8F2"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7CFB8512"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Digital Development</w:t>
            </w:r>
          </w:p>
        </w:tc>
        <w:tc>
          <w:tcPr>
            <w:tcW w:w="457" w:type="pct"/>
          </w:tcPr>
          <w:p w14:paraId="582CF8C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w:t>
            </w:r>
          </w:p>
        </w:tc>
      </w:tr>
      <w:tr w:rsidR="000C3959" w14:paraId="12A50D5C" w14:textId="77777777" w:rsidTr="00CF2235">
        <w:trPr>
          <w:trHeight w:val="125"/>
          <w:jc w:val="right"/>
        </w:trPr>
        <w:tc>
          <w:tcPr>
            <w:tcW w:w="186" w:type="pct"/>
          </w:tcPr>
          <w:p w14:paraId="698C3EE3"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44556A99"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Innovative and Transformations Stem Education (CITSE)</w:t>
            </w:r>
          </w:p>
        </w:tc>
        <w:tc>
          <w:tcPr>
            <w:tcW w:w="1270" w:type="pct"/>
            <w:vAlign w:val="bottom"/>
          </w:tcPr>
          <w:p w14:paraId="1BE74B26"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Lagos State University</w:t>
            </w:r>
          </w:p>
        </w:tc>
        <w:tc>
          <w:tcPr>
            <w:tcW w:w="563" w:type="pct"/>
          </w:tcPr>
          <w:p w14:paraId="133AA2EF"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4B897228"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 Education</w:t>
            </w:r>
          </w:p>
        </w:tc>
        <w:tc>
          <w:tcPr>
            <w:tcW w:w="457" w:type="pct"/>
          </w:tcPr>
          <w:p w14:paraId="72ED3F5F"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Education</w:t>
            </w:r>
          </w:p>
        </w:tc>
      </w:tr>
      <w:tr w:rsidR="000C3959" w14:paraId="20F12270" w14:textId="77777777" w:rsidTr="00CF2235">
        <w:trPr>
          <w:trHeight w:val="125"/>
          <w:jc w:val="right"/>
        </w:trPr>
        <w:tc>
          <w:tcPr>
            <w:tcW w:w="186" w:type="pct"/>
          </w:tcPr>
          <w:p w14:paraId="60FE40FC"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150FF717"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Mycotoxin and Food Safety</w:t>
            </w:r>
          </w:p>
        </w:tc>
        <w:tc>
          <w:tcPr>
            <w:tcW w:w="1270" w:type="pct"/>
            <w:vAlign w:val="bottom"/>
          </w:tcPr>
          <w:p w14:paraId="2086E448"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Federal University of Technology, Minna</w:t>
            </w:r>
            <w:r w:rsidR="00864D46">
              <w:rPr>
                <w:rFonts w:ascii="Calibri" w:eastAsia="Times New Roman" w:hAnsi="Calibri" w:cs="Calibri"/>
                <w:sz w:val="16"/>
                <w:szCs w:val="16"/>
              </w:rPr>
              <w:t>, Nigeria</w:t>
            </w:r>
          </w:p>
        </w:tc>
        <w:tc>
          <w:tcPr>
            <w:tcW w:w="563" w:type="pct"/>
          </w:tcPr>
          <w:p w14:paraId="71F05719"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2C4A5C16"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Mycotoxin and food safety </w:t>
            </w:r>
          </w:p>
        </w:tc>
        <w:tc>
          <w:tcPr>
            <w:tcW w:w="457" w:type="pct"/>
          </w:tcPr>
          <w:p w14:paraId="3BBB712A"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H</w:t>
            </w:r>
            <w:r w:rsidR="004E68F9" w:rsidRPr="002E1A3F">
              <w:rPr>
                <w:rFonts w:ascii="Calibri" w:eastAsia="Times New Roman" w:hAnsi="Calibri" w:cs="Calibri"/>
                <w:sz w:val="16"/>
                <w:szCs w:val="16"/>
              </w:rPr>
              <w:t>ealth</w:t>
            </w:r>
          </w:p>
        </w:tc>
      </w:tr>
      <w:tr w:rsidR="000C3959" w14:paraId="41E2D387" w14:textId="77777777" w:rsidTr="00CF2235">
        <w:trPr>
          <w:trHeight w:val="125"/>
          <w:jc w:val="right"/>
        </w:trPr>
        <w:tc>
          <w:tcPr>
            <w:tcW w:w="186" w:type="pct"/>
          </w:tcPr>
          <w:p w14:paraId="5DC2F5C8"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1B5BE45B"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Drug Research, Herbal Medicine Development and Regulatory Science</w:t>
            </w:r>
          </w:p>
        </w:tc>
        <w:tc>
          <w:tcPr>
            <w:tcW w:w="1270" w:type="pct"/>
            <w:vAlign w:val="bottom"/>
          </w:tcPr>
          <w:p w14:paraId="2F5443B6"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University of Lagos</w:t>
            </w:r>
          </w:p>
        </w:tc>
        <w:tc>
          <w:tcPr>
            <w:tcW w:w="563" w:type="pct"/>
          </w:tcPr>
          <w:p w14:paraId="4EB66FF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47F312B4"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Herbal medicine development and regulation</w:t>
            </w:r>
          </w:p>
        </w:tc>
        <w:tc>
          <w:tcPr>
            <w:tcW w:w="457" w:type="pct"/>
          </w:tcPr>
          <w:p w14:paraId="53215C68"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rPr>
              <w:t>H</w:t>
            </w:r>
            <w:r w:rsidR="004E68F9" w:rsidRPr="002E1A3F">
              <w:rPr>
                <w:rFonts w:ascii="Calibri" w:eastAsia="Times New Roman" w:hAnsi="Calibri" w:cs="Calibri"/>
                <w:sz w:val="16"/>
                <w:szCs w:val="16"/>
              </w:rPr>
              <w:t>ealth</w:t>
            </w:r>
          </w:p>
        </w:tc>
      </w:tr>
      <w:tr w:rsidR="000C3959" w14:paraId="4D7BB8A5" w14:textId="77777777" w:rsidTr="00CF2235">
        <w:trPr>
          <w:trHeight w:val="125"/>
          <w:jc w:val="right"/>
        </w:trPr>
        <w:tc>
          <w:tcPr>
            <w:tcW w:w="186" w:type="pct"/>
          </w:tcPr>
          <w:p w14:paraId="35D9C267"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7E03B385"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 xml:space="preserve">ACE: New Pedagogy </w:t>
            </w:r>
            <w:r w:rsidR="004249EE" w:rsidRPr="002E1A3F">
              <w:rPr>
                <w:rFonts w:ascii="Calibri" w:eastAsia="Times New Roman" w:hAnsi="Calibri" w:cs="Calibri"/>
                <w:sz w:val="16"/>
                <w:szCs w:val="16"/>
              </w:rPr>
              <w:t>in</w:t>
            </w:r>
            <w:r w:rsidRPr="002E1A3F">
              <w:rPr>
                <w:rFonts w:ascii="Calibri" w:eastAsia="Times New Roman" w:hAnsi="Calibri" w:cs="Calibri"/>
                <w:sz w:val="16"/>
                <w:szCs w:val="16"/>
              </w:rPr>
              <w:t xml:space="preserve"> Engineering Education (ACENPEE)</w:t>
            </w:r>
          </w:p>
        </w:tc>
        <w:tc>
          <w:tcPr>
            <w:tcW w:w="1270" w:type="pct"/>
            <w:vAlign w:val="bottom"/>
          </w:tcPr>
          <w:p w14:paraId="6F0AE7CE"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Ahmadu Belo University</w:t>
            </w:r>
          </w:p>
        </w:tc>
        <w:tc>
          <w:tcPr>
            <w:tcW w:w="563" w:type="pct"/>
          </w:tcPr>
          <w:p w14:paraId="106BB8A8"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0F97D163"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Engineering education</w:t>
            </w:r>
          </w:p>
        </w:tc>
        <w:tc>
          <w:tcPr>
            <w:tcW w:w="457" w:type="pct"/>
          </w:tcPr>
          <w:p w14:paraId="4E4879F6"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w:t>
            </w:r>
          </w:p>
        </w:tc>
      </w:tr>
      <w:tr w:rsidR="000C3959" w14:paraId="49EA67C5" w14:textId="77777777" w:rsidTr="00CF2235">
        <w:trPr>
          <w:trHeight w:val="125"/>
          <w:jc w:val="right"/>
        </w:trPr>
        <w:tc>
          <w:tcPr>
            <w:tcW w:w="186" w:type="pct"/>
          </w:tcPr>
          <w:p w14:paraId="1E676976"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00458D57"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Sustainable Power and Energy Development (ACE_SPED)</w:t>
            </w:r>
          </w:p>
        </w:tc>
        <w:tc>
          <w:tcPr>
            <w:tcW w:w="1270" w:type="pct"/>
            <w:vAlign w:val="bottom"/>
          </w:tcPr>
          <w:p w14:paraId="074C024C"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University of Nigeria Nsukka</w:t>
            </w:r>
          </w:p>
        </w:tc>
        <w:tc>
          <w:tcPr>
            <w:tcW w:w="563" w:type="pct"/>
          </w:tcPr>
          <w:p w14:paraId="0A00E03A"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5EA6BEEA"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Power</w:t>
            </w:r>
          </w:p>
        </w:tc>
        <w:tc>
          <w:tcPr>
            <w:tcW w:w="457" w:type="pct"/>
          </w:tcPr>
          <w:p w14:paraId="3DF70E3F"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w:t>
            </w:r>
          </w:p>
        </w:tc>
      </w:tr>
      <w:tr w:rsidR="000C3959" w14:paraId="74C50182" w14:textId="77777777" w:rsidTr="00CF2235">
        <w:trPr>
          <w:trHeight w:val="125"/>
          <w:jc w:val="right"/>
        </w:trPr>
        <w:tc>
          <w:tcPr>
            <w:tcW w:w="186" w:type="pct"/>
          </w:tcPr>
          <w:p w14:paraId="409BC516" w14:textId="77777777" w:rsidR="00837AE1" w:rsidRPr="002E1A3F" w:rsidRDefault="00837AE1"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vAlign w:val="bottom"/>
          </w:tcPr>
          <w:p w14:paraId="32E4B2A3"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ACE: Future Energies and Electrochemical Systems</w:t>
            </w:r>
          </w:p>
        </w:tc>
        <w:tc>
          <w:tcPr>
            <w:tcW w:w="1270" w:type="pct"/>
            <w:vAlign w:val="bottom"/>
          </w:tcPr>
          <w:p w14:paraId="0AA5E24C" w14:textId="77777777" w:rsidR="00837AE1" w:rsidRPr="002E1A3F" w:rsidRDefault="00B00100" w:rsidP="008E2709">
            <w:pPr>
              <w:widowControl/>
              <w:autoSpaceDE/>
              <w:autoSpaceDN/>
              <w:adjustRightInd/>
              <w:rPr>
                <w:rFonts w:ascii="Calibri" w:eastAsia="Times New Roman" w:hAnsi="Calibri" w:cs="Calibri"/>
                <w:sz w:val="16"/>
                <w:szCs w:val="16"/>
              </w:rPr>
            </w:pPr>
            <w:r w:rsidRPr="002E1A3F">
              <w:rPr>
                <w:rFonts w:ascii="Calibri" w:eastAsia="Times New Roman" w:hAnsi="Calibri" w:cs="Calibri"/>
                <w:sz w:val="16"/>
                <w:szCs w:val="16"/>
              </w:rPr>
              <w:t>Federal University of Technology, Owerri</w:t>
            </w:r>
            <w:r w:rsidR="00864D46">
              <w:rPr>
                <w:rFonts w:ascii="Calibri" w:eastAsia="Times New Roman" w:hAnsi="Calibri" w:cs="Calibri"/>
                <w:sz w:val="16"/>
                <w:szCs w:val="16"/>
              </w:rPr>
              <w:t>, Nigeria</w:t>
            </w:r>
          </w:p>
        </w:tc>
        <w:tc>
          <w:tcPr>
            <w:tcW w:w="563" w:type="pct"/>
          </w:tcPr>
          <w:p w14:paraId="18E7313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 xml:space="preserve">Nigeria </w:t>
            </w:r>
          </w:p>
        </w:tc>
        <w:tc>
          <w:tcPr>
            <w:tcW w:w="796" w:type="pct"/>
          </w:tcPr>
          <w:p w14:paraId="7858AA67"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Renewable energy</w:t>
            </w:r>
          </w:p>
        </w:tc>
        <w:tc>
          <w:tcPr>
            <w:tcW w:w="457" w:type="pct"/>
          </w:tcPr>
          <w:p w14:paraId="7C8E28ED" w14:textId="77777777" w:rsidR="00837AE1" w:rsidRPr="002E1A3F" w:rsidRDefault="00B00100" w:rsidP="008E2709">
            <w:pPr>
              <w:widowControl/>
              <w:autoSpaceDE/>
              <w:autoSpaceDN/>
              <w:adjustRightInd/>
              <w:jc w:val="center"/>
              <w:rPr>
                <w:rFonts w:ascii="Calibri" w:eastAsia="Times New Roman" w:hAnsi="Calibri" w:cs="Calibri"/>
                <w:sz w:val="16"/>
                <w:szCs w:val="16"/>
              </w:rPr>
            </w:pPr>
            <w:r w:rsidRPr="002E1A3F">
              <w:rPr>
                <w:rFonts w:ascii="Calibri" w:eastAsia="Times New Roman" w:hAnsi="Calibri" w:cs="Calibri"/>
                <w:sz w:val="16"/>
                <w:szCs w:val="16"/>
              </w:rPr>
              <w:t>STEM</w:t>
            </w:r>
          </w:p>
        </w:tc>
      </w:tr>
      <w:tr w:rsidR="000C3959" w14:paraId="257A5E06" w14:textId="77777777" w:rsidTr="00CF2235">
        <w:trPr>
          <w:trHeight w:val="125"/>
          <w:jc w:val="right"/>
        </w:trPr>
        <w:tc>
          <w:tcPr>
            <w:tcW w:w="5000" w:type="pct"/>
            <w:gridSpan w:val="6"/>
          </w:tcPr>
          <w:p w14:paraId="44D7CA58" w14:textId="77777777" w:rsidR="00504154" w:rsidRPr="00826E9E" w:rsidRDefault="00B00100" w:rsidP="008E2709">
            <w:pPr>
              <w:widowControl/>
              <w:autoSpaceDE/>
              <w:autoSpaceDN/>
              <w:adjustRightInd/>
              <w:jc w:val="center"/>
              <w:rPr>
                <w:rFonts w:ascii="Calibri" w:eastAsia="Times New Roman" w:hAnsi="Calibri" w:cs="Calibri"/>
                <w:sz w:val="16"/>
                <w:szCs w:val="16"/>
              </w:rPr>
            </w:pPr>
            <w:r w:rsidRPr="00797B7A">
              <w:rPr>
                <w:rFonts w:ascii="Calibri" w:eastAsia="Calibri" w:hAnsi="Calibri" w:cs="Calibri"/>
                <w:b/>
                <w:sz w:val="16"/>
                <w:szCs w:val="16"/>
              </w:rPr>
              <w:t>Add-on: College of Engineering (CoEngg)</w:t>
            </w:r>
          </w:p>
        </w:tc>
      </w:tr>
      <w:tr w:rsidR="000C3959" w14:paraId="4F7BA800" w14:textId="77777777" w:rsidTr="00CF2235">
        <w:trPr>
          <w:trHeight w:val="125"/>
          <w:jc w:val="right"/>
        </w:trPr>
        <w:tc>
          <w:tcPr>
            <w:tcW w:w="186" w:type="pct"/>
          </w:tcPr>
          <w:p w14:paraId="6275CDAA" w14:textId="77777777" w:rsidR="00504154" w:rsidRPr="00826E9E" w:rsidRDefault="00504154" w:rsidP="008E2709">
            <w:pPr>
              <w:widowControl/>
              <w:numPr>
                <w:ilvl w:val="0"/>
                <w:numId w:val="66"/>
              </w:numPr>
              <w:autoSpaceDE/>
              <w:autoSpaceDN/>
              <w:adjustRightInd/>
              <w:spacing w:after="160"/>
              <w:contextualSpacing/>
              <w:rPr>
                <w:rFonts w:ascii="Calibri" w:eastAsia="Calibri" w:hAnsi="Calibri" w:cs="Calibri"/>
                <w:color w:val="auto"/>
                <w:sz w:val="16"/>
                <w:szCs w:val="16"/>
              </w:rPr>
            </w:pPr>
          </w:p>
        </w:tc>
        <w:tc>
          <w:tcPr>
            <w:tcW w:w="1728" w:type="pct"/>
          </w:tcPr>
          <w:p w14:paraId="5C5FE985" w14:textId="77777777" w:rsidR="00504154" w:rsidRPr="00826E9E" w:rsidRDefault="00B00100" w:rsidP="008E2709">
            <w:pPr>
              <w:widowControl/>
              <w:autoSpaceDE/>
              <w:autoSpaceDN/>
              <w:adjustRightInd/>
              <w:rPr>
                <w:rFonts w:ascii="Calibri" w:eastAsia="Times New Roman" w:hAnsi="Calibri" w:cs="Calibri"/>
                <w:sz w:val="16"/>
                <w:szCs w:val="16"/>
              </w:rPr>
            </w:pPr>
            <w:r w:rsidRPr="00797B7A">
              <w:rPr>
                <w:rFonts w:ascii="Calibri" w:eastAsia="Times New Roman" w:hAnsi="Calibri" w:cs="Calibri"/>
                <w:sz w:val="16"/>
                <w:szCs w:val="16"/>
              </w:rPr>
              <w:t>Collège of Engineering: Energy, Transport Infrastructures and Environment (CoE-EIE)</w:t>
            </w:r>
          </w:p>
        </w:tc>
        <w:tc>
          <w:tcPr>
            <w:tcW w:w="1270" w:type="pct"/>
          </w:tcPr>
          <w:p w14:paraId="668E6955" w14:textId="77777777" w:rsidR="00504154" w:rsidRPr="00826E9E" w:rsidRDefault="00B00100" w:rsidP="008E2709">
            <w:pPr>
              <w:widowControl/>
              <w:autoSpaceDE/>
              <w:autoSpaceDN/>
              <w:adjustRightInd/>
              <w:rPr>
                <w:rFonts w:ascii="Calibri" w:eastAsia="Times New Roman" w:hAnsi="Calibri" w:cs="Calibri"/>
                <w:sz w:val="16"/>
                <w:szCs w:val="16"/>
              </w:rPr>
            </w:pPr>
            <w:r w:rsidRPr="00797B7A">
              <w:rPr>
                <w:rFonts w:ascii="Calibri" w:eastAsia="Times New Roman" w:hAnsi="Calibri" w:cs="Calibri"/>
                <w:sz w:val="16"/>
                <w:szCs w:val="16"/>
                <w:lang w:val="fr-FR"/>
              </w:rPr>
              <w:t>University of Abomey Calavi</w:t>
            </w:r>
          </w:p>
        </w:tc>
        <w:tc>
          <w:tcPr>
            <w:tcW w:w="563" w:type="pct"/>
          </w:tcPr>
          <w:p w14:paraId="006BCFCE" w14:textId="77777777" w:rsidR="00504154" w:rsidRPr="00826E9E" w:rsidRDefault="00B00100" w:rsidP="008E2709">
            <w:pPr>
              <w:widowControl/>
              <w:autoSpaceDE/>
              <w:autoSpaceDN/>
              <w:adjustRightInd/>
              <w:jc w:val="center"/>
              <w:rPr>
                <w:rFonts w:ascii="Calibri" w:eastAsia="Times New Roman" w:hAnsi="Calibri" w:cs="Calibri"/>
                <w:sz w:val="16"/>
                <w:szCs w:val="16"/>
              </w:rPr>
            </w:pPr>
            <w:r w:rsidRPr="00797B7A">
              <w:rPr>
                <w:rFonts w:ascii="Calibri" w:eastAsia="Times New Roman" w:hAnsi="Calibri" w:cs="Calibri"/>
                <w:sz w:val="16"/>
                <w:szCs w:val="16"/>
                <w:lang w:val="fr-FR"/>
              </w:rPr>
              <w:t>Benin</w:t>
            </w:r>
          </w:p>
        </w:tc>
        <w:tc>
          <w:tcPr>
            <w:tcW w:w="796" w:type="pct"/>
          </w:tcPr>
          <w:p w14:paraId="430FB0DB" w14:textId="77777777" w:rsidR="00504154" w:rsidRPr="00826E9E" w:rsidRDefault="00B00100" w:rsidP="008E2709">
            <w:pPr>
              <w:widowControl/>
              <w:autoSpaceDE/>
              <w:autoSpaceDN/>
              <w:adjustRightInd/>
              <w:jc w:val="center"/>
              <w:rPr>
                <w:rFonts w:ascii="Calibri" w:eastAsia="Times New Roman" w:hAnsi="Calibri" w:cs="Calibri"/>
                <w:sz w:val="16"/>
                <w:szCs w:val="16"/>
              </w:rPr>
            </w:pPr>
            <w:r w:rsidRPr="00797B7A">
              <w:rPr>
                <w:rFonts w:ascii="Calibri" w:eastAsia="Times New Roman" w:hAnsi="Calibri" w:cs="Calibri"/>
                <w:sz w:val="16"/>
                <w:szCs w:val="16"/>
                <w:lang w:val="fr-FR"/>
              </w:rPr>
              <w:t>Engineering</w:t>
            </w:r>
          </w:p>
        </w:tc>
        <w:tc>
          <w:tcPr>
            <w:tcW w:w="457" w:type="pct"/>
          </w:tcPr>
          <w:p w14:paraId="4C00A30B" w14:textId="77777777" w:rsidR="00504154" w:rsidRPr="00826E9E" w:rsidRDefault="00B00100" w:rsidP="008E2709">
            <w:pPr>
              <w:widowControl/>
              <w:autoSpaceDE/>
              <w:autoSpaceDN/>
              <w:adjustRightInd/>
              <w:jc w:val="center"/>
              <w:rPr>
                <w:rFonts w:ascii="Calibri" w:eastAsia="Times New Roman" w:hAnsi="Calibri" w:cs="Calibri"/>
                <w:sz w:val="16"/>
                <w:szCs w:val="16"/>
              </w:rPr>
            </w:pPr>
            <w:r w:rsidRPr="00797B7A">
              <w:rPr>
                <w:rFonts w:ascii="Calibri" w:eastAsia="Times New Roman" w:hAnsi="Calibri" w:cs="Calibri"/>
                <w:sz w:val="16"/>
                <w:szCs w:val="16"/>
                <w:lang w:val="fr-FR"/>
              </w:rPr>
              <w:t>STEM</w:t>
            </w:r>
          </w:p>
        </w:tc>
      </w:tr>
    </w:tbl>
    <w:p w14:paraId="6127328B" w14:textId="77777777" w:rsidR="00837AE1" w:rsidRPr="00E95DC9" w:rsidRDefault="00B00100" w:rsidP="00E95DC9">
      <w:pPr>
        <w:widowControl/>
        <w:autoSpaceDE/>
        <w:autoSpaceDN/>
        <w:adjustRightInd/>
        <w:jc w:val="both"/>
        <w:rPr>
          <w:rFonts w:ascii="Calibri" w:eastAsia="Calibri" w:hAnsi="Calibri" w:cs="Times New Roman"/>
          <w:color w:val="auto"/>
          <w:sz w:val="17"/>
          <w:szCs w:val="17"/>
          <w:lang w:eastAsia="ko-KR"/>
        </w:rPr>
      </w:pPr>
      <w:r w:rsidRPr="00E95DC9">
        <w:rPr>
          <w:rFonts w:ascii="Calibri" w:eastAsia="Calibri" w:hAnsi="Calibri" w:cs="Times New Roman"/>
          <w:color w:val="auto"/>
          <w:sz w:val="17"/>
          <w:szCs w:val="17"/>
          <w:lang w:eastAsia="ko-KR"/>
        </w:rPr>
        <w:t>Note: The C</w:t>
      </w:r>
      <w:r w:rsidR="00B04A2E" w:rsidRPr="00E95DC9">
        <w:rPr>
          <w:rFonts w:ascii="Calibri" w:eastAsia="Calibri" w:hAnsi="Calibri" w:cs="Calibri"/>
          <w:color w:val="auto"/>
          <w:sz w:val="17"/>
          <w:szCs w:val="17"/>
          <w:lang w:eastAsia="ko-KR"/>
        </w:rPr>
        <w:t>ô</w:t>
      </w:r>
      <w:r w:rsidRPr="00E95DC9">
        <w:rPr>
          <w:rFonts w:ascii="Calibri" w:eastAsia="Calibri" w:hAnsi="Calibri" w:cs="Times New Roman"/>
          <w:color w:val="auto"/>
          <w:sz w:val="17"/>
          <w:szCs w:val="17"/>
          <w:lang w:eastAsia="ko-KR"/>
        </w:rPr>
        <w:t xml:space="preserve">te d’Ivoire </w:t>
      </w:r>
      <w:r w:rsidR="00A271D4" w:rsidRPr="00E95DC9">
        <w:rPr>
          <w:rFonts w:ascii="Calibri" w:eastAsia="Calibri" w:hAnsi="Calibri" w:cs="Times New Roman"/>
          <w:color w:val="auto"/>
          <w:sz w:val="17"/>
          <w:szCs w:val="17"/>
          <w:lang w:eastAsia="ko-KR"/>
        </w:rPr>
        <w:t>R</w:t>
      </w:r>
      <w:r w:rsidRPr="00E95DC9">
        <w:rPr>
          <w:rFonts w:ascii="Calibri" w:eastAsia="Calibri" w:hAnsi="Calibri" w:cs="Times New Roman"/>
          <w:color w:val="auto"/>
          <w:sz w:val="17"/>
          <w:szCs w:val="17"/>
          <w:lang w:eastAsia="ko-KR"/>
        </w:rPr>
        <w:t xml:space="preserve">enewal and </w:t>
      </w:r>
      <w:r w:rsidR="00A271D4" w:rsidRPr="00E95DC9">
        <w:rPr>
          <w:rFonts w:ascii="Calibri" w:eastAsia="Calibri" w:hAnsi="Calibri" w:cs="Times New Roman"/>
          <w:color w:val="auto"/>
          <w:sz w:val="17"/>
          <w:szCs w:val="17"/>
          <w:lang w:eastAsia="ko-KR"/>
        </w:rPr>
        <w:t>N</w:t>
      </w:r>
      <w:r w:rsidRPr="00E95DC9">
        <w:rPr>
          <w:rFonts w:ascii="Calibri" w:eastAsia="Calibri" w:hAnsi="Calibri" w:cs="Times New Roman"/>
          <w:color w:val="auto"/>
          <w:sz w:val="17"/>
          <w:szCs w:val="17"/>
          <w:lang w:eastAsia="ko-KR"/>
        </w:rPr>
        <w:t xml:space="preserve">ew centers to be funded solely by AFD </w:t>
      </w:r>
      <w:r w:rsidR="00C93CC3" w:rsidRPr="00E95DC9">
        <w:rPr>
          <w:rFonts w:ascii="Calibri" w:eastAsia="Calibri" w:hAnsi="Calibri" w:cs="Times New Roman"/>
          <w:color w:val="auto"/>
          <w:sz w:val="17"/>
          <w:szCs w:val="17"/>
          <w:lang w:eastAsia="ko-KR"/>
        </w:rPr>
        <w:t xml:space="preserve">under separate project </w:t>
      </w:r>
      <w:r w:rsidRPr="00E95DC9">
        <w:rPr>
          <w:rFonts w:ascii="Calibri" w:eastAsia="Calibri" w:hAnsi="Calibri" w:cs="Times New Roman"/>
          <w:color w:val="auto"/>
          <w:sz w:val="17"/>
          <w:szCs w:val="17"/>
          <w:lang w:eastAsia="ko-KR"/>
        </w:rPr>
        <w:t xml:space="preserve">are: </w:t>
      </w:r>
    </w:p>
    <w:p w14:paraId="37CAF5A2" w14:textId="77777777" w:rsidR="00837AE1" w:rsidRPr="00E95DC9" w:rsidRDefault="00B00100" w:rsidP="00E95DC9">
      <w:pPr>
        <w:pStyle w:val="ListParagraph"/>
        <w:widowControl/>
        <w:numPr>
          <w:ilvl w:val="1"/>
          <w:numId w:val="6"/>
        </w:numPr>
        <w:autoSpaceDE/>
        <w:autoSpaceDN/>
        <w:adjustRightInd/>
        <w:contextualSpacing w:val="0"/>
        <w:jc w:val="both"/>
        <w:rPr>
          <w:rFonts w:ascii="Calibri" w:eastAsia="Calibri" w:hAnsi="Calibri" w:cs="Times New Roman"/>
          <w:color w:val="auto"/>
          <w:sz w:val="17"/>
          <w:szCs w:val="17"/>
          <w:lang w:eastAsia="ko-KR"/>
        </w:rPr>
      </w:pPr>
      <w:r w:rsidRPr="00E95DC9">
        <w:rPr>
          <w:rFonts w:ascii="Calibri" w:eastAsia="Calibri" w:hAnsi="Calibri" w:cs="Times New Roman"/>
          <w:color w:val="auto"/>
          <w:sz w:val="17"/>
          <w:szCs w:val="17"/>
          <w:lang w:eastAsia="ko-KR"/>
        </w:rPr>
        <w:t>ACE: Mining and Mining Environment (CEA-MEM) at INP-HB</w:t>
      </w:r>
    </w:p>
    <w:p w14:paraId="003E1A5A" w14:textId="77777777" w:rsidR="00837AE1" w:rsidRPr="00E95DC9" w:rsidRDefault="00B00100" w:rsidP="00E95DC9">
      <w:pPr>
        <w:pStyle w:val="ListParagraph"/>
        <w:widowControl/>
        <w:numPr>
          <w:ilvl w:val="1"/>
          <w:numId w:val="6"/>
        </w:numPr>
        <w:autoSpaceDE/>
        <w:autoSpaceDN/>
        <w:adjustRightInd/>
        <w:contextualSpacing w:val="0"/>
        <w:jc w:val="both"/>
        <w:rPr>
          <w:rFonts w:ascii="Calibri" w:eastAsia="Calibri" w:hAnsi="Calibri" w:cs="Times New Roman"/>
          <w:color w:val="auto"/>
          <w:sz w:val="17"/>
          <w:szCs w:val="17"/>
          <w:lang w:eastAsia="ko-KR"/>
        </w:rPr>
      </w:pPr>
      <w:r w:rsidRPr="00E95DC9">
        <w:rPr>
          <w:rFonts w:ascii="Calibri" w:eastAsia="Calibri" w:hAnsi="Calibri" w:cs="Times New Roman"/>
          <w:color w:val="auto"/>
          <w:sz w:val="17"/>
          <w:szCs w:val="17"/>
          <w:lang w:eastAsia="ko-KR"/>
        </w:rPr>
        <w:t xml:space="preserve">ACE: Climate Change, Biodiversity and Sustainable Agriculture (CCBAD) at the </w:t>
      </w:r>
      <w:r w:rsidR="00384B94" w:rsidRPr="00E95DC9">
        <w:rPr>
          <w:rFonts w:ascii="Calibri" w:eastAsia="Calibri" w:hAnsi="Calibri" w:cs="Times New Roman"/>
          <w:color w:val="auto"/>
          <w:sz w:val="17"/>
          <w:szCs w:val="17"/>
          <w:lang w:eastAsia="ko-KR"/>
        </w:rPr>
        <w:t>UFBH</w:t>
      </w:r>
    </w:p>
    <w:p w14:paraId="6985A1A5" w14:textId="77777777" w:rsidR="00837AE1" w:rsidRPr="00E95DC9" w:rsidRDefault="00B00100" w:rsidP="00E95DC9">
      <w:pPr>
        <w:pStyle w:val="ListParagraph"/>
        <w:widowControl/>
        <w:numPr>
          <w:ilvl w:val="1"/>
          <w:numId w:val="6"/>
        </w:numPr>
        <w:autoSpaceDE/>
        <w:autoSpaceDN/>
        <w:adjustRightInd/>
        <w:contextualSpacing w:val="0"/>
        <w:jc w:val="both"/>
        <w:rPr>
          <w:rFonts w:ascii="Calibri" w:eastAsia="Calibri" w:hAnsi="Calibri" w:cs="Times New Roman"/>
          <w:color w:val="auto"/>
          <w:sz w:val="17"/>
          <w:szCs w:val="17"/>
          <w:lang w:eastAsia="ko-KR"/>
        </w:rPr>
      </w:pPr>
      <w:r w:rsidRPr="00E95DC9">
        <w:rPr>
          <w:rFonts w:ascii="Calibri" w:eastAsia="Calibri" w:hAnsi="Calibri" w:cs="Times New Roman"/>
          <w:color w:val="auto"/>
          <w:sz w:val="17"/>
          <w:szCs w:val="17"/>
          <w:lang w:eastAsia="ko-KR"/>
        </w:rPr>
        <w:t xml:space="preserve">ACE: Statistics and Quantitative Economics at the </w:t>
      </w:r>
      <w:r w:rsidR="00864D46" w:rsidRPr="00E95DC9">
        <w:rPr>
          <w:rFonts w:ascii="Calibri" w:eastAsia="Calibri" w:hAnsi="Calibri" w:cs="Times New Roman"/>
          <w:color w:val="auto"/>
          <w:sz w:val="17"/>
          <w:szCs w:val="17"/>
          <w:lang w:eastAsia="ko-KR"/>
        </w:rPr>
        <w:t>ENSEA</w:t>
      </w:r>
    </w:p>
    <w:p w14:paraId="46972490" w14:textId="77777777" w:rsidR="00837AE1" w:rsidRPr="00E95DC9" w:rsidRDefault="00B00100" w:rsidP="00E95DC9">
      <w:pPr>
        <w:pStyle w:val="ListParagraph"/>
        <w:widowControl/>
        <w:numPr>
          <w:ilvl w:val="1"/>
          <w:numId w:val="6"/>
        </w:numPr>
        <w:autoSpaceDE/>
        <w:autoSpaceDN/>
        <w:adjustRightInd/>
        <w:contextualSpacing w:val="0"/>
        <w:jc w:val="both"/>
        <w:rPr>
          <w:rFonts w:ascii="Calibri" w:eastAsia="Calibri" w:hAnsi="Calibri" w:cs="Times New Roman"/>
          <w:color w:val="auto"/>
          <w:sz w:val="17"/>
          <w:szCs w:val="17"/>
          <w:lang w:eastAsia="ko-KR"/>
        </w:rPr>
      </w:pPr>
      <w:r w:rsidRPr="00E95DC9">
        <w:rPr>
          <w:rFonts w:ascii="Calibri" w:eastAsia="Calibri" w:hAnsi="Calibri" w:cs="Times New Roman"/>
          <w:color w:val="auto"/>
          <w:sz w:val="17"/>
          <w:szCs w:val="17"/>
          <w:lang w:eastAsia="ko-KR"/>
        </w:rPr>
        <w:t>New Center: ACE: Valorization of Waste Products with High Value Added (VALOPRO) at the INP-HB</w:t>
      </w:r>
      <w:r w:rsidR="00C32084" w:rsidRPr="00E95DC9">
        <w:rPr>
          <w:rFonts w:ascii="Calibri" w:eastAsia="Calibri" w:hAnsi="Calibri" w:cs="Times New Roman"/>
          <w:color w:val="auto"/>
          <w:sz w:val="17"/>
          <w:szCs w:val="17"/>
          <w:lang w:eastAsia="ko-KR"/>
        </w:rPr>
        <w:t>.</w:t>
      </w:r>
    </w:p>
    <w:p w14:paraId="71D17C35" w14:textId="77777777" w:rsidR="00837AE1" w:rsidRPr="002963AF" w:rsidRDefault="00B00100" w:rsidP="008E2709">
      <w:pPr>
        <w:widowControl/>
        <w:numPr>
          <w:ilvl w:val="0"/>
          <w:numId w:val="65"/>
        </w:numPr>
        <w:tabs>
          <w:tab w:val="left" w:pos="0"/>
        </w:tabs>
        <w:autoSpaceDE/>
        <w:autoSpaceDN/>
        <w:adjustRightInd/>
        <w:spacing w:after="160"/>
        <w:ind w:right="720"/>
        <w:jc w:val="both"/>
        <w:rPr>
          <w:rFonts w:ascii="Calibri" w:eastAsia="Calibri" w:hAnsi="Calibri" w:cs="Calibri"/>
          <w:b/>
          <w:bCs/>
          <w:sz w:val="22"/>
          <w:szCs w:val="22"/>
        </w:rPr>
      </w:pPr>
      <w:r w:rsidRPr="00414BD8">
        <w:rPr>
          <w:rFonts w:ascii="Calibri" w:eastAsia="Times New Roman" w:hAnsi="Calibri" w:cs="Calibri"/>
          <w:b/>
          <w:bCs/>
          <w:spacing w:val="-1"/>
          <w:sz w:val="22"/>
          <w:szCs w:val="22"/>
        </w:rPr>
        <w:lastRenderedPageBreak/>
        <w:t>In</w:t>
      </w:r>
      <w:r>
        <w:rPr>
          <w:rFonts w:ascii="Calibri" w:eastAsia="Calibri" w:hAnsi="Calibri" w:cs="Calibri"/>
          <w:b/>
          <w:bCs/>
          <w:spacing w:val="-1"/>
          <w:sz w:val="22"/>
          <w:szCs w:val="22"/>
        </w:rPr>
        <w:t xml:space="preserve"> addition to </w:t>
      </w:r>
      <w:r w:rsidR="00594724">
        <w:rPr>
          <w:rFonts w:ascii="Calibri" w:eastAsia="Calibri" w:hAnsi="Calibri" w:cs="Calibri"/>
          <w:b/>
          <w:bCs/>
          <w:spacing w:val="-1"/>
          <w:sz w:val="22"/>
          <w:szCs w:val="22"/>
        </w:rPr>
        <w:t>co</w:t>
      </w:r>
      <w:r w:rsidR="001F5BFC">
        <w:rPr>
          <w:rFonts w:ascii="Calibri" w:eastAsia="Calibri" w:hAnsi="Calibri" w:cs="Calibri"/>
          <w:b/>
          <w:bCs/>
          <w:spacing w:val="-1"/>
          <w:sz w:val="22"/>
          <w:szCs w:val="22"/>
        </w:rPr>
        <w:t>-</w:t>
      </w:r>
      <w:r>
        <w:rPr>
          <w:rFonts w:ascii="Calibri" w:eastAsia="Calibri" w:hAnsi="Calibri" w:cs="Calibri"/>
          <w:b/>
          <w:bCs/>
          <w:spacing w:val="-1"/>
          <w:sz w:val="22"/>
          <w:szCs w:val="22"/>
        </w:rPr>
        <w:t xml:space="preserve">financing ACEs in Benin, Nigeria and </w:t>
      </w:r>
      <w:r w:rsidR="00C27EAD">
        <w:rPr>
          <w:rFonts w:ascii="Calibri" w:eastAsia="Calibri" w:hAnsi="Calibri" w:cs="Calibri"/>
          <w:b/>
          <w:bCs/>
          <w:spacing w:val="-1"/>
          <w:sz w:val="22"/>
          <w:szCs w:val="22"/>
        </w:rPr>
        <w:t xml:space="preserve">financing a project </w:t>
      </w:r>
      <w:r w:rsidR="00A300E2">
        <w:rPr>
          <w:rFonts w:ascii="Calibri" w:eastAsia="Calibri" w:hAnsi="Calibri" w:cs="Calibri"/>
          <w:b/>
          <w:bCs/>
          <w:spacing w:val="-1"/>
          <w:sz w:val="22"/>
          <w:szCs w:val="22"/>
        </w:rPr>
        <w:t xml:space="preserve">in </w:t>
      </w:r>
      <w:r>
        <w:rPr>
          <w:rFonts w:ascii="Calibri" w:eastAsia="Calibri" w:hAnsi="Calibri" w:cs="Calibri"/>
          <w:b/>
          <w:bCs/>
          <w:spacing w:val="-1"/>
          <w:sz w:val="22"/>
          <w:szCs w:val="22"/>
        </w:rPr>
        <w:t>C</w:t>
      </w:r>
      <w:r w:rsidR="00B04A2E">
        <w:rPr>
          <w:rFonts w:ascii="Calibri" w:eastAsia="Calibri" w:hAnsi="Calibri" w:cs="Calibri"/>
          <w:b/>
          <w:bCs/>
          <w:spacing w:val="-1"/>
          <w:sz w:val="22"/>
          <w:szCs w:val="22"/>
        </w:rPr>
        <w:t>ô</w:t>
      </w:r>
      <w:r>
        <w:rPr>
          <w:rFonts w:ascii="Calibri" w:eastAsia="Calibri" w:hAnsi="Calibri" w:cs="Calibri"/>
          <w:b/>
          <w:bCs/>
          <w:spacing w:val="-1"/>
          <w:sz w:val="22"/>
          <w:szCs w:val="22"/>
        </w:rPr>
        <w:t>te d’Ivoire,</w:t>
      </w:r>
      <w:r w:rsidRPr="002E1A3F">
        <w:rPr>
          <w:rFonts w:ascii="Calibri" w:eastAsia="Calibri" w:hAnsi="Calibri" w:cs="Calibri"/>
          <w:b/>
          <w:bCs/>
          <w:spacing w:val="-1"/>
          <w:sz w:val="22"/>
          <w:szCs w:val="22"/>
        </w:rPr>
        <w:t xml:space="preserve"> </w:t>
      </w:r>
      <w:r>
        <w:rPr>
          <w:rFonts w:ascii="Calibri" w:eastAsia="Calibri" w:hAnsi="Calibri" w:cs="Calibri"/>
          <w:b/>
          <w:bCs/>
          <w:spacing w:val="-1"/>
          <w:sz w:val="22"/>
          <w:szCs w:val="22"/>
        </w:rPr>
        <w:t xml:space="preserve">AFD </w:t>
      </w:r>
      <w:r w:rsidRPr="002E1A3F">
        <w:rPr>
          <w:rFonts w:ascii="Calibri" w:eastAsia="Calibri" w:hAnsi="Calibri" w:cs="Calibri"/>
          <w:b/>
          <w:bCs/>
          <w:spacing w:val="-1"/>
          <w:sz w:val="22"/>
          <w:szCs w:val="22"/>
        </w:rPr>
        <w:t xml:space="preserve">is preparing a EUR 6 million grant to support regional collaboration activities aligned with the </w:t>
      </w:r>
      <w:r>
        <w:rPr>
          <w:rFonts w:ascii="Calibri" w:eastAsia="Calibri" w:hAnsi="Calibri" w:cs="Calibri"/>
          <w:b/>
          <w:bCs/>
          <w:spacing w:val="-1"/>
          <w:sz w:val="22"/>
          <w:szCs w:val="22"/>
        </w:rPr>
        <w:t xml:space="preserve">First and Second </w:t>
      </w:r>
      <w:r w:rsidRPr="002E1A3F">
        <w:rPr>
          <w:rFonts w:ascii="Calibri" w:eastAsia="Calibri" w:hAnsi="Calibri" w:cs="Calibri"/>
          <w:b/>
          <w:bCs/>
          <w:spacing w:val="-1"/>
          <w:sz w:val="22"/>
          <w:szCs w:val="22"/>
        </w:rPr>
        <w:t>ACE Impact</w:t>
      </w:r>
      <w:r>
        <w:rPr>
          <w:rFonts w:ascii="Calibri" w:eastAsia="Calibri" w:hAnsi="Calibri" w:cs="Calibri"/>
          <w:b/>
          <w:bCs/>
          <w:spacing w:val="-1"/>
          <w:sz w:val="22"/>
          <w:szCs w:val="22"/>
        </w:rPr>
        <w:t xml:space="preserve"> PDOs</w:t>
      </w:r>
      <w:r w:rsidR="00837704">
        <w:rPr>
          <w:rFonts w:ascii="Calibri" w:eastAsia="Calibri" w:hAnsi="Calibri" w:cs="Calibri"/>
          <w:b/>
          <w:bCs/>
          <w:spacing w:val="-1"/>
          <w:sz w:val="22"/>
          <w:szCs w:val="22"/>
        </w:rPr>
        <w:t xml:space="preserve">, </w:t>
      </w:r>
      <w:r w:rsidRPr="002E1A3F">
        <w:rPr>
          <w:rFonts w:ascii="Calibri" w:eastAsia="Calibri" w:hAnsi="Calibri" w:cs="Calibri"/>
          <w:b/>
          <w:bCs/>
          <w:spacing w:val="-1"/>
          <w:sz w:val="22"/>
          <w:szCs w:val="22"/>
        </w:rPr>
        <w:t>activities</w:t>
      </w:r>
      <w:r w:rsidR="00837704">
        <w:rPr>
          <w:rFonts w:ascii="Calibri" w:eastAsia="Calibri" w:hAnsi="Calibri" w:cs="Calibri"/>
          <w:b/>
          <w:bCs/>
          <w:spacing w:val="-1"/>
          <w:sz w:val="22"/>
          <w:szCs w:val="22"/>
        </w:rPr>
        <w:t xml:space="preserve"> and the p</w:t>
      </w:r>
      <w:r w:rsidR="005A4317">
        <w:rPr>
          <w:rFonts w:ascii="Calibri" w:eastAsia="Calibri" w:hAnsi="Calibri" w:cs="Calibri"/>
          <w:b/>
          <w:bCs/>
          <w:spacing w:val="-1"/>
          <w:sz w:val="22"/>
          <w:szCs w:val="22"/>
        </w:rPr>
        <w:t>rojects’ broader partnership framework</w:t>
      </w:r>
      <w:r w:rsidRPr="002E1A3F">
        <w:rPr>
          <w:rFonts w:ascii="Calibri" w:eastAsia="Calibri" w:hAnsi="Calibri" w:cs="Calibri"/>
          <w:b/>
          <w:bCs/>
          <w:spacing w:val="-1"/>
          <w:sz w:val="22"/>
          <w:szCs w:val="22"/>
        </w:rPr>
        <w:t xml:space="preserve">. </w:t>
      </w:r>
      <w:r w:rsidR="00591C89">
        <w:rPr>
          <w:rFonts w:ascii="Calibri" w:eastAsia="Calibri" w:hAnsi="Calibri" w:cs="Calibri"/>
          <w:b/>
          <w:bCs/>
          <w:spacing w:val="-1"/>
          <w:sz w:val="22"/>
          <w:szCs w:val="22"/>
        </w:rPr>
        <w:t xml:space="preserve"> </w:t>
      </w:r>
      <w:r w:rsidRPr="002E1A3F">
        <w:rPr>
          <w:rFonts w:ascii="Calibri" w:eastAsia="Calibri" w:hAnsi="Calibri" w:cs="Calibri"/>
          <w:sz w:val="22"/>
          <w:szCs w:val="22"/>
        </w:rPr>
        <w:t xml:space="preserve">AFD’s </w:t>
      </w:r>
      <w:r w:rsidRPr="00F02286">
        <w:rPr>
          <w:rFonts w:ascii="Calibri" w:eastAsia="Calibri" w:hAnsi="Calibri" w:cs="Calibri"/>
          <w:spacing w:val="-1"/>
          <w:sz w:val="22"/>
          <w:szCs w:val="22"/>
        </w:rPr>
        <w:t xml:space="preserve">grant will support building and/or strengthening sustainable research networking between ACEs and other partners on specific topics. Specifically, this grant would support 4-5 thematic networks from the following: (i) </w:t>
      </w:r>
      <w:r w:rsidR="00313754">
        <w:rPr>
          <w:rFonts w:ascii="Calibri" w:eastAsia="Calibri" w:hAnsi="Calibri" w:cs="Calibri"/>
          <w:spacing w:val="-1"/>
          <w:sz w:val="22"/>
          <w:szCs w:val="22"/>
        </w:rPr>
        <w:t>m</w:t>
      </w:r>
      <w:r w:rsidRPr="00F02286">
        <w:rPr>
          <w:rFonts w:ascii="Calibri" w:eastAsia="Calibri" w:hAnsi="Calibri" w:cs="Calibri"/>
          <w:spacing w:val="-1"/>
          <w:sz w:val="22"/>
          <w:szCs w:val="22"/>
        </w:rPr>
        <w:t xml:space="preserve">ining and </w:t>
      </w:r>
      <w:r w:rsidR="00313754">
        <w:rPr>
          <w:rFonts w:ascii="Calibri" w:eastAsia="Calibri" w:hAnsi="Calibri" w:cs="Calibri"/>
          <w:spacing w:val="-1"/>
          <w:sz w:val="22"/>
          <w:szCs w:val="22"/>
        </w:rPr>
        <w:t>the e</w:t>
      </w:r>
      <w:r w:rsidRPr="00F02286">
        <w:rPr>
          <w:rFonts w:ascii="Calibri" w:eastAsia="Calibri" w:hAnsi="Calibri" w:cs="Calibri"/>
          <w:spacing w:val="-1"/>
          <w:sz w:val="22"/>
          <w:szCs w:val="22"/>
        </w:rPr>
        <w:t>nvironmen</w:t>
      </w:r>
      <w:r w:rsidRPr="002963AF">
        <w:rPr>
          <w:rFonts w:ascii="Calibri" w:eastAsia="Calibri" w:hAnsi="Calibri" w:cs="Calibri"/>
          <w:spacing w:val="-1"/>
          <w:sz w:val="22"/>
          <w:szCs w:val="22"/>
        </w:rPr>
        <w:t>t</w:t>
      </w:r>
      <w:r w:rsidR="00D112D1">
        <w:rPr>
          <w:rFonts w:ascii="Calibri" w:eastAsia="Calibri" w:hAnsi="Calibri" w:cs="Calibri"/>
          <w:spacing w:val="-1"/>
          <w:sz w:val="22"/>
          <w:szCs w:val="22"/>
        </w:rPr>
        <w:t>;</w:t>
      </w:r>
      <w:r w:rsidRPr="002963AF">
        <w:rPr>
          <w:rFonts w:ascii="Calibri" w:eastAsia="Calibri" w:hAnsi="Calibri" w:cs="Calibri"/>
          <w:spacing w:val="-1"/>
          <w:sz w:val="22"/>
          <w:szCs w:val="22"/>
        </w:rPr>
        <w:t xml:space="preserve"> (ii) water</w:t>
      </w:r>
      <w:r w:rsidR="00D112D1">
        <w:rPr>
          <w:rFonts w:ascii="Calibri" w:eastAsia="Calibri" w:hAnsi="Calibri" w:cs="Calibri"/>
          <w:spacing w:val="-1"/>
          <w:sz w:val="22"/>
          <w:szCs w:val="22"/>
        </w:rPr>
        <w:t>;</w:t>
      </w:r>
      <w:r w:rsidRPr="002963AF">
        <w:rPr>
          <w:rFonts w:ascii="Calibri" w:eastAsia="Calibri" w:hAnsi="Calibri" w:cs="Calibri"/>
          <w:spacing w:val="-1"/>
          <w:sz w:val="22"/>
          <w:szCs w:val="22"/>
        </w:rPr>
        <w:t xml:space="preserve"> (iii) ICT</w:t>
      </w:r>
      <w:r w:rsidR="00D112D1">
        <w:rPr>
          <w:rFonts w:ascii="Calibri" w:eastAsia="Calibri" w:hAnsi="Calibri" w:cs="Calibri"/>
          <w:spacing w:val="-1"/>
          <w:sz w:val="22"/>
          <w:szCs w:val="22"/>
        </w:rPr>
        <w:t>;</w:t>
      </w:r>
      <w:r w:rsidRPr="002963AF">
        <w:rPr>
          <w:rFonts w:ascii="Calibri" w:eastAsia="Calibri" w:hAnsi="Calibri" w:cs="Calibri"/>
          <w:spacing w:val="-1"/>
          <w:sz w:val="22"/>
          <w:szCs w:val="22"/>
        </w:rPr>
        <w:t xml:space="preserve"> (iv) infectious diseases</w:t>
      </w:r>
      <w:r w:rsidR="00D112D1">
        <w:rPr>
          <w:rFonts w:ascii="Calibri" w:eastAsia="Calibri" w:hAnsi="Calibri" w:cs="Calibri"/>
          <w:spacing w:val="-1"/>
          <w:sz w:val="22"/>
          <w:szCs w:val="22"/>
        </w:rPr>
        <w:t>;</w:t>
      </w:r>
      <w:r w:rsidRPr="002963AF">
        <w:rPr>
          <w:rFonts w:ascii="Calibri" w:eastAsia="Calibri" w:hAnsi="Calibri" w:cs="Calibri"/>
          <w:spacing w:val="-1"/>
          <w:sz w:val="22"/>
          <w:szCs w:val="22"/>
        </w:rPr>
        <w:t xml:space="preserve"> and (v) sustainable power. The implementation scheme is currently being discussed with the World Bank and the centers to address critical needs (aligned with the DLIs), avoid duplication and minimize complexity. The AFD grant will fund</w:t>
      </w:r>
      <w:r w:rsidRPr="00F02286">
        <w:rPr>
          <w:rFonts w:ascii="Calibri" w:eastAsia="Calibri" w:hAnsi="Calibri" w:cs="Calibri"/>
          <w:spacing w:val="-1"/>
          <w:sz w:val="22"/>
          <w:szCs w:val="22"/>
        </w:rPr>
        <w:t xml:space="preserve"> research performing organizations, higher education institutions and </w:t>
      </w:r>
      <w:r w:rsidR="00CB6825">
        <w:rPr>
          <w:rFonts w:ascii="Calibri" w:eastAsia="Calibri" w:hAnsi="Calibri" w:cs="Calibri"/>
          <w:spacing w:val="-1"/>
          <w:sz w:val="22"/>
          <w:szCs w:val="22"/>
        </w:rPr>
        <w:t>quality assurance</w:t>
      </w:r>
      <w:r w:rsidR="00CB6825" w:rsidRPr="00F02286">
        <w:rPr>
          <w:rFonts w:ascii="Calibri" w:eastAsia="Calibri" w:hAnsi="Calibri" w:cs="Calibri"/>
          <w:spacing w:val="-1"/>
          <w:sz w:val="22"/>
          <w:szCs w:val="22"/>
        </w:rPr>
        <w:t xml:space="preserve"> </w:t>
      </w:r>
      <w:r w:rsidRPr="00F02286">
        <w:rPr>
          <w:rFonts w:ascii="Calibri" w:eastAsia="Calibri" w:hAnsi="Calibri" w:cs="Calibri"/>
          <w:spacing w:val="-1"/>
          <w:sz w:val="22"/>
          <w:szCs w:val="22"/>
        </w:rPr>
        <w:t>experts to support these interventions. IRD will serve as the technical coordinating agency for the regional grant</w:t>
      </w:r>
      <w:r w:rsidRPr="002963AF">
        <w:rPr>
          <w:rFonts w:ascii="Calibri" w:eastAsia="Calibri" w:hAnsi="Calibri" w:cs="Calibri"/>
          <w:spacing w:val="-1"/>
          <w:sz w:val="22"/>
          <w:szCs w:val="22"/>
        </w:rPr>
        <w:t>.</w:t>
      </w:r>
      <w:r w:rsidR="00CC3A4F">
        <w:rPr>
          <w:rFonts w:ascii="Calibri" w:eastAsia="Calibri" w:hAnsi="Calibri" w:cs="Calibri"/>
          <w:spacing w:val="-1"/>
          <w:sz w:val="22"/>
          <w:szCs w:val="22"/>
        </w:rPr>
        <w:t xml:space="preserve"> Allocation</w:t>
      </w:r>
      <w:r w:rsidR="00BB2520">
        <w:rPr>
          <w:rFonts w:ascii="Calibri" w:eastAsia="Calibri" w:hAnsi="Calibri" w:cs="Calibri"/>
          <w:spacing w:val="-1"/>
          <w:sz w:val="22"/>
          <w:szCs w:val="22"/>
        </w:rPr>
        <w:t xml:space="preserve"> for</w:t>
      </w:r>
      <w:r w:rsidRPr="002963AF">
        <w:rPr>
          <w:rFonts w:ascii="Calibri" w:eastAsia="Calibri" w:hAnsi="Calibri" w:cs="Calibri"/>
          <w:spacing w:val="-1"/>
          <w:sz w:val="22"/>
          <w:szCs w:val="22"/>
        </w:rPr>
        <w:t xml:space="preserve"> </w:t>
      </w:r>
      <w:r w:rsidR="00CC3A4F">
        <w:rPr>
          <w:rFonts w:ascii="Calibri" w:eastAsia="Calibri" w:hAnsi="Calibri" w:cs="Calibri"/>
          <w:sz w:val="22"/>
          <w:szCs w:val="22"/>
        </w:rPr>
        <w:t>t</w:t>
      </w:r>
      <w:r>
        <w:rPr>
          <w:rFonts w:ascii="Calibri" w:eastAsia="Calibri" w:hAnsi="Calibri" w:cs="Calibri"/>
          <w:sz w:val="22"/>
          <w:szCs w:val="22"/>
        </w:rPr>
        <w:t>he AFD</w:t>
      </w:r>
      <w:r w:rsidR="00313754">
        <w:rPr>
          <w:rFonts w:ascii="Calibri" w:eastAsia="Calibri" w:hAnsi="Calibri" w:cs="Calibri"/>
          <w:sz w:val="22"/>
          <w:szCs w:val="22"/>
        </w:rPr>
        <w:t>-</w:t>
      </w:r>
      <w:r w:rsidR="00F74EF9">
        <w:rPr>
          <w:rFonts w:ascii="Calibri" w:eastAsia="Calibri" w:hAnsi="Calibri" w:cs="Calibri"/>
          <w:sz w:val="22"/>
          <w:szCs w:val="22"/>
        </w:rPr>
        <w:t>finance</w:t>
      </w:r>
      <w:r w:rsidR="00037AC7">
        <w:rPr>
          <w:rFonts w:ascii="Calibri" w:eastAsia="Calibri" w:hAnsi="Calibri" w:cs="Calibri"/>
          <w:sz w:val="22"/>
          <w:szCs w:val="22"/>
        </w:rPr>
        <w:t>d</w:t>
      </w:r>
      <w:r w:rsidR="00F74EF9">
        <w:rPr>
          <w:rFonts w:ascii="Calibri" w:eastAsia="Calibri" w:hAnsi="Calibri" w:cs="Calibri"/>
          <w:sz w:val="22"/>
          <w:szCs w:val="22"/>
        </w:rPr>
        <w:t xml:space="preserve"> project </w:t>
      </w:r>
      <w:r w:rsidR="004E0DE3">
        <w:rPr>
          <w:rFonts w:ascii="Calibri" w:eastAsia="Calibri" w:hAnsi="Calibri" w:cs="Calibri"/>
          <w:sz w:val="22"/>
          <w:szCs w:val="22"/>
        </w:rPr>
        <w:t xml:space="preserve">in </w:t>
      </w:r>
      <w:r>
        <w:rPr>
          <w:rFonts w:ascii="Calibri" w:eastAsia="Calibri" w:hAnsi="Calibri" w:cs="Calibri"/>
          <w:sz w:val="22"/>
          <w:szCs w:val="22"/>
        </w:rPr>
        <w:t>C</w:t>
      </w:r>
      <w:r w:rsidR="00B04A2E">
        <w:rPr>
          <w:rFonts w:ascii="Calibri" w:eastAsia="Calibri" w:hAnsi="Calibri" w:cs="Calibri"/>
          <w:sz w:val="22"/>
          <w:szCs w:val="22"/>
        </w:rPr>
        <w:t>ô</w:t>
      </w:r>
      <w:r>
        <w:rPr>
          <w:rFonts w:ascii="Calibri" w:eastAsia="Calibri" w:hAnsi="Calibri" w:cs="Calibri"/>
          <w:sz w:val="22"/>
          <w:szCs w:val="22"/>
        </w:rPr>
        <w:t xml:space="preserve">te d’Ivoire </w:t>
      </w:r>
      <w:r w:rsidR="002F1758">
        <w:rPr>
          <w:rFonts w:ascii="Calibri" w:eastAsia="Calibri" w:hAnsi="Calibri" w:cs="Calibri"/>
          <w:sz w:val="22"/>
          <w:szCs w:val="22"/>
        </w:rPr>
        <w:t>was</w:t>
      </w:r>
      <w:r>
        <w:rPr>
          <w:rFonts w:ascii="Calibri" w:eastAsia="Calibri" w:hAnsi="Calibri" w:cs="Calibri"/>
          <w:sz w:val="22"/>
          <w:szCs w:val="22"/>
        </w:rPr>
        <w:t xml:space="preserve"> approved by the AFD Board of Directors in July 2019.</w:t>
      </w:r>
    </w:p>
    <w:p w14:paraId="0C96F00C" w14:textId="77777777" w:rsidR="00BF73E5" w:rsidRDefault="00BF73E5" w:rsidP="008E2709">
      <w:pPr>
        <w:pStyle w:val="Normal67"/>
        <w:spacing w:line="240" w:lineRule="auto"/>
      </w:pPr>
    </w:p>
    <w:sectPr w:rsidR="00BF73E5" w:rsidSect="00E65496">
      <w:pgSz w:w="12240" w:h="15840"/>
      <w:pgMar w:top="1440" w:right="72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2" w:author="Halil Dundar" w:date="2019-11-07T10:56:00Z" w:initials="HD">
    <w:p w14:paraId="31711B69" w14:textId="77777777" w:rsidR="00503CDB" w:rsidRDefault="00503CDB" w:rsidP="00503CDB">
      <w:pPr>
        <w:pStyle w:val="CommentText"/>
      </w:pPr>
      <w:r>
        <w:rPr>
          <w:rStyle w:val="CommentReference"/>
        </w:rPr>
        <w:annotationRef/>
      </w:r>
      <w:r>
        <w:t xml:space="preserve">This was not referred in the main text and it is not clear why it is included </w:t>
      </w:r>
      <w:proofErr w:type="gramStart"/>
      <w:r>
        <w:t>here..</w:t>
      </w:r>
      <w:proofErr w:type="gramEnd"/>
      <w:r>
        <w:t xml:space="preserve"> </w:t>
      </w:r>
    </w:p>
  </w:comment>
  <w:comment w:id="371" w:author="Janet Omobolanle Adebo" w:date="2019-11-21T20:44:00Z" w:initials="JOA">
    <w:p w14:paraId="30545A9B" w14:textId="2A6C0F6F" w:rsidR="009D74BC" w:rsidRDefault="009D74BC">
      <w:pPr>
        <w:pStyle w:val="CommentText"/>
      </w:pPr>
      <w:r>
        <w:rPr>
          <w:rStyle w:val="CommentReference"/>
        </w:rPr>
        <w:annotationRef/>
      </w:r>
      <w:r>
        <w:t>Comments from Halil to be addressed.</w:t>
      </w:r>
    </w:p>
  </w:comment>
  <w:comment w:id="412" w:author="Halil Dundar" w:date="2019-11-07T10:57:00Z" w:initials="HD">
    <w:p w14:paraId="503ED1FE" w14:textId="77777777" w:rsidR="002937CD" w:rsidRDefault="002937CD" w:rsidP="002937CD">
      <w:pPr>
        <w:pStyle w:val="CommentText"/>
        <w:rPr>
          <w:rFonts w:eastAsia="MS Mincho"/>
        </w:rPr>
      </w:pPr>
      <w:r>
        <w:rPr>
          <w:rStyle w:val="CommentReference"/>
        </w:rPr>
        <w:annotationRef/>
      </w:r>
      <w:r>
        <w:t>See my comments on the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711B69" w15:done="0"/>
  <w15:commentEx w15:paraId="30545A9B" w15:done="0"/>
  <w15:commentEx w15:paraId="503ED1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711B69" w16cid:durableId="218FA967"/>
  <w16cid:commentId w16cid:paraId="30545A9B" w16cid:durableId="218175AE"/>
  <w16cid:commentId w16cid:paraId="503ED1FE" w16cid:durableId="218FAD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2A34C" w14:textId="77777777" w:rsidR="00782F7E" w:rsidRDefault="00782F7E">
      <w:r>
        <w:separator/>
      </w:r>
    </w:p>
  </w:endnote>
  <w:endnote w:type="continuationSeparator" w:id="0">
    <w:p w14:paraId="6E0392DF" w14:textId="77777777" w:rsidR="00782F7E" w:rsidRDefault="00782F7E">
      <w:r>
        <w:continuationSeparator/>
      </w:r>
    </w:p>
  </w:endnote>
  <w:endnote w:type="continuationNotice" w:id="1">
    <w:p w14:paraId="4BA5E7C4" w14:textId="77777777" w:rsidR="00782F7E" w:rsidRDefault="00782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Arial,Times New Roman">
    <w:altName w:val="Times New Roman"/>
    <w:panose1 w:val="00000000000000000000"/>
    <w:charset w:val="00"/>
    <w:family w:val="roman"/>
    <w:notTrueType/>
    <w:pitch w:val="default"/>
  </w:font>
  <w:font w:name="Open Sans,Arial">
    <w:altName w:val="Segoe UI"/>
    <w:panose1 w:val="00000000000000000000"/>
    <w:charset w:val="00"/>
    <w:family w:val="roman"/>
    <w:notTrueType/>
    <w:pitch w:val="default"/>
  </w:font>
  <w:font w:name="Arial,Calibri,Times New Roman">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265F" w14:textId="77777777" w:rsidR="00D936A3" w:rsidRDefault="00D936A3" w:rsidP="003615CB">
    <w:pPr>
      <w:pStyle w:val="Footer"/>
      <w:jc w:val="right"/>
    </w:pPr>
  </w:p>
  <w:p w14:paraId="79ACFD13" w14:textId="77777777" w:rsidR="00D936A3" w:rsidRDefault="00D93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931945"/>
      <w:docPartObj>
        <w:docPartGallery w:val="Page Numbers (Top of Page)"/>
        <w:docPartUnique/>
      </w:docPartObj>
    </w:sdtPr>
    <w:sdtEndPr>
      <w:rPr>
        <w:sz w:val="16"/>
        <w:szCs w:val="16"/>
      </w:rPr>
    </w:sdtEndPr>
    <w:sdtContent>
      <w:p w14:paraId="01CDBE1B" w14:textId="77777777" w:rsidR="00D936A3" w:rsidRDefault="00B00100" w:rsidP="001F0E76">
        <w:pPr>
          <w:pStyle w:val="Footer"/>
          <w:jc w:val="right"/>
        </w:pP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0C3959" w14:paraId="089ACB18" w14:textId="77777777" w:rsidTr="00B40B86">
      <w:trPr>
        <w:trHeight w:val="270"/>
        <w:jc w:val="center"/>
      </w:trPr>
      <w:tc>
        <w:tcPr>
          <w:tcW w:w="5580" w:type="dxa"/>
          <w:tcBorders>
            <w:top w:val="nil"/>
            <w:left w:val="nil"/>
            <w:bottom w:val="nil"/>
            <w:right w:val="nil"/>
          </w:tcBorders>
          <w:vAlign w:val="center"/>
        </w:tcPr>
        <w:p w14:paraId="4D02CEF3" w14:textId="77777777" w:rsidR="00D936A3" w:rsidRPr="008C3869" w:rsidRDefault="00D936A3"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7FCA2282" w14:textId="77777777" w:rsidR="00D936A3" w:rsidRDefault="00D936A3" w:rsidP="001F0E76">
          <w:pPr>
            <w:pStyle w:val="Footer"/>
            <w:ind w:right="89"/>
            <w:jc w:val="right"/>
            <w:rPr>
              <w:color w:val="7F7F7F" w:themeColor="text1" w:themeTint="80"/>
              <w:sz w:val="16"/>
              <w:szCs w:val="16"/>
            </w:rPr>
          </w:pPr>
        </w:p>
      </w:tc>
    </w:tr>
  </w:tbl>
  <w:p w14:paraId="356E008E" w14:textId="77777777" w:rsidR="00D936A3" w:rsidRDefault="00D93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146194"/>
      <w:docPartObj>
        <w:docPartGallery w:val="Page Numbers (Top of Page)"/>
        <w:docPartUnique/>
      </w:docPartObj>
    </w:sdtPr>
    <w:sdtEndPr>
      <w:rPr>
        <w:sz w:val="16"/>
        <w:szCs w:val="16"/>
      </w:rPr>
    </w:sdtEndPr>
    <w:sdtContent>
      <w:p w14:paraId="07B51A20" w14:textId="77777777" w:rsidR="00D936A3" w:rsidRDefault="00B00100" w:rsidP="001F0E76">
        <w:pPr>
          <w:pStyle w:val="Footer"/>
          <w:jc w:val="right"/>
        </w:pPr>
        <w:r>
          <w:rPr>
            <w:noProof/>
            <w:sz w:val="16"/>
            <w:szCs w:val="16"/>
          </w:rPr>
          <mc:AlternateContent>
            <mc:Choice Requires="wps">
              <w:drawing>
                <wp:anchor distT="0" distB="0" distL="114300" distR="114300" simplePos="0" relativeHeight="251656192" behindDoc="0" locked="0" layoutInCell="1" allowOverlap="1" wp14:anchorId="7DA7E83A" wp14:editId="602599F9">
                  <wp:simplePos x="0" y="0"/>
                  <wp:positionH relativeFrom="margin">
                    <wp:posOffset>-619125</wp:posOffset>
                  </wp:positionH>
                  <wp:positionV relativeFrom="paragraph">
                    <wp:posOffset>110490</wp:posOffset>
                  </wp:positionV>
                  <wp:extent cx="705802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EA746" id="Straight Connector 3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75pt,8.7pt" to="50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" strokecolor="#4e92d1 [3044]">
                  <w10:wrap anchorx="margin"/>
                </v:line>
              </w:pict>
            </mc:Fallback>
          </mc:AlternateContent>
        </w:r>
        <w:r>
          <w:tab/>
          <w:t xml:space="preserve">    </w:t>
        </w:r>
      </w:p>
    </w:sdtContent>
  </w:sdt>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0C3959" w14:paraId="29B99B6E" w14:textId="77777777" w:rsidTr="00B40B86">
      <w:trPr>
        <w:trHeight w:val="270"/>
        <w:jc w:val="center"/>
      </w:trPr>
      <w:tc>
        <w:tcPr>
          <w:tcW w:w="5580" w:type="dxa"/>
          <w:tcBorders>
            <w:top w:val="nil"/>
            <w:left w:val="nil"/>
            <w:bottom w:val="nil"/>
            <w:right w:val="nil"/>
          </w:tcBorders>
          <w:vAlign w:val="center"/>
        </w:tcPr>
        <w:p w14:paraId="49B7ED94" w14:textId="77777777" w:rsidR="00D936A3" w:rsidRPr="008C3869" w:rsidRDefault="00D936A3" w:rsidP="001F0E76">
          <w:pPr>
            <w:pStyle w:val="Footer"/>
            <w:rPr>
              <w:color w:val="7F7F7F" w:themeColor="text1" w:themeTint="80"/>
              <w:sz w:val="16"/>
              <w:szCs w:val="16"/>
            </w:rPr>
          </w:pPr>
        </w:p>
      </w:tc>
      <w:tc>
        <w:tcPr>
          <w:tcW w:w="4860" w:type="dxa"/>
          <w:tcBorders>
            <w:top w:val="nil"/>
            <w:left w:val="nil"/>
            <w:bottom w:val="nil"/>
            <w:right w:val="nil"/>
          </w:tcBorders>
          <w:vAlign w:val="center"/>
        </w:tcPr>
        <w:p w14:paraId="30222A32" w14:textId="276C21DD" w:rsidR="00D936A3" w:rsidRDefault="00B00100" w:rsidP="001F0E76">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1</w:t>
          </w:r>
          <w:r>
            <w:rPr>
              <w:bCs/>
              <w:sz w:val="16"/>
              <w:szCs w:val="16"/>
            </w:rPr>
            <w:fldChar w:fldCharType="end"/>
          </w:r>
          <w:r w:rsidRPr="000C12E3">
            <w:rPr>
              <w:sz w:val="16"/>
              <w:szCs w:val="16"/>
            </w:rPr>
            <w:t xml:space="preserve"> of </w:t>
          </w:r>
          <w:r>
            <w:rPr>
              <w:bCs/>
              <w:sz w:val="16"/>
              <w:szCs w:val="16"/>
            </w:rPr>
            <w:t>1</w:t>
          </w:r>
          <w:r w:rsidR="000A274C">
            <w:rPr>
              <w:bCs/>
              <w:sz w:val="16"/>
              <w:szCs w:val="16"/>
            </w:rPr>
            <w:t>6</w:t>
          </w:r>
          <w:r w:rsidR="00A5551F">
            <w:rPr>
              <w:bCs/>
              <w:sz w:val="16"/>
              <w:szCs w:val="16"/>
            </w:rPr>
            <w:t>2</w:t>
          </w:r>
        </w:p>
      </w:tc>
    </w:tr>
  </w:tbl>
  <w:p w14:paraId="508C8794" w14:textId="77777777" w:rsidR="00D936A3" w:rsidRDefault="00D93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89669"/>
      <w:docPartObj>
        <w:docPartGallery w:val="Page Numbers (Top of Page)"/>
        <w:docPartUnique/>
      </w:docPartObj>
    </w:sdtPr>
    <w:sdtEndPr>
      <w:rPr>
        <w:sz w:val="16"/>
        <w:szCs w:val="16"/>
      </w:rPr>
    </w:sdtEndPr>
    <w:sdtContent>
      <w:p w14:paraId="64722150" w14:textId="77777777" w:rsidR="00D936A3" w:rsidRPr="00DF015E" w:rsidRDefault="00B00100" w:rsidP="003615CB">
        <w:pPr>
          <w:pStyle w:val="Footer"/>
          <w:jc w:val="right"/>
        </w:pPr>
        <w:r>
          <w:rPr>
            <w:noProof/>
            <w:sz w:val="16"/>
            <w:szCs w:val="16"/>
          </w:rPr>
          <mc:AlternateContent>
            <mc:Choice Requires="wps">
              <w:drawing>
                <wp:anchor distT="0" distB="0" distL="114300" distR="114300" simplePos="0" relativeHeight="251645952" behindDoc="0" locked="0" layoutInCell="1" allowOverlap="1" wp14:anchorId="59F6C621" wp14:editId="601F135D">
                  <wp:simplePos x="0" y="0"/>
                  <wp:positionH relativeFrom="margin">
                    <wp:posOffset>-495300</wp:posOffset>
                  </wp:positionH>
                  <wp:positionV relativeFrom="paragraph">
                    <wp:posOffset>128270</wp:posOffset>
                  </wp:positionV>
                  <wp:extent cx="70580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B0C99"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pt,10.1pt" to="516.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" strokecolor="#4e92d1 [3044]">
                  <w10:wrap anchorx="margin"/>
                </v:line>
              </w:pict>
            </mc:Fallback>
          </mc:AlternateContent>
        </w:r>
        <w:r>
          <w:tab/>
        </w:r>
      </w:p>
      <w:tbl>
        <w:tblPr>
          <w:tblStyle w:val="TableGrid"/>
          <w:tblW w:w="10440" w:type="dxa"/>
          <w:jc w:val="center"/>
          <w:tblCellMar>
            <w:left w:w="0" w:type="dxa"/>
            <w:right w:w="0" w:type="dxa"/>
          </w:tblCellMar>
          <w:tblLook w:val="04A0" w:firstRow="1" w:lastRow="0" w:firstColumn="1" w:lastColumn="0" w:noHBand="0" w:noVBand="1"/>
        </w:tblPr>
        <w:tblGrid>
          <w:gridCol w:w="5580"/>
          <w:gridCol w:w="4860"/>
        </w:tblGrid>
        <w:tr w:rsidR="000C3959" w14:paraId="406E6E9D" w14:textId="77777777" w:rsidTr="00642F73">
          <w:trPr>
            <w:trHeight w:val="270"/>
            <w:jc w:val="center"/>
          </w:trPr>
          <w:tc>
            <w:tcPr>
              <w:tcW w:w="5580" w:type="dxa"/>
              <w:tcBorders>
                <w:top w:val="nil"/>
                <w:left w:val="nil"/>
                <w:bottom w:val="nil"/>
                <w:right w:val="nil"/>
              </w:tcBorders>
              <w:vAlign w:val="center"/>
            </w:tcPr>
            <w:p w14:paraId="0974D6AD" w14:textId="77777777" w:rsidR="00D936A3" w:rsidRPr="008C3869" w:rsidRDefault="00D936A3" w:rsidP="003615CB">
              <w:pPr>
                <w:pStyle w:val="Footer"/>
                <w:rPr>
                  <w:color w:val="7F7F7F" w:themeColor="text1" w:themeTint="80"/>
                  <w:sz w:val="16"/>
                  <w:szCs w:val="16"/>
                </w:rPr>
              </w:pPr>
            </w:p>
          </w:tc>
          <w:tc>
            <w:tcPr>
              <w:tcW w:w="4860" w:type="dxa"/>
              <w:tcBorders>
                <w:top w:val="nil"/>
                <w:left w:val="nil"/>
                <w:bottom w:val="nil"/>
                <w:right w:val="nil"/>
              </w:tcBorders>
              <w:vAlign w:val="center"/>
            </w:tcPr>
            <w:p w14:paraId="625C71CE" w14:textId="2BCACE2D" w:rsidR="00D936A3" w:rsidRDefault="00B00100" w:rsidP="00E925CE">
              <w:pPr>
                <w:pStyle w:val="Footer"/>
                <w:ind w:right="89"/>
                <w:jc w:val="right"/>
                <w:rPr>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9</w:t>
              </w:r>
              <w:r>
                <w:rPr>
                  <w:bCs/>
                  <w:sz w:val="16"/>
                  <w:szCs w:val="16"/>
                </w:rPr>
                <w:fldChar w:fldCharType="end"/>
              </w:r>
              <w:r w:rsidRPr="000C12E3">
                <w:rPr>
                  <w:sz w:val="16"/>
                  <w:szCs w:val="16"/>
                </w:rPr>
                <w:t xml:space="preserve"> of </w:t>
              </w:r>
              <w:r>
                <w:rPr>
                  <w:sz w:val="16"/>
                  <w:szCs w:val="16"/>
                </w:rPr>
                <w:t>1</w:t>
              </w:r>
              <w:r w:rsidR="00AF1555">
                <w:rPr>
                  <w:sz w:val="16"/>
                  <w:szCs w:val="16"/>
                </w:rPr>
                <w:t>6</w:t>
              </w:r>
              <w:r w:rsidR="00A5551F">
                <w:rPr>
                  <w:sz w:val="16"/>
                  <w:szCs w:val="16"/>
                </w:rPr>
                <w:t>2</w:t>
              </w:r>
            </w:p>
            <w:p w14:paraId="0F86C634" w14:textId="77777777" w:rsidR="00D936A3" w:rsidRDefault="00D936A3" w:rsidP="00E925CE">
              <w:pPr>
                <w:pStyle w:val="Footer"/>
                <w:ind w:right="89"/>
                <w:jc w:val="right"/>
                <w:rPr>
                  <w:color w:val="7F7F7F" w:themeColor="text1" w:themeTint="80"/>
                  <w:sz w:val="16"/>
                  <w:szCs w:val="16"/>
                </w:rPr>
              </w:pPr>
            </w:p>
          </w:tc>
        </w:tr>
      </w:tbl>
      <w:p w14:paraId="67965FF0" w14:textId="77777777" w:rsidR="00D936A3" w:rsidRDefault="00B00100" w:rsidP="003615CB">
        <w:pPr>
          <w:pStyle w:val="Footer"/>
          <w:spacing w:line="160" w:lineRule="exact"/>
        </w:pPr>
        <w:r>
          <w:t xml:space="preserve">    </w:t>
        </w:r>
      </w:p>
    </w:sdtContent>
  </w:sdt>
  <w:p w14:paraId="0EEB7167" w14:textId="77777777" w:rsidR="00D936A3" w:rsidRDefault="00D93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31919246"/>
      <w:docPartObj>
        <w:docPartGallery w:val="Page Numbers (Bottom of Page)"/>
        <w:docPartUnique/>
      </w:docPartObj>
    </w:sdtPr>
    <w:sdtEndPr>
      <w:rPr>
        <w:sz w:val="16"/>
        <w:szCs w:val="16"/>
      </w:rPr>
    </w:sdtEndPr>
    <w:sdtContent>
      <w:sdt>
        <w:sdtPr>
          <w:rPr>
            <w:sz w:val="16"/>
            <w:szCs w:val="16"/>
          </w:rPr>
          <w:id w:val="1673757210"/>
          <w:docPartObj>
            <w:docPartGallery w:val="Page Numbers (Top of Page)"/>
            <w:docPartUnique/>
          </w:docPartObj>
        </w:sdtPr>
        <w:sdtEndPr/>
        <w:sdtContent>
          <w:p w14:paraId="05E58AA1" w14:textId="25B50DC8" w:rsidR="00D936A3" w:rsidRPr="002D1EB3" w:rsidRDefault="00B00100">
            <w:pPr>
              <w:pStyle w:val="Footer"/>
              <w:jc w:val="right"/>
              <w:rPr>
                <w:sz w:val="16"/>
                <w:szCs w:val="16"/>
              </w:rPr>
            </w:pPr>
            <w:r w:rsidRPr="002D1EB3">
              <w:rPr>
                <w:sz w:val="16"/>
                <w:szCs w:val="16"/>
              </w:rPr>
              <w:t xml:space="preserve">Page </w:t>
            </w:r>
            <w:r w:rsidRPr="00B660A4">
              <w:rPr>
                <w:bCs/>
                <w:sz w:val="16"/>
                <w:szCs w:val="16"/>
              </w:rPr>
              <w:fldChar w:fldCharType="begin"/>
            </w:r>
            <w:r w:rsidRPr="00B660A4">
              <w:rPr>
                <w:bCs/>
                <w:sz w:val="16"/>
                <w:szCs w:val="16"/>
              </w:rPr>
              <w:instrText xml:space="preserve"> PAGE </w:instrText>
            </w:r>
            <w:r w:rsidRPr="00B660A4">
              <w:rPr>
                <w:bCs/>
                <w:sz w:val="16"/>
                <w:szCs w:val="16"/>
              </w:rPr>
              <w:fldChar w:fldCharType="separate"/>
            </w:r>
            <w:r w:rsidRPr="00B660A4">
              <w:rPr>
                <w:bCs/>
                <w:sz w:val="16"/>
                <w:szCs w:val="16"/>
              </w:rPr>
              <w:t>55</w:t>
            </w:r>
            <w:r w:rsidRPr="00B660A4">
              <w:rPr>
                <w:bCs/>
                <w:sz w:val="16"/>
                <w:szCs w:val="16"/>
              </w:rPr>
              <w:fldChar w:fldCharType="end"/>
            </w:r>
            <w:r w:rsidRPr="002D1EB3">
              <w:rPr>
                <w:sz w:val="16"/>
                <w:szCs w:val="16"/>
              </w:rPr>
              <w:t xml:space="preserve"> of </w:t>
            </w:r>
            <w:r>
              <w:rPr>
                <w:bCs/>
                <w:sz w:val="16"/>
                <w:szCs w:val="16"/>
              </w:rPr>
              <w:t>1</w:t>
            </w:r>
            <w:r w:rsidR="00AF1555">
              <w:rPr>
                <w:bCs/>
                <w:sz w:val="16"/>
                <w:szCs w:val="16"/>
              </w:rPr>
              <w:t>6</w:t>
            </w:r>
            <w:r w:rsidR="00C525DF">
              <w:rPr>
                <w:bCs/>
                <w:sz w:val="16"/>
                <w:szCs w:val="16"/>
              </w:rPr>
              <w:t>2</w:t>
            </w:r>
          </w:p>
        </w:sdtContent>
      </w:sdt>
    </w:sdtContent>
  </w:sdt>
  <w:p w14:paraId="5203EDB9" w14:textId="77777777" w:rsidR="00D936A3" w:rsidRPr="002D1EB3" w:rsidRDefault="00D936A3">
    <w:pPr>
      <w:pStyle w:val="Footer"/>
    </w:pPr>
  </w:p>
  <w:p w14:paraId="7BC3A4A0" w14:textId="77777777" w:rsidR="00D936A3" w:rsidRPr="002D1EB3" w:rsidRDefault="00D936A3">
    <w:pPr>
      <w:pStyle w:val="Footer"/>
    </w:pPr>
  </w:p>
  <w:p w14:paraId="1B8F86D6" w14:textId="77777777" w:rsidR="00D936A3" w:rsidRPr="002D1EB3" w:rsidRDefault="00D936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100330"/>
      <w:docPartObj>
        <w:docPartGallery w:val="Page Numbers (Bottom of Page)"/>
        <w:docPartUnique/>
      </w:docPartObj>
    </w:sdtPr>
    <w:sdtEndPr>
      <w:rPr>
        <w:sz w:val="16"/>
        <w:szCs w:val="16"/>
      </w:rPr>
    </w:sdtEndPr>
    <w:sdtContent>
      <w:sdt>
        <w:sdtPr>
          <w:rPr>
            <w:sz w:val="16"/>
            <w:szCs w:val="16"/>
          </w:rPr>
          <w:id w:val="-1553448954"/>
          <w:docPartObj>
            <w:docPartGallery w:val="Page Numbers (Top of Page)"/>
            <w:docPartUnique/>
          </w:docPartObj>
        </w:sdtPr>
        <w:sdtEndPr/>
        <w:sdtContent>
          <w:p w14:paraId="36CCD3A2" w14:textId="77777777" w:rsidR="00D936A3" w:rsidRPr="000D2743" w:rsidRDefault="00B00100">
            <w:pPr>
              <w:pStyle w:val="Footer"/>
              <w:jc w:val="right"/>
              <w:rPr>
                <w:bCs/>
                <w:sz w:val="16"/>
                <w:szCs w:val="16"/>
              </w:rPr>
            </w:pPr>
            <w:r w:rsidRPr="000D2743">
              <w:rPr>
                <w:sz w:val="16"/>
                <w:szCs w:val="16"/>
              </w:rPr>
              <w:t xml:space="preserve">Page </w:t>
            </w:r>
            <w:r w:rsidRPr="000D2743">
              <w:rPr>
                <w:bCs/>
                <w:sz w:val="16"/>
                <w:szCs w:val="16"/>
              </w:rPr>
              <w:fldChar w:fldCharType="begin"/>
            </w:r>
            <w:r w:rsidRPr="000D2743">
              <w:rPr>
                <w:bCs/>
                <w:sz w:val="16"/>
                <w:szCs w:val="16"/>
              </w:rPr>
              <w:instrText xml:space="preserve"> PAGE </w:instrText>
            </w:r>
            <w:r w:rsidRPr="000D2743">
              <w:rPr>
                <w:bCs/>
                <w:sz w:val="16"/>
                <w:szCs w:val="16"/>
              </w:rPr>
              <w:fldChar w:fldCharType="separate"/>
            </w:r>
            <w:r w:rsidRPr="000D2743">
              <w:rPr>
                <w:bCs/>
                <w:noProof/>
                <w:sz w:val="16"/>
                <w:szCs w:val="16"/>
              </w:rPr>
              <w:t>2</w:t>
            </w:r>
            <w:r w:rsidRPr="000D2743">
              <w:rPr>
                <w:bCs/>
                <w:sz w:val="16"/>
                <w:szCs w:val="16"/>
              </w:rPr>
              <w:fldChar w:fldCharType="end"/>
            </w:r>
            <w:r w:rsidRPr="000D2743">
              <w:rPr>
                <w:sz w:val="16"/>
                <w:szCs w:val="16"/>
              </w:rPr>
              <w:t xml:space="preserve"> of </w:t>
            </w:r>
            <w:r>
              <w:rPr>
                <w:sz w:val="16"/>
                <w:szCs w:val="16"/>
              </w:rPr>
              <w:t>134</w:t>
            </w:r>
          </w:p>
          <w:p w14:paraId="6ADFB901" w14:textId="77777777" w:rsidR="00D936A3" w:rsidRDefault="00D936A3">
            <w:pPr>
              <w:pStyle w:val="Footer"/>
              <w:jc w:val="right"/>
              <w:rPr>
                <w:sz w:val="16"/>
                <w:szCs w:val="16"/>
              </w:rPr>
            </w:pPr>
          </w:p>
          <w:p w14:paraId="23C93C53" w14:textId="77777777" w:rsidR="00D936A3" w:rsidRDefault="00D936A3">
            <w:pPr>
              <w:pStyle w:val="Footer"/>
              <w:jc w:val="right"/>
              <w:rPr>
                <w:sz w:val="16"/>
                <w:szCs w:val="16"/>
              </w:rPr>
            </w:pPr>
          </w:p>
          <w:p w14:paraId="7A1BF16C" w14:textId="77777777" w:rsidR="00D936A3" w:rsidRPr="000D2743" w:rsidRDefault="00A90848">
            <w:pPr>
              <w:pStyle w:val="Footer"/>
              <w:jc w:val="right"/>
              <w:rPr>
                <w:sz w:val="16"/>
                <w:szCs w:val="16"/>
              </w:rPr>
            </w:pPr>
          </w:p>
        </w:sdtContent>
      </w:sdt>
    </w:sdtContent>
  </w:sdt>
  <w:p w14:paraId="1D09C20F" w14:textId="77777777" w:rsidR="00D936A3" w:rsidRDefault="00D936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510555"/>
      <w:docPartObj>
        <w:docPartGallery w:val="Page Numbers (Top of Page)"/>
        <w:docPartUnique/>
      </w:docPartObj>
    </w:sdtPr>
    <w:sdtEndPr>
      <w:rPr>
        <w:sz w:val="16"/>
        <w:szCs w:val="16"/>
      </w:rPr>
    </w:sdtEndPr>
    <w:sdtContent>
      <w:p w14:paraId="2AF355FD" w14:textId="77777777" w:rsidR="00D936A3" w:rsidRPr="00DF015E" w:rsidRDefault="00B00100" w:rsidP="003615CB">
        <w:pPr>
          <w:pStyle w:val="Footer"/>
          <w:jc w:val="right"/>
        </w:pPr>
        <w:r>
          <w:rPr>
            <w:noProof/>
            <w:sz w:val="16"/>
            <w:szCs w:val="16"/>
          </w:rPr>
          <mc:AlternateContent>
            <mc:Choice Requires="wps">
              <w:drawing>
                <wp:anchor distT="0" distB="0" distL="114300" distR="114300" simplePos="0" relativeHeight="251644928" behindDoc="0" locked="0" layoutInCell="1" allowOverlap="1" wp14:anchorId="4663828C" wp14:editId="28E84B43">
                  <wp:simplePos x="0" y="0"/>
                  <wp:positionH relativeFrom="margin">
                    <wp:posOffset>-495300</wp:posOffset>
                  </wp:positionH>
                  <wp:positionV relativeFrom="paragraph">
                    <wp:posOffset>128270</wp:posOffset>
                  </wp:positionV>
                  <wp:extent cx="92392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B7553" id="Straight Connector 13"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pt,10.1pt" to="6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" strokecolor="#4e92d1 [3044]">
                  <w10:wrap anchorx="margin"/>
                </v:line>
              </w:pict>
            </mc:Fallback>
          </mc:AlternateContent>
        </w:r>
        <w:r>
          <w:tab/>
        </w:r>
      </w:p>
      <w:tbl>
        <w:tblPr>
          <w:tblStyle w:val="TableGrid"/>
          <w:tblW w:w="13050" w:type="dxa"/>
          <w:jc w:val="center"/>
          <w:tblCellMar>
            <w:left w:w="0" w:type="dxa"/>
            <w:right w:w="0" w:type="dxa"/>
          </w:tblCellMar>
          <w:tblLook w:val="04A0" w:firstRow="1" w:lastRow="0" w:firstColumn="1" w:lastColumn="0" w:noHBand="0" w:noVBand="1"/>
        </w:tblPr>
        <w:tblGrid>
          <w:gridCol w:w="5580"/>
          <w:gridCol w:w="7470"/>
        </w:tblGrid>
        <w:tr w:rsidR="000C3959" w14:paraId="4D0B5F94" w14:textId="77777777" w:rsidTr="00642F73">
          <w:trPr>
            <w:trHeight w:val="270"/>
            <w:jc w:val="center"/>
          </w:trPr>
          <w:tc>
            <w:tcPr>
              <w:tcW w:w="5580" w:type="dxa"/>
              <w:tcBorders>
                <w:top w:val="nil"/>
                <w:left w:val="nil"/>
                <w:bottom w:val="nil"/>
                <w:right w:val="nil"/>
              </w:tcBorders>
              <w:vAlign w:val="center"/>
            </w:tcPr>
            <w:p w14:paraId="543686A1" w14:textId="77777777" w:rsidR="00D936A3" w:rsidRPr="008C3869" w:rsidRDefault="00D936A3" w:rsidP="003615CB">
              <w:pPr>
                <w:pStyle w:val="Footer"/>
                <w:rPr>
                  <w:color w:val="7F7F7F" w:themeColor="text1" w:themeTint="80"/>
                  <w:sz w:val="16"/>
                  <w:szCs w:val="16"/>
                </w:rPr>
              </w:pPr>
            </w:p>
          </w:tc>
          <w:tc>
            <w:tcPr>
              <w:tcW w:w="7470" w:type="dxa"/>
              <w:tcBorders>
                <w:top w:val="nil"/>
                <w:left w:val="nil"/>
                <w:bottom w:val="nil"/>
                <w:right w:val="nil"/>
              </w:tcBorders>
              <w:vAlign w:val="center"/>
            </w:tcPr>
            <w:p w14:paraId="4AD79F69" w14:textId="05C09C57" w:rsidR="00D936A3" w:rsidRDefault="00B00100"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86</w:t>
              </w:r>
              <w:r>
                <w:rPr>
                  <w:bCs/>
                  <w:sz w:val="16"/>
                  <w:szCs w:val="16"/>
                </w:rPr>
                <w:fldChar w:fldCharType="end"/>
              </w:r>
              <w:r w:rsidRPr="000C12E3">
                <w:rPr>
                  <w:sz w:val="16"/>
                  <w:szCs w:val="16"/>
                </w:rPr>
                <w:t xml:space="preserve"> of </w:t>
              </w:r>
              <w:r w:rsidR="00B941A2">
                <w:rPr>
                  <w:bCs/>
                  <w:sz w:val="16"/>
                  <w:szCs w:val="16"/>
                </w:rPr>
                <w:t>16</w:t>
              </w:r>
              <w:r w:rsidR="000A0315">
                <w:rPr>
                  <w:bCs/>
                  <w:sz w:val="16"/>
                  <w:szCs w:val="16"/>
                </w:rPr>
                <w:t>2</w:t>
              </w:r>
              <w:r>
                <w:rPr>
                  <w:bCs/>
                  <w:sz w:val="16"/>
                  <w:szCs w:val="16"/>
                </w:rPr>
                <w:t xml:space="preserve"> </w:t>
              </w:r>
            </w:p>
          </w:tc>
        </w:tr>
      </w:tbl>
      <w:p w14:paraId="485E81D6" w14:textId="77777777" w:rsidR="00D936A3" w:rsidRDefault="00B00100" w:rsidP="003615CB">
        <w:pPr>
          <w:pStyle w:val="Footer"/>
          <w:spacing w:line="160" w:lineRule="exact"/>
        </w:pPr>
        <w:r>
          <w:t xml:space="preserve">    </w:t>
        </w:r>
      </w:p>
    </w:sdtContent>
  </w:sdt>
  <w:p w14:paraId="6CA7DD1C" w14:textId="77777777" w:rsidR="00D936A3" w:rsidRDefault="00D936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174453"/>
      <w:docPartObj>
        <w:docPartGallery w:val="Page Numbers (Top of Page)"/>
        <w:docPartUnique/>
      </w:docPartObj>
    </w:sdtPr>
    <w:sdtEndPr>
      <w:rPr>
        <w:sz w:val="16"/>
        <w:szCs w:val="16"/>
      </w:rPr>
    </w:sdtEndPr>
    <w:sdtContent>
      <w:p w14:paraId="0705ED2A" w14:textId="77777777" w:rsidR="00D936A3" w:rsidRPr="00DF015E" w:rsidRDefault="00B00100" w:rsidP="0037713F">
        <w:pPr>
          <w:pStyle w:val="Footer"/>
          <w:jc w:val="right"/>
        </w:pPr>
        <w:r>
          <w:rPr>
            <w:noProof/>
            <w:sz w:val="16"/>
            <w:szCs w:val="16"/>
          </w:rPr>
          <mc:AlternateContent>
            <mc:Choice Requires="wps">
              <w:drawing>
                <wp:anchor distT="0" distB="0" distL="114300" distR="114300" simplePos="0" relativeHeight="251657216" behindDoc="0" locked="0" layoutInCell="1" allowOverlap="1" wp14:anchorId="058177A3" wp14:editId="1DCBB570">
                  <wp:simplePos x="0" y="0"/>
                  <wp:positionH relativeFrom="margin">
                    <wp:posOffset>-542926</wp:posOffset>
                  </wp:positionH>
                  <wp:positionV relativeFrom="paragraph">
                    <wp:posOffset>128270</wp:posOffset>
                  </wp:positionV>
                  <wp:extent cx="705802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rgbClr val="4472C4">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757A" id="Straight Connector 51"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75pt,10.1pt" to="5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" strokecolor="#3c6bbf">
                  <w10:wrap anchorx="margin"/>
                </v:line>
              </w:pict>
            </mc:Fallback>
          </mc:AlternateContent>
        </w:r>
        <w:r>
          <w:tab/>
        </w:r>
      </w:p>
      <w:tbl>
        <w:tblPr>
          <w:tblW w:w="10350" w:type="dxa"/>
          <w:jc w:val="center"/>
          <w:tblCellMar>
            <w:left w:w="0" w:type="dxa"/>
            <w:right w:w="0" w:type="dxa"/>
          </w:tblCellMar>
          <w:tblLook w:val="04A0" w:firstRow="1" w:lastRow="0" w:firstColumn="1" w:lastColumn="0" w:noHBand="0" w:noVBand="1"/>
        </w:tblPr>
        <w:tblGrid>
          <w:gridCol w:w="5580"/>
          <w:gridCol w:w="4770"/>
        </w:tblGrid>
        <w:tr w:rsidR="000C3959" w14:paraId="17297F06" w14:textId="77777777" w:rsidTr="0037713F">
          <w:trPr>
            <w:trHeight w:val="270"/>
            <w:jc w:val="center"/>
          </w:trPr>
          <w:tc>
            <w:tcPr>
              <w:tcW w:w="5580" w:type="dxa"/>
              <w:tcBorders>
                <w:top w:val="nil"/>
                <w:left w:val="nil"/>
                <w:bottom w:val="nil"/>
                <w:right w:val="nil"/>
              </w:tcBorders>
              <w:vAlign w:val="center"/>
            </w:tcPr>
            <w:p w14:paraId="096808FA" w14:textId="77777777" w:rsidR="00D936A3" w:rsidRPr="008C3869" w:rsidRDefault="00D936A3" w:rsidP="0037713F">
              <w:pPr>
                <w:pStyle w:val="Footer"/>
                <w:rPr>
                  <w:color w:val="7F7F7F" w:themeColor="text1" w:themeTint="80"/>
                  <w:sz w:val="16"/>
                  <w:szCs w:val="16"/>
                </w:rPr>
              </w:pPr>
            </w:p>
          </w:tc>
          <w:tc>
            <w:tcPr>
              <w:tcW w:w="4770" w:type="dxa"/>
              <w:tcBorders>
                <w:top w:val="nil"/>
                <w:left w:val="nil"/>
                <w:bottom w:val="nil"/>
                <w:right w:val="nil"/>
              </w:tcBorders>
              <w:vAlign w:val="center"/>
            </w:tcPr>
            <w:p w14:paraId="772D1271" w14:textId="77777777" w:rsidR="00D936A3" w:rsidRDefault="00D936A3" w:rsidP="0037713F">
              <w:pPr>
                <w:pStyle w:val="Footer"/>
                <w:ind w:right="89"/>
                <w:jc w:val="right"/>
                <w:rPr>
                  <w:color w:val="7F7F7F" w:themeColor="text1" w:themeTint="80"/>
                  <w:sz w:val="16"/>
                  <w:szCs w:val="16"/>
                </w:rPr>
              </w:pPr>
            </w:p>
          </w:tc>
        </w:tr>
      </w:tbl>
      <w:p w14:paraId="2DFADA54" w14:textId="083B7FE1" w:rsidR="00D936A3" w:rsidRDefault="00B00100" w:rsidP="005F6AE0">
        <w:pPr>
          <w:pStyle w:val="Footer"/>
          <w:jc w:val="right"/>
        </w:pPr>
        <w:r>
          <w:t xml:space="preserve">    </w:t>
        </w:r>
        <w:r>
          <w:tab/>
        </w:r>
        <w:sdt>
          <w:sdtPr>
            <w:rPr>
              <w:noProof/>
              <w:color w:val="AEAAAA" w:themeColor="background2" w:themeShade="BF"/>
              <w:sz w:val="16"/>
              <w:szCs w:val="16"/>
            </w:rPr>
            <w:id w:val="-848942472"/>
            <w:docPartObj>
              <w:docPartGallery w:val="Page Numbers (Bottom of Page)"/>
              <w:docPartUnique/>
            </w:docPartObj>
          </w:sdtPr>
          <w:sdtEndPr/>
          <w:sdtContent>
            <w:r w:rsidRPr="00A6187F">
              <w:rPr>
                <w:noProof/>
                <w:color w:val="AEAAAA" w:themeColor="background2" w:themeShade="BF"/>
                <w:sz w:val="16"/>
                <w:szCs w:val="16"/>
              </w:rPr>
              <w:t xml:space="preserve">Page </w:t>
            </w:r>
            <w:r w:rsidRPr="005F6AE0">
              <w:rPr>
                <w:noProof/>
                <w:color w:val="AEAAAA" w:themeColor="background2" w:themeShade="BF"/>
                <w:sz w:val="16"/>
                <w:szCs w:val="16"/>
              </w:rPr>
              <w:fldChar w:fldCharType="begin"/>
            </w:r>
            <w:r w:rsidRPr="005F6AE0">
              <w:rPr>
                <w:noProof/>
                <w:color w:val="AEAAAA" w:themeColor="background2" w:themeShade="BF"/>
                <w:sz w:val="16"/>
                <w:szCs w:val="16"/>
              </w:rPr>
              <w:instrText xml:space="preserve"> PAGE   \* MERGEFORMAT </w:instrText>
            </w:r>
            <w:r w:rsidRPr="005F6AE0">
              <w:rPr>
                <w:noProof/>
                <w:color w:val="AEAAAA" w:themeColor="background2" w:themeShade="BF"/>
                <w:sz w:val="16"/>
                <w:szCs w:val="16"/>
              </w:rPr>
              <w:fldChar w:fldCharType="separate"/>
            </w:r>
            <w:r w:rsidRPr="005F6AE0">
              <w:rPr>
                <w:noProof/>
                <w:color w:val="AEAAAA" w:themeColor="background2" w:themeShade="BF"/>
                <w:sz w:val="16"/>
                <w:szCs w:val="16"/>
              </w:rPr>
              <w:t>142</w:t>
            </w:r>
            <w:r w:rsidRPr="005F6AE0">
              <w:rPr>
                <w:noProof/>
                <w:color w:val="AEAAAA" w:themeColor="background2" w:themeShade="BF"/>
                <w:sz w:val="16"/>
                <w:szCs w:val="16"/>
              </w:rPr>
              <w:fldChar w:fldCharType="end"/>
            </w:r>
            <w:r>
              <w:rPr>
                <w:noProof/>
                <w:color w:val="AEAAAA" w:themeColor="background2" w:themeShade="BF"/>
                <w:sz w:val="16"/>
                <w:szCs w:val="16"/>
              </w:rPr>
              <w:t xml:space="preserve"> of 1</w:t>
            </w:r>
            <w:r w:rsidR="00B941A2">
              <w:rPr>
                <w:noProof/>
                <w:color w:val="AEAAAA" w:themeColor="background2" w:themeShade="BF"/>
                <w:sz w:val="16"/>
                <w:szCs w:val="16"/>
              </w:rPr>
              <w:t>6</w:t>
            </w:r>
            <w:r w:rsidR="007E20F1">
              <w:rPr>
                <w:noProof/>
                <w:color w:val="AEAAAA" w:themeColor="background2" w:themeShade="BF"/>
                <w:sz w:val="16"/>
                <w:szCs w:val="16"/>
              </w:rPr>
              <w:t>2</w:t>
            </w:r>
          </w:sdtContent>
        </w:sdt>
      </w:p>
      <w:p w14:paraId="0B96977E" w14:textId="77777777" w:rsidR="00D936A3" w:rsidRDefault="00A90848" w:rsidP="0067187E">
        <w:pPr>
          <w:pStyle w:val="Footer"/>
          <w:tabs>
            <w:tab w:val="clear" w:pos="4680"/>
            <w:tab w:val="clear" w:pos="9360"/>
            <w:tab w:val="left" w:pos="11054"/>
          </w:tabs>
          <w:spacing w:line="160" w:lineRule="exact"/>
        </w:pPr>
      </w:p>
    </w:sdtContent>
  </w:sdt>
  <w:p w14:paraId="2B3E817C" w14:textId="77777777" w:rsidR="00D936A3" w:rsidRDefault="00D936A3" w:rsidP="008C0672">
    <w:pPr>
      <w:pStyle w:val="Footer"/>
      <w:tabs>
        <w:tab w:val="clear" w:pos="4680"/>
        <w:tab w:val="clear" w:pos="9360"/>
        <w:tab w:val="left" w:pos="11054"/>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283214"/>
      <w:docPartObj>
        <w:docPartGallery w:val="Page Numbers (Top of Page)"/>
        <w:docPartUnique/>
      </w:docPartObj>
    </w:sdtPr>
    <w:sdtEndPr>
      <w:rPr>
        <w:sz w:val="16"/>
        <w:szCs w:val="16"/>
      </w:rPr>
    </w:sdtEndPr>
    <w:sdtContent>
      <w:p w14:paraId="34212AB3" w14:textId="77777777" w:rsidR="00D936A3" w:rsidRPr="00DF015E" w:rsidRDefault="00B00100" w:rsidP="003615CB">
        <w:pPr>
          <w:pStyle w:val="Footer"/>
          <w:jc w:val="right"/>
        </w:pPr>
        <w:r>
          <w:rPr>
            <w:noProof/>
            <w:sz w:val="16"/>
            <w:szCs w:val="16"/>
          </w:rPr>
          <mc:AlternateContent>
            <mc:Choice Requires="wps">
              <w:drawing>
                <wp:anchor distT="0" distB="0" distL="114300" distR="114300" simplePos="0" relativeHeight="251646976" behindDoc="0" locked="0" layoutInCell="1" allowOverlap="1" wp14:anchorId="25040C34" wp14:editId="4C6494BE">
                  <wp:simplePos x="0" y="0"/>
                  <wp:positionH relativeFrom="margin">
                    <wp:posOffset>-542926</wp:posOffset>
                  </wp:positionH>
                  <wp:positionV relativeFrom="paragraph">
                    <wp:posOffset>128270</wp:posOffset>
                  </wp:positionV>
                  <wp:extent cx="705802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118D9" id="Straight Connector 20"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75pt,10.1pt" to="5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" strokecolor="#4e92d1 [3044]">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0C3959" w14:paraId="791F130C" w14:textId="77777777" w:rsidTr="000F5D53">
          <w:trPr>
            <w:trHeight w:val="180"/>
            <w:jc w:val="center"/>
          </w:trPr>
          <w:tc>
            <w:tcPr>
              <w:tcW w:w="5580" w:type="dxa"/>
              <w:tcBorders>
                <w:top w:val="nil"/>
                <w:left w:val="nil"/>
                <w:bottom w:val="nil"/>
                <w:right w:val="nil"/>
              </w:tcBorders>
              <w:vAlign w:val="center"/>
            </w:tcPr>
            <w:p w14:paraId="776FEAE4" w14:textId="77777777" w:rsidR="00D936A3" w:rsidRPr="002E1A3F" w:rsidRDefault="00D936A3" w:rsidP="003615CB">
              <w:pPr>
                <w:pStyle w:val="Footer"/>
                <w:rPr>
                  <w:color w:val="7F7F7F"/>
                  <w:sz w:val="16"/>
                  <w:szCs w:val="16"/>
                </w:rPr>
              </w:pPr>
            </w:p>
          </w:tc>
          <w:tc>
            <w:tcPr>
              <w:tcW w:w="4770" w:type="dxa"/>
              <w:tcBorders>
                <w:top w:val="nil"/>
                <w:left w:val="nil"/>
                <w:bottom w:val="nil"/>
                <w:right w:val="nil"/>
              </w:tcBorders>
              <w:vAlign w:val="center"/>
            </w:tcPr>
            <w:p w14:paraId="1B93332D" w14:textId="77777777" w:rsidR="00D936A3" w:rsidRPr="002E1A3F" w:rsidRDefault="00D936A3" w:rsidP="00E925CE">
              <w:pPr>
                <w:pStyle w:val="Footer"/>
                <w:ind w:right="89"/>
                <w:jc w:val="right"/>
                <w:rPr>
                  <w:color w:val="7F7F7F"/>
                  <w:sz w:val="16"/>
                  <w:szCs w:val="16"/>
                </w:rPr>
              </w:pPr>
            </w:p>
          </w:tc>
        </w:tr>
      </w:tbl>
      <w:p w14:paraId="382A9B10" w14:textId="6DA58F1C" w:rsidR="00D936A3" w:rsidRDefault="00B00100" w:rsidP="000F5D53">
        <w:pPr>
          <w:pStyle w:val="Footer"/>
          <w:spacing w:line="160" w:lineRule="exact"/>
          <w:jc w:val="right"/>
        </w:pPr>
        <w:r>
          <w:rPr>
            <w:noProof/>
            <w:color w:val="AEAAAA" w:themeColor="background2" w:themeShade="BF"/>
            <w:sz w:val="16"/>
            <w:szCs w:val="16"/>
          </w:rPr>
          <w:t xml:space="preserve">Page </w:t>
        </w:r>
        <w:r w:rsidRPr="00496272">
          <w:rPr>
            <w:noProof/>
            <w:color w:val="AEAAAA" w:themeColor="background2" w:themeShade="BF"/>
            <w:sz w:val="16"/>
            <w:szCs w:val="16"/>
          </w:rPr>
          <w:fldChar w:fldCharType="begin"/>
        </w:r>
        <w:r w:rsidRPr="00496272">
          <w:rPr>
            <w:noProof/>
            <w:color w:val="AEAAAA" w:themeColor="background2" w:themeShade="BF"/>
            <w:sz w:val="16"/>
            <w:szCs w:val="16"/>
          </w:rPr>
          <w:instrText xml:space="preserve"> PAGE   \* MERGEFORMAT </w:instrText>
        </w:r>
        <w:r w:rsidRPr="00496272">
          <w:rPr>
            <w:noProof/>
            <w:color w:val="AEAAAA" w:themeColor="background2" w:themeShade="BF"/>
            <w:sz w:val="16"/>
            <w:szCs w:val="16"/>
          </w:rPr>
          <w:fldChar w:fldCharType="separate"/>
        </w:r>
        <w:r w:rsidRPr="00496272">
          <w:rPr>
            <w:noProof/>
            <w:color w:val="AEAAAA" w:themeColor="background2" w:themeShade="BF"/>
            <w:sz w:val="16"/>
            <w:szCs w:val="16"/>
          </w:rPr>
          <w:t>160</w:t>
        </w:r>
        <w:r w:rsidRPr="00496272">
          <w:rPr>
            <w:noProof/>
            <w:color w:val="AEAAAA" w:themeColor="background2" w:themeShade="BF"/>
            <w:sz w:val="16"/>
            <w:szCs w:val="16"/>
          </w:rPr>
          <w:fldChar w:fldCharType="end"/>
        </w:r>
        <w:r>
          <w:rPr>
            <w:noProof/>
            <w:color w:val="AEAAAA" w:themeColor="background2" w:themeShade="BF"/>
            <w:sz w:val="16"/>
            <w:szCs w:val="16"/>
          </w:rPr>
          <w:t xml:space="preserve"> of 1</w:t>
        </w:r>
        <w:r w:rsidR="000A274C">
          <w:rPr>
            <w:noProof/>
            <w:color w:val="AEAAAA" w:themeColor="background2" w:themeShade="BF"/>
            <w:sz w:val="16"/>
            <w:szCs w:val="16"/>
          </w:rPr>
          <w:t>6</w:t>
        </w:r>
        <w:r w:rsidR="00013281">
          <w:rPr>
            <w:noProof/>
            <w:color w:val="AEAAAA" w:themeColor="background2" w:themeShade="BF"/>
            <w:sz w:val="16"/>
            <w:szCs w:val="16"/>
          </w:rPr>
          <w:t>2</w:t>
        </w:r>
        <w:r w:rsidRPr="00FF5934">
          <w:rPr>
            <w:noProof/>
            <w:color w:val="AEAAAA" w:themeColor="background2" w:themeShade="BF"/>
            <w:sz w:val="16"/>
            <w:szCs w:val="16"/>
          </w:rPr>
          <w:t xml:space="preserve">  </w:t>
        </w:r>
        <w:r>
          <w:t xml:space="preserve">  </w:t>
        </w:r>
      </w:p>
    </w:sdtContent>
  </w:sdt>
  <w:p w14:paraId="558B7746" w14:textId="77777777" w:rsidR="00D936A3" w:rsidRDefault="00D936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B2D9F" w14:textId="77777777" w:rsidR="00782F7E" w:rsidRDefault="00782F7E">
      <w:r>
        <w:separator/>
      </w:r>
    </w:p>
  </w:footnote>
  <w:footnote w:type="continuationSeparator" w:id="0">
    <w:p w14:paraId="65383D1D" w14:textId="77777777" w:rsidR="00782F7E" w:rsidRDefault="00782F7E">
      <w:r>
        <w:continuationSeparator/>
      </w:r>
    </w:p>
  </w:footnote>
  <w:footnote w:type="continuationNotice" w:id="1">
    <w:p w14:paraId="00AC2FE5" w14:textId="77777777" w:rsidR="00782F7E" w:rsidRDefault="00782F7E"/>
  </w:footnote>
  <w:footnote w:id="2">
    <w:p w14:paraId="2688140B" w14:textId="77777777" w:rsidR="00D936A3" w:rsidRDefault="00B00100" w:rsidP="000C46A6">
      <w:pPr>
        <w:pStyle w:val="FootnoteText"/>
        <w:jc w:val="both"/>
      </w:pPr>
      <w:r>
        <w:rPr>
          <w:rStyle w:val="FootnoteReference"/>
        </w:rPr>
        <w:footnoteRef/>
      </w:r>
      <w:r>
        <w:t xml:space="preserve"> The operation is focused on five countries: Benin, The Gambia, Niger, Nigeria and Togo. The AFD will solely finance a complementary project in C</w:t>
      </w:r>
      <w:r>
        <w:rPr>
          <w:rFonts w:cstheme="minorHAnsi"/>
        </w:rPr>
        <w:t>ô</w:t>
      </w:r>
      <w:r>
        <w:t xml:space="preserve">te d’Ivoire. </w:t>
      </w:r>
    </w:p>
  </w:footnote>
  <w:footnote w:id="3">
    <w:p w14:paraId="4D75AF74" w14:textId="77777777" w:rsidR="00D936A3" w:rsidRDefault="00B00100" w:rsidP="007A3BCA">
      <w:pPr>
        <w:pStyle w:val="FootnoteText"/>
      </w:pPr>
      <w:r>
        <w:rPr>
          <w:rStyle w:val="FootnoteReference"/>
        </w:rPr>
        <w:footnoteRef/>
      </w:r>
      <w:r>
        <w:t xml:space="preserve"> “World Bank Group. 2016. Poverty and Shared Prosperity 2016 : Taking on Inequality. Washington, DC: World Bank. © World Bank. https://openknowledge.worldbank.org/handle/10986/25078 License: CC BY 3.0 IGO.”</w:t>
      </w:r>
    </w:p>
  </w:footnote>
  <w:footnote w:id="4">
    <w:p w14:paraId="36D8DD97" w14:textId="77777777" w:rsidR="00D936A3" w:rsidRDefault="00B00100" w:rsidP="000C46A6">
      <w:pPr>
        <w:pStyle w:val="FootnoteText"/>
        <w:jc w:val="both"/>
      </w:pPr>
      <w:r>
        <w:rPr>
          <w:rStyle w:val="FootnoteReference"/>
        </w:rPr>
        <w:footnoteRef/>
      </w:r>
      <w:r>
        <w:t xml:space="preserve"> Data from </w:t>
      </w:r>
      <w:r w:rsidRPr="00D06762">
        <w:t>The Global Competitiveness Report 2017-2018</w:t>
      </w:r>
      <w:r>
        <w:t>.</w:t>
      </w:r>
    </w:p>
  </w:footnote>
  <w:footnote w:id="5">
    <w:p w14:paraId="38B9CBA3" w14:textId="77777777" w:rsidR="00D936A3" w:rsidRDefault="00B00100" w:rsidP="000C46A6">
      <w:pPr>
        <w:pStyle w:val="FootnoteText"/>
        <w:jc w:val="both"/>
      </w:pPr>
      <w:r>
        <w:rPr>
          <w:rStyle w:val="FootnoteReference"/>
        </w:rPr>
        <w:footnoteRef/>
      </w:r>
      <w:r>
        <w:t xml:space="preserve"> World Bank Open Data and UNESCO Institute for Statistics.</w:t>
      </w:r>
    </w:p>
  </w:footnote>
  <w:footnote w:id="6">
    <w:p w14:paraId="4AC607A1" w14:textId="77777777" w:rsidR="00D936A3" w:rsidRPr="002222AE" w:rsidRDefault="00B00100" w:rsidP="0097732C">
      <w:pPr>
        <w:pStyle w:val="FootnoteText"/>
        <w:jc w:val="both"/>
        <w:rPr>
          <w:rFonts w:cs="Calibri"/>
          <w:sz w:val="20"/>
        </w:rPr>
      </w:pPr>
      <w:r w:rsidRPr="009B5BFD">
        <w:rPr>
          <w:rStyle w:val="FootnoteReference"/>
        </w:rPr>
        <w:footnoteRef/>
      </w:r>
      <w:r w:rsidRPr="009B5BFD">
        <w:rPr>
          <w:rStyle w:val="FootnoteReference"/>
        </w:rPr>
        <w:t xml:space="preserve"> </w:t>
      </w:r>
      <w:r w:rsidRPr="009B5BFD">
        <w:t>The rankings consulted are Times Higher Education, QS World University, and the Shanghai Rankings. An exception is Makerere University, from Uganda, which placed 401-500 in the Times Higher Education Ranking.</w:t>
      </w:r>
    </w:p>
  </w:footnote>
  <w:footnote w:id="7">
    <w:p w14:paraId="2A1F760B" w14:textId="77777777" w:rsidR="00D936A3" w:rsidRDefault="00B00100" w:rsidP="009E6D66">
      <w:pPr>
        <w:pStyle w:val="FootnoteText"/>
      </w:pPr>
      <w:r>
        <w:rPr>
          <w:rStyle w:val="FootnoteReference"/>
        </w:rPr>
        <w:footnoteRef/>
      </w:r>
      <w:r>
        <w:t xml:space="preserve"> Source: UIS. Share of e</w:t>
      </w:r>
      <w:r w:rsidRPr="0044265C">
        <w:t xml:space="preserve">nrolment in tertiary education, </w:t>
      </w:r>
      <w:r>
        <w:t>STEM</w:t>
      </w:r>
      <w:r w:rsidRPr="0044265C">
        <w:t xml:space="preserve"> program</w:t>
      </w:r>
      <w:r>
        <w:t>s</w:t>
      </w:r>
      <w:r w:rsidRPr="0044265C">
        <w:t>, both sexes (number)</w:t>
      </w:r>
      <w:r>
        <w:t xml:space="preserve">. </w:t>
      </w:r>
      <w:r w:rsidRPr="00EC0111">
        <w:t>This is a combination of 3 groups, (1) natural sciences, math and statistics; (2) ICT and (3) Engineering, manufacturing and construction</w:t>
      </w:r>
    </w:p>
    <w:p w14:paraId="14005393" w14:textId="77777777" w:rsidR="00D936A3" w:rsidRDefault="00D936A3">
      <w:pPr>
        <w:pStyle w:val="FootnoteText"/>
      </w:pPr>
    </w:p>
  </w:footnote>
  <w:footnote w:id="8">
    <w:p w14:paraId="6B92DE21" w14:textId="77777777" w:rsidR="00D936A3" w:rsidRDefault="00B00100">
      <w:pPr>
        <w:pStyle w:val="FootnoteText"/>
      </w:pPr>
      <w:r>
        <w:rPr>
          <w:rStyle w:val="FootnoteReference"/>
        </w:rPr>
        <w:footnoteRef/>
      </w:r>
      <w:r>
        <w:t xml:space="preserve"> </w:t>
      </w:r>
      <w:r w:rsidRPr="00DF596C">
        <w:t>http://uis.unesco.org/en/uis-student-flow</w:t>
      </w:r>
    </w:p>
  </w:footnote>
  <w:footnote w:id="9">
    <w:p w14:paraId="7C608CE0" w14:textId="77777777" w:rsidR="00D936A3" w:rsidRDefault="00B00100" w:rsidP="000C46A6">
      <w:pPr>
        <w:pStyle w:val="FootnoteText"/>
        <w:jc w:val="both"/>
      </w:pPr>
      <w:r>
        <w:rPr>
          <w:rStyle w:val="FootnoteReference"/>
        </w:rPr>
        <w:footnoteRef/>
      </w:r>
      <w:r>
        <w:t xml:space="preserve"> The POM prepared under the First ACE Impact Project has been updated to include elements relevant to the Second ACE Impact and has already been endorsed by several of the countries participating in both the First and Second ACE Impact Projects.  </w:t>
      </w:r>
    </w:p>
  </w:footnote>
  <w:footnote w:id="10">
    <w:p w14:paraId="1F095501" w14:textId="77777777" w:rsidR="00D936A3" w:rsidRPr="00CF4E09" w:rsidRDefault="00B00100" w:rsidP="000C46A6">
      <w:pPr>
        <w:pStyle w:val="FootnoteText"/>
        <w:jc w:val="both"/>
        <w:rPr>
          <w:rFonts w:cs="Calibri"/>
          <w:szCs w:val="18"/>
        </w:rPr>
      </w:pPr>
      <w:r w:rsidRPr="002E1A3F">
        <w:rPr>
          <w:rStyle w:val="FootnoteReference"/>
          <w:rFonts w:cs="Calibri"/>
        </w:rPr>
        <w:footnoteRef/>
      </w:r>
      <w:r w:rsidRPr="002E1A3F">
        <w:rPr>
          <w:rFonts w:cs="Calibri"/>
        </w:rPr>
        <w:t xml:space="preserve"> </w:t>
      </w:r>
      <w:r w:rsidRPr="002E1A3F">
        <w:rPr>
          <w:rFonts w:cs="Calibri"/>
          <w:szCs w:val="18"/>
          <w:shd w:val="clear" w:color="auto" w:fill="FFFFFF"/>
        </w:rPr>
        <w:t xml:space="preserve">World Bank. 2018. Africa - Regional integration cooperation assistance strategy for the period FY18-FY23 (English). Washington, D.C. Report No. 121912-AFR : World Bank Group: </w:t>
      </w:r>
      <w:hyperlink r:id="rId1" w:history="1">
        <w:r w:rsidRPr="00CF4E09">
          <w:rPr>
            <w:rStyle w:val="Hyperlink"/>
            <w:rFonts w:cs="Calibri"/>
            <w:sz w:val="18"/>
            <w:szCs w:val="18"/>
            <w:shd w:val="clear" w:color="auto" w:fill="FFFFFF"/>
          </w:rPr>
          <w:t>http://documents.worldbank.org/curated/en/700111528428661825/Africa-Regional-integration-cooperation-assistance-strategy-for-the-period-FY18-FY23</w:t>
        </w:r>
      </w:hyperlink>
      <w:r w:rsidRPr="00CF4E09">
        <w:rPr>
          <w:rFonts w:cs="Calibri"/>
          <w:szCs w:val="18"/>
          <w:shd w:val="clear" w:color="auto" w:fill="FFFFFF"/>
        </w:rPr>
        <w:t xml:space="preserve"> </w:t>
      </w:r>
    </w:p>
  </w:footnote>
  <w:footnote w:id="11">
    <w:p w14:paraId="440EC2EE" w14:textId="77777777" w:rsidR="00D936A3" w:rsidRPr="002E1A3F" w:rsidRDefault="00B00100" w:rsidP="00890DDB">
      <w:pPr>
        <w:pStyle w:val="FootnoteText"/>
        <w:jc w:val="both"/>
        <w:rPr>
          <w:rFonts w:cs="Calibri"/>
          <w:color w:val="auto"/>
          <w:sz w:val="20"/>
        </w:rPr>
      </w:pPr>
      <w:r w:rsidRPr="002E1A3F">
        <w:rPr>
          <w:rStyle w:val="FootnoteReference"/>
          <w:rFonts w:cs="Calibri"/>
          <w:color w:val="auto"/>
          <w:sz w:val="20"/>
        </w:rPr>
        <w:footnoteRef/>
      </w:r>
      <w:r w:rsidRPr="002E1A3F">
        <w:rPr>
          <w:rFonts w:cs="Calibri"/>
          <w:color w:val="auto"/>
          <w:sz w:val="20"/>
        </w:rPr>
        <w:t xml:space="preserve"> In this project, postgraduate is defined to include master’s and PhD degrees, and short-term professional courses.</w:t>
      </w:r>
    </w:p>
  </w:footnote>
  <w:footnote w:id="12">
    <w:p w14:paraId="05590DD0" w14:textId="77777777" w:rsidR="00D936A3" w:rsidRPr="00F36FA9" w:rsidRDefault="00B00100" w:rsidP="00E33DAB">
      <w:pPr>
        <w:pStyle w:val="FootnoteText"/>
        <w:jc w:val="both"/>
        <w:rPr>
          <w:sz w:val="20"/>
        </w:rPr>
      </w:pPr>
      <w:r w:rsidRPr="00F36FA9">
        <w:rPr>
          <w:rStyle w:val="FootnoteReference"/>
          <w:sz w:val="20"/>
        </w:rPr>
        <w:footnoteRef/>
      </w:r>
      <w:r w:rsidRPr="00F36FA9">
        <w:rPr>
          <w:sz w:val="20"/>
        </w:rPr>
        <w:t xml:space="preserve"> </w:t>
      </w:r>
      <w:r w:rsidRPr="002E1A3F">
        <w:rPr>
          <w:rFonts w:cs="Calibri"/>
          <w:sz w:val="20"/>
        </w:rPr>
        <w:t>Support for national</w:t>
      </w:r>
      <w:r>
        <w:rPr>
          <w:rFonts w:cs="Calibri"/>
          <w:sz w:val="20"/>
        </w:rPr>
        <w:t>-</w:t>
      </w:r>
      <w:r w:rsidRPr="002E1A3F">
        <w:rPr>
          <w:rFonts w:cs="Calibri"/>
          <w:sz w:val="20"/>
        </w:rPr>
        <w:t xml:space="preserve">level coordination </w:t>
      </w:r>
      <w:r w:rsidRPr="00F36FA9">
        <w:rPr>
          <w:sz w:val="20"/>
        </w:rPr>
        <w:t xml:space="preserve">will be provided in </w:t>
      </w:r>
      <w:r>
        <w:rPr>
          <w:sz w:val="20"/>
        </w:rPr>
        <w:t>Nigeria and The Gambia.</w:t>
      </w:r>
    </w:p>
  </w:footnote>
  <w:footnote w:id="13">
    <w:p w14:paraId="4473A6E0" w14:textId="77777777" w:rsidR="00D936A3" w:rsidRDefault="00B00100" w:rsidP="000C46A6">
      <w:pPr>
        <w:pStyle w:val="FootnoteText"/>
        <w:jc w:val="both"/>
      </w:pPr>
      <w:r>
        <w:rPr>
          <w:rStyle w:val="FootnoteReference"/>
        </w:rPr>
        <w:footnoteRef/>
      </w:r>
      <w:r>
        <w:t xml:space="preserve"> AFD is solely funding ACEs from Côte d’Ivoire that are not included in this count: 3 ACEs under Sub-component 1.1 and 1 ACE under Sub-component 1.2</w:t>
      </w:r>
    </w:p>
  </w:footnote>
  <w:footnote w:id="14">
    <w:p w14:paraId="23D5AFB3" w14:textId="77777777" w:rsidR="00D936A3" w:rsidRPr="00516226" w:rsidRDefault="00B00100" w:rsidP="00890DDB">
      <w:pPr>
        <w:pStyle w:val="FootnoteText"/>
        <w:jc w:val="both"/>
        <w:rPr>
          <w:rFonts w:cs="Calibri"/>
          <w:sz w:val="20"/>
        </w:rPr>
      </w:pPr>
      <w:r w:rsidRPr="00516226">
        <w:rPr>
          <w:rStyle w:val="FootnoteReference"/>
          <w:rFonts w:cs="Calibri"/>
          <w:sz w:val="20"/>
        </w:rPr>
        <w:footnoteRef/>
      </w:r>
      <w:r w:rsidRPr="00516226">
        <w:rPr>
          <w:rFonts w:cs="Calibri"/>
          <w:sz w:val="20"/>
        </w:rPr>
        <w:t xml:space="preserve"> The term College/School of Engineering (CoEngg) is used generically here, and may refer to a Faculty, a Polytechnic within a university, or other similar organizational structure</w:t>
      </w:r>
      <w:r w:rsidRPr="00516226">
        <w:rPr>
          <w:rFonts w:eastAsia="Calibri,Times New Roman" w:cs="Calibri"/>
          <w:spacing w:val="-1"/>
          <w:sz w:val="20"/>
        </w:rPr>
        <w:t>.</w:t>
      </w:r>
    </w:p>
  </w:footnote>
  <w:footnote w:id="15">
    <w:p w14:paraId="57C23513" w14:textId="77777777" w:rsidR="00D936A3" w:rsidRDefault="00B00100" w:rsidP="00890DDB">
      <w:pPr>
        <w:pStyle w:val="FootnoteText"/>
        <w:jc w:val="both"/>
      </w:pPr>
      <w:r>
        <w:rPr>
          <w:rStyle w:val="FootnoteReference"/>
        </w:rPr>
        <w:footnoteRef/>
      </w:r>
      <w:r>
        <w:t xml:space="preserve"> RSIF scholars will have the opportunity to carry out their PhD work in both their host institutions and in a partner institution abroad.</w:t>
      </w:r>
    </w:p>
  </w:footnote>
  <w:footnote w:id="16">
    <w:p w14:paraId="507B0BF1" w14:textId="77777777" w:rsidR="00D936A3" w:rsidRPr="005A2AF7" w:rsidRDefault="00B00100" w:rsidP="00890DDB">
      <w:pPr>
        <w:pStyle w:val="FootnoteText"/>
        <w:jc w:val="both"/>
        <w:rPr>
          <w:rFonts w:cs="Calibri"/>
          <w:szCs w:val="18"/>
        </w:rPr>
      </w:pPr>
      <w:r w:rsidRPr="005A2AF7">
        <w:rPr>
          <w:rStyle w:val="FootnoteReference"/>
          <w:rFonts w:cs="Calibri"/>
          <w:szCs w:val="18"/>
        </w:rPr>
        <w:footnoteRef/>
      </w:r>
      <w:r w:rsidRPr="00EF7AE8">
        <w:rPr>
          <w:rFonts w:cs="Calibri"/>
          <w:sz w:val="20"/>
        </w:rPr>
        <w:t xml:space="preserve"> </w:t>
      </w:r>
      <w:r w:rsidRPr="005A2AF7">
        <w:rPr>
          <w:rFonts w:cs="Calibri"/>
          <w:szCs w:val="18"/>
        </w:rPr>
        <w:t xml:space="preserve">World Bank - Africa Higher Education Centers of Excellence (2014): “Project Appraisal Document”, Internet: </w:t>
      </w:r>
      <w:hyperlink r:id="rId2" w:history="1">
        <w:r w:rsidRPr="005A2AF7">
          <w:rPr>
            <w:rStyle w:val="Hyperlink"/>
            <w:rFonts w:cs="Calibri"/>
            <w:sz w:val="18"/>
            <w:szCs w:val="18"/>
          </w:rPr>
          <w:t>https://hubs.worldbank.org/docs/ImageBank/Pages/DocProfile.aspx?nodeid=19316701</w:t>
        </w:r>
      </w:hyperlink>
      <w:r w:rsidRPr="005A2AF7">
        <w:rPr>
          <w:rFonts w:cs="Calibri"/>
          <w:szCs w:val="18"/>
        </w:rPr>
        <w:t>, p.97.</w:t>
      </w:r>
    </w:p>
  </w:footnote>
  <w:footnote w:id="17">
    <w:p w14:paraId="1B8607ED" w14:textId="77777777" w:rsidR="00D936A3" w:rsidRPr="005A2AF7" w:rsidRDefault="00B00100" w:rsidP="002613C6">
      <w:pPr>
        <w:pStyle w:val="FootnoteText"/>
        <w:jc w:val="both"/>
        <w:rPr>
          <w:rFonts w:cs="Calibri"/>
          <w:szCs w:val="18"/>
        </w:rPr>
      </w:pPr>
      <w:r w:rsidRPr="005A2AF7">
        <w:rPr>
          <w:rStyle w:val="FootnoteReference"/>
          <w:rFonts w:cs="Calibri"/>
          <w:szCs w:val="18"/>
        </w:rPr>
        <w:footnoteRef/>
      </w:r>
      <w:r w:rsidRPr="005A2AF7">
        <w:rPr>
          <w:rFonts w:cs="Calibri"/>
          <w:szCs w:val="18"/>
        </w:rPr>
        <w:t xml:space="preserve"> The 5</w:t>
      </w:r>
      <w:r w:rsidRPr="005A2AF7">
        <w:rPr>
          <w:rFonts w:cs="Calibri"/>
          <w:szCs w:val="18"/>
          <w:vertAlign w:val="superscript"/>
        </w:rPr>
        <w:t>th</w:t>
      </w:r>
      <w:r w:rsidRPr="005A2AF7">
        <w:rPr>
          <w:rFonts w:cs="Calibri"/>
          <w:szCs w:val="18"/>
        </w:rPr>
        <w:t xml:space="preserve"> pillar of the Global Competitiveness Index from WE FORUM (2017) assess the quality of higher education of 137 countries. Scores range from 1 to 7 which is the highest.</w:t>
      </w:r>
    </w:p>
  </w:footnote>
  <w:footnote w:id="18">
    <w:p w14:paraId="7FEACDBC" w14:textId="77777777" w:rsidR="00D936A3" w:rsidRPr="00EF7AE8" w:rsidRDefault="00B00100" w:rsidP="00FE70FD">
      <w:pPr>
        <w:pStyle w:val="FootnoteText"/>
        <w:jc w:val="both"/>
        <w:rPr>
          <w:rFonts w:cs="Calibri"/>
          <w:sz w:val="20"/>
        </w:rPr>
      </w:pPr>
      <w:r w:rsidRPr="005A2AF7">
        <w:rPr>
          <w:rStyle w:val="FootnoteReference"/>
          <w:rFonts w:cs="Calibri"/>
          <w:szCs w:val="18"/>
        </w:rPr>
        <w:footnoteRef/>
      </w:r>
      <w:r w:rsidRPr="005A2AF7">
        <w:rPr>
          <w:rFonts w:cs="Calibri"/>
          <w:szCs w:val="18"/>
        </w:rPr>
        <w:t xml:space="preserve"> D. Bloom, D. Canning, and K. Chan (2006): “</w:t>
      </w:r>
      <w:r w:rsidRPr="005A2AF7">
        <w:rPr>
          <w:rFonts w:cs="Calibri"/>
          <w:i/>
          <w:szCs w:val="18"/>
        </w:rPr>
        <w:t xml:space="preserve">Higher Education and Economic Development in Africa” </w:t>
      </w:r>
      <w:r w:rsidRPr="005A2AF7">
        <w:rPr>
          <w:rFonts w:cs="Calibri"/>
          <w:szCs w:val="18"/>
        </w:rPr>
        <w:t>Internet: http://ent.arp.harvard.edu/AfricaHigherEducation/Reports/BloomAndCanning.pdf (Last accessed: March 9, 2018).</w:t>
      </w:r>
    </w:p>
  </w:footnote>
  <w:footnote w:id="19">
    <w:p w14:paraId="6DE39FCD" w14:textId="77777777" w:rsidR="00D936A3" w:rsidRPr="002E1A3F" w:rsidRDefault="00B00100" w:rsidP="000C46A6">
      <w:pPr>
        <w:pStyle w:val="Normal200"/>
        <w:widowControl w:val="0"/>
        <w:autoSpaceDE w:val="0"/>
        <w:autoSpaceDN w:val="0"/>
        <w:adjustRightInd w:val="0"/>
        <w:jc w:val="both"/>
        <w:rPr>
          <w:rFonts w:eastAsia="Times New Roman" w:cs="Arial"/>
          <w:color w:val="000000"/>
          <w:sz w:val="18"/>
        </w:rPr>
      </w:pPr>
      <w:r>
        <w:rPr>
          <w:rStyle w:val="FootnoteReference"/>
          <w:rFonts w:eastAsiaTheme="minorEastAsia" w:cs="Arial"/>
          <w:color w:val="000000"/>
          <w:sz w:val="18"/>
          <w:szCs w:val="20"/>
        </w:rPr>
        <w:footnoteRef/>
      </w:r>
      <w:r w:rsidRPr="002E1A3F">
        <w:rPr>
          <w:rFonts w:eastAsia="Times New Roman" w:cs="Arial"/>
          <w:color w:val="000000"/>
          <w:sz w:val="18"/>
        </w:rPr>
        <w:t xml:space="preserve">The country-respective ESMFs were disclosed </w:t>
      </w:r>
      <w:r>
        <w:rPr>
          <w:rFonts w:eastAsia="Times New Roman" w:cs="Arial"/>
          <w:color w:val="000000"/>
          <w:sz w:val="18"/>
        </w:rPr>
        <w:t>in-country on</w:t>
      </w:r>
      <w:r w:rsidRPr="008B36AE">
        <w:rPr>
          <w:rFonts w:eastAsia="Times New Roman" w:cs="Arial"/>
          <w:color w:val="000000"/>
          <w:sz w:val="18"/>
        </w:rPr>
        <w:t xml:space="preserve">: </w:t>
      </w:r>
      <w:bookmarkStart w:id="260" w:name="_Hlk19065485"/>
      <w:r w:rsidRPr="008B36AE">
        <w:rPr>
          <w:rFonts w:eastAsia="Times New Roman" w:cs="Arial"/>
          <w:color w:val="000000"/>
          <w:sz w:val="18"/>
        </w:rPr>
        <w:t>Nigeria (November 15, 2018), Togo (August 1, 2019</w:t>
      </w:r>
      <w:r>
        <w:rPr>
          <w:rFonts w:eastAsia="Times New Roman" w:cs="Arial"/>
          <w:color w:val="000000"/>
          <w:sz w:val="18"/>
        </w:rPr>
        <w:t>)</w:t>
      </w:r>
      <w:r>
        <w:rPr>
          <w:rFonts w:eastAsia="Times New Roman" w:cs="Arial"/>
          <w:noProof/>
          <w:color w:val="000000"/>
          <w:sz w:val="18"/>
        </w:rPr>
        <w:t xml:space="preserve">, </w:t>
      </w:r>
      <w:r w:rsidRPr="008B36AE">
        <w:rPr>
          <w:rFonts w:eastAsia="Times New Roman" w:cs="Arial"/>
          <w:color w:val="000000"/>
          <w:sz w:val="18"/>
        </w:rPr>
        <w:t xml:space="preserve">The Gambia (August 5, 2019), Benin (August 20, 2019), </w:t>
      </w:r>
      <w:r>
        <w:rPr>
          <w:rFonts w:eastAsia="Times New Roman" w:cs="Arial"/>
          <w:color w:val="000000"/>
          <w:sz w:val="18"/>
        </w:rPr>
        <w:t xml:space="preserve">and </w:t>
      </w:r>
      <w:r w:rsidRPr="008B36AE">
        <w:rPr>
          <w:rFonts w:eastAsia="Times New Roman" w:cs="Arial"/>
          <w:color w:val="000000"/>
          <w:sz w:val="18"/>
        </w:rPr>
        <w:t>Niger (August 21, 2019)</w:t>
      </w:r>
      <w:r>
        <w:rPr>
          <w:rFonts w:eastAsia="Times New Roman" w:cs="Arial"/>
          <w:color w:val="000000"/>
          <w:sz w:val="18"/>
        </w:rPr>
        <w:t>.</w:t>
      </w:r>
      <w:r w:rsidRPr="008B36AE">
        <w:rPr>
          <w:rFonts w:eastAsia="Times New Roman" w:cs="Arial"/>
          <w:color w:val="000000"/>
          <w:sz w:val="18"/>
        </w:rPr>
        <w:t xml:space="preserve">  </w:t>
      </w:r>
      <w:bookmarkEnd w:id="260"/>
      <w:r>
        <w:rPr>
          <w:rFonts w:eastAsia="Times New Roman" w:cs="Arial"/>
          <w:color w:val="000000"/>
          <w:sz w:val="18"/>
        </w:rPr>
        <w:t>They were further disclosed by the World Bank on:</w:t>
      </w:r>
      <w:r w:rsidRPr="002311A2">
        <w:rPr>
          <w:rFonts w:eastAsia="Times New Roman" w:cs="Arial"/>
          <w:color w:val="000000"/>
          <w:sz w:val="18"/>
        </w:rPr>
        <w:t xml:space="preserve"> Togo (August 4, 2019); The Gambia (August 6, 2019); Benin (August 21, 2019); Niger (August 22, 2019); Nigeria (August 22, 2019).</w:t>
      </w:r>
    </w:p>
    <w:p w14:paraId="50767B13" w14:textId="77777777" w:rsidR="00D936A3" w:rsidRDefault="00D936A3" w:rsidP="000C46A6">
      <w:pPr>
        <w:pStyle w:val="FootnoteText"/>
        <w:jc w:val="both"/>
      </w:pPr>
    </w:p>
  </w:footnote>
  <w:footnote w:id="20">
    <w:p w14:paraId="6C5C6EA0" w14:textId="77777777" w:rsidR="00D936A3" w:rsidRPr="002E1A3F" w:rsidRDefault="00B00100" w:rsidP="000C46A6">
      <w:pPr>
        <w:pStyle w:val="FootnoteText"/>
        <w:rPr>
          <w:rFonts w:cs="Calibri"/>
          <w:sz w:val="20"/>
        </w:rPr>
      </w:pPr>
      <w:r w:rsidRPr="002E1A3F">
        <w:rPr>
          <w:rStyle w:val="FootnoteReference"/>
          <w:rFonts w:cs="Calibri"/>
          <w:sz w:val="20"/>
        </w:rPr>
        <w:footnoteRef/>
      </w:r>
      <w:r w:rsidRPr="002E1A3F">
        <w:rPr>
          <w:rFonts w:cs="Calibri"/>
          <w:sz w:val="20"/>
        </w:rPr>
        <w:t xml:space="preserve"> D. Bloom, D. Canning, and K. Chan (2006): “</w:t>
      </w:r>
      <w:r w:rsidRPr="002E1A3F">
        <w:rPr>
          <w:rFonts w:cs="Calibri"/>
          <w:i/>
          <w:sz w:val="20"/>
        </w:rPr>
        <w:t xml:space="preserve">Higher Education and Economic Development in Africa” </w:t>
      </w:r>
      <w:r w:rsidRPr="002E1A3F">
        <w:rPr>
          <w:rFonts w:cs="Calibri"/>
          <w:sz w:val="20"/>
        </w:rPr>
        <w:t>Internet: http://ent.arp.harvard.edu/AfricaHigherEducation/Reports/BloomAndCanning.pdf (Last accessed: March 9, 2018).</w:t>
      </w:r>
    </w:p>
  </w:footnote>
  <w:footnote w:id="21">
    <w:p w14:paraId="310CF174" w14:textId="77777777" w:rsidR="00D936A3" w:rsidRPr="009550B3" w:rsidRDefault="00B00100" w:rsidP="0097732C">
      <w:pPr>
        <w:pStyle w:val="FootnoteText"/>
        <w:jc w:val="both"/>
        <w:rPr>
          <w:rFonts w:cs="Calibri"/>
          <w:sz w:val="20"/>
        </w:rPr>
      </w:pPr>
      <w:r w:rsidRPr="009550B3">
        <w:rPr>
          <w:rStyle w:val="FootnoteReference"/>
          <w:rFonts w:cs="Calibri"/>
          <w:sz w:val="20"/>
        </w:rPr>
        <w:footnoteRef/>
      </w:r>
      <w:r w:rsidRPr="009550B3">
        <w:rPr>
          <w:rFonts w:cs="Calibri"/>
          <w:sz w:val="20"/>
        </w:rPr>
        <w:t xml:space="preserve"> The 5</w:t>
      </w:r>
      <w:r w:rsidRPr="009550B3">
        <w:rPr>
          <w:rFonts w:cs="Calibri"/>
          <w:sz w:val="20"/>
          <w:vertAlign w:val="superscript"/>
        </w:rPr>
        <w:t>th</w:t>
      </w:r>
      <w:r w:rsidRPr="009550B3">
        <w:rPr>
          <w:rFonts w:cs="Calibri"/>
          <w:sz w:val="20"/>
        </w:rPr>
        <w:t xml:space="preserve"> pillar of the Global Competitiveness Index from WE FORUM (2017) assess the quality of higher education of 137 countries. Scores range from 1 to 7 </w:t>
      </w:r>
      <w:r>
        <w:rPr>
          <w:rFonts w:cs="Calibri"/>
          <w:sz w:val="20"/>
        </w:rPr>
        <w:t xml:space="preserve">with 7 being </w:t>
      </w:r>
      <w:r w:rsidRPr="009550B3">
        <w:rPr>
          <w:rFonts w:cs="Calibri"/>
          <w:sz w:val="20"/>
        </w:rPr>
        <w:t>the highest.</w:t>
      </w:r>
    </w:p>
  </w:footnote>
  <w:footnote w:id="22">
    <w:p w14:paraId="5897B665" w14:textId="77777777" w:rsidR="00D936A3" w:rsidRPr="009550B3" w:rsidRDefault="00B00100" w:rsidP="0097732C">
      <w:pPr>
        <w:pStyle w:val="FootnoteText"/>
        <w:jc w:val="both"/>
        <w:rPr>
          <w:rFonts w:cs="Calibri"/>
          <w:sz w:val="20"/>
        </w:rPr>
      </w:pPr>
      <w:r w:rsidRPr="009550B3">
        <w:rPr>
          <w:rStyle w:val="FootnoteReference"/>
          <w:rFonts w:cs="Calibri"/>
          <w:sz w:val="20"/>
        </w:rPr>
        <w:footnoteRef/>
      </w:r>
      <w:r w:rsidRPr="009550B3">
        <w:rPr>
          <w:rFonts w:cs="Calibri"/>
          <w:sz w:val="20"/>
        </w:rPr>
        <w:t xml:space="preserve"> </w:t>
      </w:r>
      <w:r w:rsidRPr="000C46A6">
        <w:rPr>
          <w:rFonts w:cs="Calibri"/>
          <w:szCs w:val="18"/>
        </w:rPr>
        <w:t xml:space="preserve">World Bank - Africa Higher Education Centers of Excellence (2014): “Project Appraisal Document”, Internet: </w:t>
      </w:r>
      <w:hyperlink r:id="rId3" w:history="1">
        <w:r w:rsidRPr="000C46A6">
          <w:rPr>
            <w:rStyle w:val="Hyperlink"/>
            <w:rFonts w:cs="Calibri"/>
            <w:sz w:val="18"/>
            <w:szCs w:val="18"/>
          </w:rPr>
          <w:t>https://hubs.worldbank.org/docs/ImageBank/Pages/DocProfile.aspx?nodeid=19316701</w:t>
        </w:r>
      </w:hyperlink>
      <w:r w:rsidRPr="000C46A6">
        <w:rPr>
          <w:rFonts w:cs="Calibri"/>
          <w:szCs w:val="18"/>
        </w:rPr>
        <w:t>, p.</w:t>
      </w:r>
      <w:r>
        <w:rPr>
          <w:rFonts w:cs="Calibri"/>
          <w:szCs w:val="18"/>
        </w:rPr>
        <w:t xml:space="preserve"> </w:t>
      </w:r>
      <w:r w:rsidRPr="000C46A6">
        <w:rPr>
          <w:rFonts w:cs="Calibri"/>
          <w:szCs w:val="18"/>
        </w:rPr>
        <w:t>97</w:t>
      </w:r>
      <w:r>
        <w:rPr>
          <w:rFonts w:cs="Calibr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4ED35" w14:textId="77777777" w:rsidR="00D936A3" w:rsidRDefault="00A90848">
    <w:pPr>
      <w:pStyle w:val="Header"/>
    </w:pPr>
    <w:r>
      <w:rPr>
        <w:noProof/>
      </w:rPr>
      <w:pict w14:anchorId="2C321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7" o:spid="_x0000_s3073" type="#_x0000_t75" style="position:absolute;margin-left:0;margin-top:0;width:467.95pt;height:467.95pt;z-index:-251658240;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2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6085"/>
      <w:gridCol w:w="4715"/>
    </w:tblGrid>
    <w:tr w:rsidR="000C3959" w14:paraId="7D232546" w14:textId="77777777" w:rsidTr="00284A2C">
      <w:trPr>
        <w:trHeight w:val="162"/>
        <w:jc w:val="center"/>
      </w:trPr>
      <w:tc>
        <w:tcPr>
          <w:tcW w:w="720" w:type="dxa"/>
          <w:vMerge w:val="restart"/>
        </w:tcPr>
        <w:p w14:paraId="609AF978" w14:textId="77777777" w:rsidR="00D936A3" w:rsidRPr="00BF642B" w:rsidRDefault="00B00100" w:rsidP="003615CB">
          <w:pPr>
            <w:pStyle w:val="Header"/>
            <w:rPr>
              <w:b/>
            </w:rPr>
          </w:pPr>
          <w:r w:rsidRPr="00BF642B">
            <w:rPr>
              <w:b/>
              <w:noProof/>
            </w:rPr>
            <w:drawing>
              <wp:inline distT="0" distB="0" distL="0" distR="0" wp14:anchorId="60A98C31" wp14:editId="1D90CA63">
                <wp:extent cx="295275" cy="28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07206"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6085" w:type="dxa"/>
          <w:vAlign w:val="center"/>
        </w:tcPr>
        <w:p w14:paraId="34616C87" w14:textId="77777777" w:rsidR="00D936A3" w:rsidRDefault="00B00100" w:rsidP="003615CB">
          <w:pPr>
            <w:pStyle w:val="Header"/>
            <w:ind w:left="-108"/>
          </w:pPr>
          <w:r w:rsidRPr="005F6C54">
            <w:rPr>
              <w:b/>
            </w:rPr>
            <w:t>The World Bank</w:t>
          </w:r>
        </w:p>
      </w:tc>
      <w:tc>
        <w:tcPr>
          <w:tcW w:w="4715" w:type="dxa"/>
          <w:vAlign w:val="center"/>
        </w:tcPr>
        <w:p w14:paraId="188D3B28" w14:textId="77777777" w:rsidR="00D936A3" w:rsidRDefault="00D936A3" w:rsidP="003615CB">
          <w:pPr>
            <w:pStyle w:val="Header"/>
            <w:jc w:val="right"/>
          </w:pPr>
        </w:p>
      </w:tc>
    </w:tr>
    <w:tr w:rsidR="000C3959" w14:paraId="424D2C11" w14:textId="77777777" w:rsidTr="00284A2C">
      <w:trPr>
        <w:trHeight w:val="231"/>
        <w:jc w:val="center"/>
      </w:trPr>
      <w:tc>
        <w:tcPr>
          <w:tcW w:w="720" w:type="dxa"/>
          <w:vMerge/>
        </w:tcPr>
        <w:p w14:paraId="4859F407" w14:textId="77777777" w:rsidR="00D936A3" w:rsidRPr="00BF642B" w:rsidRDefault="00D936A3" w:rsidP="003615CB">
          <w:pPr>
            <w:pStyle w:val="Header"/>
            <w:rPr>
              <w:b/>
              <w:noProof/>
            </w:rPr>
          </w:pPr>
        </w:p>
      </w:tc>
      <w:tc>
        <w:tcPr>
          <w:tcW w:w="10800" w:type="dxa"/>
          <w:gridSpan w:val="2"/>
        </w:tcPr>
        <w:p w14:paraId="3DF3854A" w14:textId="77777777" w:rsidR="00D936A3" w:rsidRPr="006E6C00" w:rsidRDefault="00B00100" w:rsidP="003615CB">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168C31BB" w14:textId="77777777" w:rsidTr="00284A2C">
      <w:trPr>
        <w:trHeight w:val="313"/>
        <w:jc w:val="center"/>
      </w:trPr>
      <w:tc>
        <w:tcPr>
          <w:tcW w:w="11520" w:type="dxa"/>
          <w:gridSpan w:val="3"/>
        </w:tcPr>
        <w:p w14:paraId="25A06D42" w14:textId="77777777" w:rsidR="00D936A3" w:rsidRDefault="00B00100" w:rsidP="003615CB">
          <w:pPr>
            <w:pStyle w:val="Header"/>
          </w:pPr>
          <w:r>
            <w:rPr>
              <w:i/>
              <w:noProof/>
              <w:color w:val="44546A" w:themeColor="text2"/>
            </w:rPr>
            <mc:AlternateContent>
              <mc:Choice Requires="wps">
                <w:drawing>
                  <wp:anchor distT="0" distB="0" distL="114300" distR="114300" simplePos="0" relativeHeight="251654144" behindDoc="0" locked="0" layoutInCell="1" allowOverlap="1" wp14:anchorId="7B01C748" wp14:editId="56B10524">
                    <wp:simplePos x="0" y="0"/>
                    <wp:positionH relativeFrom="column">
                      <wp:posOffset>-40004</wp:posOffset>
                    </wp:positionH>
                    <wp:positionV relativeFrom="paragraph">
                      <wp:posOffset>87630</wp:posOffset>
                    </wp:positionV>
                    <wp:extent cx="6819900" cy="0"/>
                    <wp:effectExtent l="0" t="19050" r="3810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EF995F"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33.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" strokecolor="#4e92d1" strokeweight="4.5pt"/>
                </w:pict>
              </mc:Fallback>
            </mc:AlternateContent>
          </w:r>
        </w:p>
      </w:tc>
    </w:tr>
  </w:tbl>
  <w:p w14:paraId="1B5C819E" w14:textId="77777777" w:rsidR="00D936A3" w:rsidRDefault="00D936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DD682" w14:textId="77777777" w:rsidR="00D936A3" w:rsidRDefault="00D936A3">
    <w:pPr>
      <w:pStyle w:val="Header"/>
    </w:pPr>
  </w:p>
  <w:p w14:paraId="1D0B274C" w14:textId="77777777" w:rsidR="00D936A3" w:rsidRDefault="00D936A3">
    <w:pPr>
      <w:pStyle w:val="Header"/>
    </w:pPr>
  </w:p>
  <w:p w14:paraId="4FEF6201" w14:textId="77777777" w:rsidR="00D936A3" w:rsidRDefault="00D936A3">
    <w:pPr>
      <w:pStyle w:val="Header"/>
    </w:pPr>
  </w:p>
  <w:tbl>
    <w:tblPr>
      <w:tblStyle w:val="TableGrid18"/>
      <w:tblW w:w="1116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625"/>
    </w:tblGrid>
    <w:tr w:rsidR="000C3959" w14:paraId="0BA68001" w14:textId="77777777" w:rsidTr="0037713F">
      <w:trPr>
        <w:trHeight w:val="162"/>
        <w:jc w:val="center"/>
      </w:trPr>
      <w:tc>
        <w:tcPr>
          <w:tcW w:w="720" w:type="dxa"/>
          <w:vMerge w:val="restart"/>
        </w:tcPr>
        <w:p w14:paraId="2D8FA093" w14:textId="77777777" w:rsidR="00D936A3" w:rsidRPr="00BF642B" w:rsidRDefault="00B00100" w:rsidP="0037713F">
          <w:pPr>
            <w:pStyle w:val="Header"/>
            <w:rPr>
              <w:b/>
            </w:rPr>
          </w:pPr>
          <w:r w:rsidRPr="00BF642B">
            <w:rPr>
              <w:b/>
              <w:noProof/>
            </w:rPr>
            <w:drawing>
              <wp:inline distT="0" distB="0" distL="0" distR="0" wp14:anchorId="219AECDB" wp14:editId="2336B619">
                <wp:extent cx="295275" cy="28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0912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7A0FE391" w14:textId="77777777" w:rsidR="00D936A3" w:rsidRDefault="00B00100" w:rsidP="0037713F">
          <w:pPr>
            <w:pStyle w:val="Header"/>
            <w:ind w:left="-108"/>
          </w:pPr>
          <w:r w:rsidRPr="005F6C54">
            <w:rPr>
              <w:b/>
            </w:rPr>
            <w:t>The World Bank</w:t>
          </w:r>
        </w:p>
      </w:tc>
      <w:tc>
        <w:tcPr>
          <w:tcW w:w="4625" w:type="dxa"/>
          <w:vAlign w:val="center"/>
        </w:tcPr>
        <w:p w14:paraId="4E9A2C68" w14:textId="77777777" w:rsidR="00D936A3" w:rsidRDefault="00D936A3" w:rsidP="0037713F">
          <w:pPr>
            <w:pStyle w:val="Header"/>
            <w:jc w:val="right"/>
          </w:pPr>
        </w:p>
      </w:tc>
    </w:tr>
    <w:tr w:rsidR="000C3959" w14:paraId="3DA3C4DC" w14:textId="77777777" w:rsidTr="0037713F">
      <w:trPr>
        <w:trHeight w:val="231"/>
        <w:jc w:val="center"/>
      </w:trPr>
      <w:tc>
        <w:tcPr>
          <w:tcW w:w="720" w:type="dxa"/>
          <w:vMerge/>
        </w:tcPr>
        <w:p w14:paraId="0D896143" w14:textId="77777777" w:rsidR="00D936A3" w:rsidRPr="00BF642B" w:rsidRDefault="00D936A3" w:rsidP="0037713F">
          <w:pPr>
            <w:pStyle w:val="Header"/>
            <w:rPr>
              <w:b/>
              <w:noProof/>
            </w:rPr>
          </w:pPr>
        </w:p>
      </w:tc>
      <w:tc>
        <w:tcPr>
          <w:tcW w:w="10440" w:type="dxa"/>
          <w:gridSpan w:val="2"/>
        </w:tcPr>
        <w:p w14:paraId="6A64F1F9" w14:textId="77777777" w:rsidR="00D936A3" w:rsidRPr="006E6C00" w:rsidRDefault="00B00100" w:rsidP="0037713F">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4F2F71C1" w14:textId="77777777" w:rsidTr="0037713F">
      <w:trPr>
        <w:trHeight w:val="313"/>
        <w:jc w:val="center"/>
      </w:trPr>
      <w:tc>
        <w:tcPr>
          <w:tcW w:w="11160" w:type="dxa"/>
          <w:gridSpan w:val="3"/>
        </w:tcPr>
        <w:p w14:paraId="4EC3F8DF" w14:textId="77777777" w:rsidR="00D936A3" w:rsidRDefault="00B00100" w:rsidP="0037713F">
          <w:pPr>
            <w:pStyle w:val="Header"/>
          </w:pPr>
          <w:r>
            <w:rPr>
              <w:i/>
              <w:noProof/>
              <w:color w:val="44546A" w:themeColor="text2"/>
            </w:rPr>
            <mc:AlternateContent>
              <mc:Choice Requires="wps">
                <w:drawing>
                  <wp:anchor distT="0" distB="0" distL="114300" distR="114300" simplePos="0" relativeHeight="251650048" behindDoc="0" locked="0" layoutInCell="1" allowOverlap="1" wp14:anchorId="12F58ACA" wp14:editId="04F4925C">
                    <wp:simplePos x="0" y="0"/>
                    <wp:positionH relativeFrom="column">
                      <wp:posOffset>-40006</wp:posOffset>
                    </wp:positionH>
                    <wp:positionV relativeFrom="paragraph">
                      <wp:posOffset>87630</wp:posOffset>
                    </wp:positionV>
                    <wp:extent cx="6943725" cy="0"/>
                    <wp:effectExtent l="0" t="19050" r="47625" b="381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8AE7EB" id="Straight Connector 4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4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" strokecolor="#4e92d1" strokeweight="4.5pt"/>
                </w:pict>
              </mc:Fallback>
            </mc:AlternateContent>
          </w:r>
        </w:p>
      </w:tc>
    </w:tr>
  </w:tbl>
  <w:p w14:paraId="6A2BE4C8" w14:textId="77777777" w:rsidR="00D936A3" w:rsidRDefault="00D936A3">
    <w:pPr>
      <w:pStyle w:val="Header"/>
    </w:pPr>
  </w:p>
  <w:p w14:paraId="30F4CD89" w14:textId="77777777" w:rsidR="00D936A3" w:rsidRDefault="00D936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EF65A" w14:textId="77777777" w:rsidR="00D936A3" w:rsidRDefault="00A90848">
    <w:pPr>
      <w:pStyle w:val="Header"/>
    </w:pPr>
    <w:r>
      <w:rPr>
        <w:noProof/>
      </w:rPr>
      <w:pict w14:anchorId="7C4AA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3086" type="#_x0000_t75" style="position:absolute;margin-left:0;margin-top:0;width:467.95pt;height:467.95pt;z-index:-251651072;mso-position-horizontal:center;mso-position-horizontal-relative:margin;mso-position-vertical:center;mso-position-vertical-relative:margin" o:allowincell="f">
          <v:imagedata r:id="rId1" o:title="WBG"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0C3959" w14:paraId="58A73C01" w14:textId="77777777" w:rsidTr="003615CB">
      <w:trPr>
        <w:trHeight w:val="162"/>
      </w:trPr>
      <w:tc>
        <w:tcPr>
          <w:tcW w:w="777" w:type="dxa"/>
          <w:vMerge w:val="restart"/>
        </w:tcPr>
        <w:p w14:paraId="7DCFEF36" w14:textId="77777777" w:rsidR="00D936A3" w:rsidRPr="00BF642B" w:rsidRDefault="00B00100" w:rsidP="003615CB">
          <w:pPr>
            <w:pStyle w:val="Header"/>
            <w:rPr>
              <w:b/>
            </w:rPr>
          </w:pPr>
          <w:r w:rsidRPr="00BF642B">
            <w:rPr>
              <w:b/>
              <w:noProof/>
            </w:rPr>
            <w:drawing>
              <wp:inline distT="0" distB="0" distL="0" distR="0" wp14:anchorId="568E8414" wp14:editId="359F8C85">
                <wp:extent cx="295275" cy="28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9598"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2D18F16A" w14:textId="77777777" w:rsidR="00D936A3" w:rsidRDefault="00B00100" w:rsidP="003615CB">
          <w:pPr>
            <w:pStyle w:val="Header"/>
            <w:ind w:left="-108"/>
          </w:pPr>
          <w:r w:rsidRPr="005F6C54">
            <w:rPr>
              <w:b/>
            </w:rPr>
            <w:t>The World Bank</w:t>
          </w:r>
        </w:p>
      </w:tc>
      <w:tc>
        <w:tcPr>
          <w:tcW w:w="5221" w:type="dxa"/>
          <w:vAlign w:val="center"/>
        </w:tcPr>
        <w:p w14:paraId="30F240A8" w14:textId="77777777" w:rsidR="00D936A3" w:rsidRDefault="00D936A3" w:rsidP="003615CB">
          <w:pPr>
            <w:pStyle w:val="Header"/>
            <w:jc w:val="right"/>
          </w:pPr>
        </w:p>
      </w:tc>
    </w:tr>
    <w:tr w:rsidR="000C3959" w14:paraId="4063688E" w14:textId="77777777" w:rsidTr="003615CB">
      <w:trPr>
        <w:trHeight w:val="231"/>
      </w:trPr>
      <w:tc>
        <w:tcPr>
          <w:tcW w:w="777" w:type="dxa"/>
          <w:vMerge/>
        </w:tcPr>
        <w:p w14:paraId="22B5DD70" w14:textId="77777777" w:rsidR="00D936A3" w:rsidRPr="00BF642B" w:rsidRDefault="00D936A3" w:rsidP="003615CB">
          <w:pPr>
            <w:pStyle w:val="Header"/>
            <w:rPr>
              <w:b/>
              <w:noProof/>
            </w:rPr>
          </w:pPr>
        </w:p>
      </w:tc>
      <w:tc>
        <w:tcPr>
          <w:tcW w:w="10439" w:type="dxa"/>
          <w:gridSpan w:val="2"/>
        </w:tcPr>
        <w:p w14:paraId="35FCDAD2" w14:textId="77777777" w:rsidR="00D936A3" w:rsidRPr="006E6C00" w:rsidRDefault="00B00100" w:rsidP="003615CB">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10EA7006" w14:textId="77777777" w:rsidTr="003615CB">
      <w:trPr>
        <w:trHeight w:val="313"/>
      </w:trPr>
      <w:tc>
        <w:tcPr>
          <w:tcW w:w="11216" w:type="dxa"/>
          <w:gridSpan w:val="3"/>
        </w:tcPr>
        <w:p w14:paraId="40AEE741" w14:textId="77777777" w:rsidR="00D936A3" w:rsidRDefault="00B00100" w:rsidP="003615CB">
          <w:pPr>
            <w:pStyle w:val="Header"/>
          </w:pPr>
          <w:r>
            <w:rPr>
              <w:i/>
              <w:noProof/>
              <w:color w:val="44546A" w:themeColor="text2"/>
            </w:rPr>
            <mc:AlternateContent>
              <mc:Choice Requires="wps">
                <w:drawing>
                  <wp:anchor distT="0" distB="0" distL="114300" distR="114300" simplePos="0" relativeHeight="251649024" behindDoc="0" locked="0" layoutInCell="1" allowOverlap="1" wp14:anchorId="7259E260" wp14:editId="44DE8D87">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E924E4" id="Straight Connector 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TySLiYCAABBBAAADgAAAAAAAAAAAAAAAAAuAgAAZHJzL2Uyb0Rv&#10;Yy54bWxQSwECLQAUAAYACAAAACEA6wSuZt4AAAAKAQAADwAAAAAAAAAAAAAAAACABAAAZHJzL2Rv&#10;d25yZXYueG1sUEsFBgAAAAAEAAQA8wAAAIsFAAAAAA==&#10;" strokecolor="#4e92d1" strokeweight="4.5pt"/>
                </w:pict>
              </mc:Fallback>
            </mc:AlternateContent>
          </w:r>
        </w:p>
      </w:tc>
    </w:tr>
  </w:tbl>
  <w:p w14:paraId="0CD84DA1" w14:textId="77777777" w:rsidR="00D936A3" w:rsidRDefault="00D936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60E8" w14:textId="77777777" w:rsidR="00D936A3" w:rsidRDefault="00A90848">
    <w:pPr>
      <w:pStyle w:val="Header"/>
    </w:pPr>
    <w:r>
      <w:rPr>
        <w:noProof/>
      </w:rPr>
      <w:pict w14:anchorId="3685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3089" type="#_x0000_t75" style="position:absolute;margin-left:0;margin-top:0;width:467.95pt;height:467.95pt;z-index:-251652096;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C6651" w14:textId="77777777" w:rsidR="00D936A3" w:rsidRDefault="00A90848">
    <w:pPr>
      <w:pStyle w:val="Header"/>
    </w:pPr>
    <w:r>
      <w:rPr>
        <w:noProof/>
      </w:rPr>
      <w:pict w14:anchorId="4A56A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2" o:spid="_x0000_s3090" type="#_x0000_t75" style="position:absolute;margin-left:0;margin-top:0;width:467.95pt;height:467.95pt;z-index:-251649024;mso-position-horizontal:center;mso-position-horizontal-relative:margin;mso-position-vertical:center;mso-position-vertical-relative:margin" o:allowincell="f">
          <v:imagedata r:id="rId1" o:title="WBG"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0C3959" w14:paraId="72A057D8" w14:textId="77777777" w:rsidTr="003615CB">
      <w:trPr>
        <w:trHeight w:val="162"/>
      </w:trPr>
      <w:tc>
        <w:tcPr>
          <w:tcW w:w="777" w:type="dxa"/>
          <w:vMerge w:val="restart"/>
        </w:tcPr>
        <w:p w14:paraId="4C19A952" w14:textId="77777777" w:rsidR="00D936A3" w:rsidRPr="00BF642B" w:rsidRDefault="00B00100" w:rsidP="003615CB">
          <w:pPr>
            <w:pStyle w:val="Header"/>
            <w:rPr>
              <w:b/>
            </w:rPr>
          </w:pPr>
          <w:r w:rsidRPr="00BF642B">
            <w:rPr>
              <w:b/>
              <w:noProof/>
            </w:rPr>
            <w:drawing>
              <wp:inline distT="0" distB="0" distL="0" distR="0" wp14:anchorId="7A085844" wp14:editId="729C0D4C">
                <wp:extent cx="295275" cy="28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0427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0F8188EE" w14:textId="77777777" w:rsidR="00D936A3" w:rsidRDefault="00B00100" w:rsidP="003615CB">
          <w:pPr>
            <w:pStyle w:val="Header"/>
            <w:ind w:left="-108"/>
          </w:pPr>
          <w:r w:rsidRPr="005F6C54">
            <w:rPr>
              <w:b/>
            </w:rPr>
            <w:t>The World Bank</w:t>
          </w:r>
        </w:p>
      </w:tc>
      <w:tc>
        <w:tcPr>
          <w:tcW w:w="5221" w:type="dxa"/>
          <w:vAlign w:val="center"/>
        </w:tcPr>
        <w:p w14:paraId="776ED9A4" w14:textId="77777777" w:rsidR="00D936A3" w:rsidRDefault="00D936A3" w:rsidP="003615CB">
          <w:pPr>
            <w:pStyle w:val="Header"/>
            <w:jc w:val="right"/>
          </w:pPr>
        </w:p>
      </w:tc>
    </w:tr>
    <w:tr w:rsidR="000C3959" w14:paraId="26EE0372" w14:textId="77777777" w:rsidTr="003615CB">
      <w:trPr>
        <w:trHeight w:val="231"/>
      </w:trPr>
      <w:tc>
        <w:tcPr>
          <w:tcW w:w="777" w:type="dxa"/>
          <w:vMerge/>
        </w:tcPr>
        <w:p w14:paraId="0C56EFA2" w14:textId="77777777" w:rsidR="00D936A3" w:rsidRPr="00BF642B" w:rsidRDefault="00D936A3" w:rsidP="003615CB">
          <w:pPr>
            <w:pStyle w:val="Header"/>
            <w:rPr>
              <w:b/>
              <w:noProof/>
            </w:rPr>
          </w:pPr>
        </w:p>
      </w:tc>
      <w:tc>
        <w:tcPr>
          <w:tcW w:w="10439" w:type="dxa"/>
          <w:gridSpan w:val="2"/>
        </w:tcPr>
        <w:p w14:paraId="7E33DE8F" w14:textId="77777777" w:rsidR="00D936A3" w:rsidRPr="006E6C00" w:rsidRDefault="00B00100" w:rsidP="003615CB">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6865ECE0" w14:textId="77777777" w:rsidTr="003615CB">
      <w:trPr>
        <w:trHeight w:val="313"/>
      </w:trPr>
      <w:tc>
        <w:tcPr>
          <w:tcW w:w="11216" w:type="dxa"/>
          <w:gridSpan w:val="3"/>
        </w:tcPr>
        <w:p w14:paraId="1406EAAF" w14:textId="77777777" w:rsidR="00D936A3" w:rsidRDefault="00B00100" w:rsidP="003615CB">
          <w:pPr>
            <w:pStyle w:val="Header"/>
          </w:pPr>
          <w:r>
            <w:rPr>
              <w:i/>
              <w:noProof/>
              <w:color w:val="44546A" w:themeColor="text2"/>
            </w:rPr>
            <mc:AlternateContent>
              <mc:Choice Requires="wps">
                <w:drawing>
                  <wp:anchor distT="0" distB="0" distL="114300" distR="114300" simplePos="0" relativeHeight="251648000" behindDoc="0" locked="0" layoutInCell="1" allowOverlap="1" wp14:anchorId="016A0A43" wp14:editId="67B71325">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C86BE4" id="Straight Connector 1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293D3B26" w14:textId="77777777" w:rsidR="00D936A3" w:rsidRDefault="00D936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F8F9" w14:textId="77777777" w:rsidR="00D936A3" w:rsidRDefault="00A90848">
    <w:pPr>
      <w:pStyle w:val="Header"/>
    </w:pPr>
    <w:r>
      <w:rPr>
        <w:noProof/>
      </w:rPr>
      <w:pict w14:anchorId="2D998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1" o:spid="_x0000_s3092" type="#_x0000_t75" style="position:absolute;margin-left:0;margin-top:0;width:467.95pt;height:467.95pt;z-index:-251650048;mso-position-horizontal:center;mso-position-horizontal-relative:margin;mso-position-vertical:center;mso-position-vertical-relative:margin" o:allowincell="f">
          <v:imagedata r:id="rId1" o:title="WBG"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3BC0" w14:textId="77777777" w:rsidR="00D936A3" w:rsidRDefault="00D936A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0C3959" w14:paraId="3A4858BC" w14:textId="77777777" w:rsidTr="0037713F">
      <w:trPr>
        <w:trHeight w:val="162"/>
      </w:trPr>
      <w:tc>
        <w:tcPr>
          <w:tcW w:w="777" w:type="dxa"/>
          <w:vMerge w:val="restart"/>
        </w:tcPr>
        <w:p w14:paraId="79CB35B3" w14:textId="77777777" w:rsidR="00D936A3" w:rsidRPr="00BF642B" w:rsidRDefault="00B00100" w:rsidP="0037713F">
          <w:pPr>
            <w:pStyle w:val="Header"/>
            <w:rPr>
              <w:b/>
            </w:rPr>
          </w:pPr>
          <w:r w:rsidRPr="00BF642B">
            <w:rPr>
              <w:b/>
              <w:noProof/>
            </w:rPr>
            <w:drawing>
              <wp:inline distT="0" distB="0" distL="0" distR="0" wp14:anchorId="76B6AF92" wp14:editId="75665A10">
                <wp:extent cx="295275" cy="2894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2922"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03D80B78" w14:textId="77777777" w:rsidR="00D936A3" w:rsidRDefault="00B00100" w:rsidP="0037713F">
          <w:pPr>
            <w:pStyle w:val="Header"/>
            <w:ind w:left="-108"/>
          </w:pPr>
          <w:r w:rsidRPr="005F6C54">
            <w:rPr>
              <w:b/>
            </w:rPr>
            <w:t>The World Bank</w:t>
          </w:r>
        </w:p>
      </w:tc>
      <w:tc>
        <w:tcPr>
          <w:tcW w:w="5221" w:type="dxa"/>
          <w:vAlign w:val="center"/>
        </w:tcPr>
        <w:p w14:paraId="123C9C64" w14:textId="77777777" w:rsidR="00D936A3" w:rsidRDefault="00D936A3" w:rsidP="0037713F">
          <w:pPr>
            <w:pStyle w:val="Header"/>
            <w:jc w:val="right"/>
          </w:pPr>
        </w:p>
      </w:tc>
    </w:tr>
    <w:tr w:rsidR="000C3959" w14:paraId="4CE11E4F" w14:textId="77777777" w:rsidTr="0037713F">
      <w:trPr>
        <w:trHeight w:val="231"/>
      </w:trPr>
      <w:tc>
        <w:tcPr>
          <w:tcW w:w="777" w:type="dxa"/>
          <w:vMerge/>
        </w:tcPr>
        <w:p w14:paraId="0480E4D0" w14:textId="77777777" w:rsidR="00D936A3" w:rsidRPr="00BF642B" w:rsidRDefault="00D936A3" w:rsidP="0037713F">
          <w:pPr>
            <w:pStyle w:val="Header"/>
            <w:rPr>
              <w:b/>
              <w:noProof/>
            </w:rPr>
          </w:pPr>
        </w:p>
      </w:tc>
      <w:tc>
        <w:tcPr>
          <w:tcW w:w="10439" w:type="dxa"/>
          <w:gridSpan w:val="2"/>
        </w:tcPr>
        <w:p w14:paraId="5FD6C219" w14:textId="77777777" w:rsidR="00D936A3" w:rsidRPr="006E6C00" w:rsidRDefault="00B00100" w:rsidP="0037713F">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1167838E" w14:textId="77777777" w:rsidTr="0037713F">
      <w:trPr>
        <w:trHeight w:val="313"/>
      </w:trPr>
      <w:tc>
        <w:tcPr>
          <w:tcW w:w="11216" w:type="dxa"/>
          <w:gridSpan w:val="3"/>
        </w:tcPr>
        <w:p w14:paraId="7354A5BF" w14:textId="77777777" w:rsidR="00D936A3" w:rsidRDefault="00B00100" w:rsidP="0037713F">
          <w:pPr>
            <w:pStyle w:val="Header"/>
          </w:pPr>
          <w:r>
            <w:rPr>
              <w:i/>
              <w:noProof/>
              <w:color w:val="44546A" w:themeColor="text2"/>
            </w:rPr>
            <mc:AlternateContent>
              <mc:Choice Requires="wps">
                <w:drawing>
                  <wp:anchor distT="0" distB="0" distL="114300" distR="114300" simplePos="0" relativeHeight="251655168" behindDoc="0" locked="0" layoutInCell="1" allowOverlap="1" wp14:anchorId="49F55E68" wp14:editId="729A2008">
                    <wp:simplePos x="0" y="0"/>
                    <wp:positionH relativeFrom="column">
                      <wp:posOffset>-30480</wp:posOffset>
                    </wp:positionH>
                    <wp:positionV relativeFrom="paragraph">
                      <wp:posOffset>154306</wp:posOffset>
                    </wp:positionV>
                    <wp:extent cx="7086600" cy="0"/>
                    <wp:effectExtent l="0" t="19050" r="38100" b="381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94F23A" id="Straight Connector 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15pt" to="555.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" strokecolor="#4e92d1" strokeweight="4.5pt"/>
                </w:pict>
              </mc:Fallback>
            </mc:AlternateContent>
          </w:r>
        </w:p>
      </w:tc>
    </w:tr>
  </w:tbl>
  <w:p w14:paraId="4B2E991B" w14:textId="77777777" w:rsidR="00D936A3" w:rsidRDefault="00D93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0C3959" w14:paraId="5B579922" w14:textId="77777777" w:rsidTr="003A7B11">
      <w:trPr>
        <w:trHeight w:val="162"/>
      </w:trPr>
      <w:tc>
        <w:tcPr>
          <w:tcW w:w="777" w:type="dxa"/>
          <w:vMerge w:val="restart"/>
          <w:shd w:val="clear" w:color="auto" w:fill="auto"/>
        </w:tcPr>
        <w:p w14:paraId="27F799AA" w14:textId="77777777" w:rsidR="00D936A3" w:rsidRPr="00DA0E7E" w:rsidRDefault="00B00100" w:rsidP="003A7B11">
          <w:pPr>
            <w:pStyle w:val="Header"/>
            <w:rPr>
              <w:b/>
            </w:rPr>
          </w:pPr>
          <w:r w:rsidRPr="00DA0E7E">
            <w:rPr>
              <w:b/>
              <w:noProof/>
            </w:rPr>
            <w:drawing>
              <wp:inline distT="0" distB="0" distL="0" distR="0" wp14:anchorId="19D7563D" wp14:editId="51DD88F0">
                <wp:extent cx="29527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35475"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p>
      </w:tc>
      <w:tc>
        <w:tcPr>
          <w:tcW w:w="5218" w:type="dxa"/>
          <w:shd w:val="clear" w:color="auto" w:fill="auto"/>
          <w:vAlign w:val="center"/>
        </w:tcPr>
        <w:p w14:paraId="60CED4D0" w14:textId="77777777" w:rsidR="00D936A3" w:rsidRDefault="00B00100" w:rsidP="003A7B11">
          <w:pPr>
            <w:pStyle w:val="Header"/>
            <w:ind w:left="-108"/>
            <w:rPr>
              <w:b/>
            </w:rPr>
          </w:pPr>
          <w:r w:rsidRPr="00DA0E7E">
            <w:rPr>
              <w:b/>
            </w:rPr>
            <w:t>The World Bank</w:t>
          </w:r>
        </w:p>
        <w:p w14:paraId="79C72965" w14:textId="77777777" w:rsidR="00D936A3" w:rsidRPr="00DA0E7E" w:rsidRDefault="00D936A3" w:rsidP="003A7B11">
          <w:pPr>
            <w:pStyle w:val="Header"/>
            <w:ind w:left="-108"/>
          </w:pPr>
        </w:p>
      </w:tc>
      <w:tc>
        <w:tcPr>
          <w:tcW w:w="5221" w:type="dxa"/>
          <w:shd w:val="clear" w:color="auto" w:fill="auto"/>
          <w:vAlign w:val="center"/>
        </w:tcPr>
        <w:p w14:paraId="688BEEDE" w14:textId="77777777" w:rsidR="00D936A3" w:rsidRPr="00DA0E7E" w:rsidRDefault="00D936A3" w:rsidP="003A7B11">
          <w:pPr>
            <w:pStyle w:val="Header"/>
            <w:jc w:val="right"/>
          </w:pPr>
        </w:p>
      </w:tc>
    </w:tr>
    <w:tr w:rsidR="000C3959" w14:paraId="1667369E" w14:textId="77777777" w:rsidTr="003A7B11">
      <w:trPr>
        <w:trHeight w:val="231"/>
      </w:trPr>
      <w:tc>
        <w:tcPr>
          <w:tcW w:w="777" w:type="dxa"/>
          <w:vMerge/>
          <w:shd w:val="clear" w:color="auto" w:fill="auto"/>
        </w:tcPr>
        <w:p w14:paraId="4A9A8910" w14:textId="77777777" w:rsidR="00D936A3" w:rsidRPr="00DA0E7E" w:rsidRDefault="00D936A3" w:rsidP="003A7B11">
          <w:pPr>
            <w:pStyle w:val="Header"/>
            <w:rPr>
              <w:b/>
              <w:noProof/>
            </w:rPr>
          </w:pPr>
        </w:p>
      </w:tc>
      <w:tc>
        <w:tcPr>
          <w:tcW w:w="10439" w:type="dxa"/>
          <w:gridSpan w:val="2"/>
          <w:shd w:val="clear" w:color="auto" w:fill="auto"/>
        </w:tcPr>
        <w:p w14:paraId="2589113E" w14:textId="77777777" w:rsidR="00D936A3" w:rsidRPr="00DA0E7E" w:rsidRDefault="00D936A3" w:rsidP="003A7B11">
          <w:pPr>
            <w:pStyle w:val="Header"/>
            <w:ind w:left="-108"/>
            <w:rPr>
              <w:bCs/>
              <w:noProof/>
              <w:sz w:val="20"/>
              <w:szCs w:val="20"/>
            </w:rPr>
          </w:pPr>
        </w:p>
      </w:tc>
    </w:tr>
    <w:tr w:rsidR="000C3959" w14:paraId="71366CED" w14:textId="77777777" w:rsidTr="003A7B11">
      <w:trPr>
        <w:trHeight w:val="313"/>
      </w:trPr>
      <w:tc>
        <w:tcPr>
          <w:tcW w:w="11216" w:type="dxa"/>
          <w:gridSpan w:val="3"/>
          <w:shd w:val="clear" w:color="auto" w:fill="auto"/>
        </w:tcPr>
        <w:p w14:paraId="10A6FCA1" w14:textId="77777777" w:rsidR="00D936A3" w:rsidRPr="00DA0E7E" w:rsidRDefault="00B00100" w:rsidP="003A7B11">
          <w:pPr>
            <w:pStyle w:val="Header"/>
          </w:pPr>
          <w:r w:rsidRPr="00DA0E7E">
            <w:rPr>
              <w:i/>
              <w:noProof/>
              <w:color w:val="44546A"/>
            </w:rPr>
            <mc:AlternateContent>
              <mc:Choice Requires="wps">
                <w:drawing>
                  <wp:anchor distT="0" distB="0" distL="114300" distR="114300" simplePos="0" relativeHeight="251653120" behindDoc="0" locked="0" layoutInCell="1" allowOverlap="1" wp14:anchorId="1E4FA2BC" wp14:editId="3ADB36B4">
                    <wp:simplePos x="0" y="0"/>
                    <wp:positionH relativeFrom="column">
                      <wp:posOffset>24185</wp:posOffset>
                    </wp:positionH>
                    <wp:positionV relativeFrom="paragraph">
                      <wp:posOffset>119352</wp:posOffset>
                    </wp:positionV>
                    <wp:extent cx="6917635" cy="0"/>
                    <wp:effectExtent l="0" t="19050" r="55245"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63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164371" id="Straight Connector 3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9.4pt" to="546.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" strokecolor="#4e92d1" strokeweight="4.5pt"/>
                </w:pict>
              </mc:Fallback>
            </mc:AlternateContent>
          </w:r>
        </w:p>
      </w:tc>
    </w:tr>
  </w:tbl>
  <w:p w14:paraId="4FFDA207" w14:textId="77777777" w:rsidR="00D936A3" w:rsidRDefault="00A90848" w:rsidP="003A7B11">
    <w:pPr>
      <w:pStyle w:val="Header"/>
    </w:pPr>
    <w:r>
      <w:rPr>
        <w:noProof/>
      </w:rPr>
      <w:pict w14:anchorId="01431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8" o:spid="_x0000_s3075" type="#_x0000_t75" style="position:absolute;margin-left:0;margin-top:0;width:467.95pt;height:467.95pt;z-index:-251657216;mso-position-horizontal:center;mso-position-horizontal-relative:margin;mso-position-vertical:center;mso-position-vertical-relative:margin" o:allowincell="f">
          <v:imagedata r:id="rId2" o:title="WBG"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11F9" w14:textId="77777777" w:rsidR="00D936A3" w:rsidRDefault="00D936A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931F8" w14:textId="77777777" w:rsidR="00D936A3" w:rsidRDefault="00A90848">
    <w:pPr>
      <w:pStyle w:val="Header"/>
    </w:pPr>
    <w:r>
      <w:rPr>
        <w:noProof/>
      </w:rPr>
      <w:pict w14:anchorId="2C7AB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5" o:spid="_x0000_s3095" type="#_x0000_t75" style="position:absolute;margin-left:0;margin-top:0;width:467.95pt;height:467.95pt;z-index:-251646976;mso-position-horizontal:center;mso-position-horizontal-relative:margin;mso-position-vertical:center;mso-position-vertical-relative:margin" o:allowincell="f">
          <v:imagedata r:id="rId1" o:title="WBG" gain="19661f" blacklevel="22938f"/>
          <w10:wrap anchorx="margin" anchory="margin"/>
        </v:shape>
      </w:pict>
    </w:r>
  </w:p>
  <w:p w14:paraId="57FEBC8D" w14:textId="77777777" w:rsidR="00D936A3" w:rsidRDefault="00D936A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0C3959" w14:paraId="3A7DCFB7" w14:textId="77777777" w:rsidTr="003615CB">
      <w:trPr>
        <w:trHeight w:val="162"/>
      </w:trPr>
      <w:tc>
        <w:tcPr>
          <w:tcW w:w="777" w:type="dxa"/>
          <w:vMerge w:val="restart"/>
        </w:tcPr>
        <w:p w14:paraId="6FA78943" w14:textId="77777777" w:rsidR="00D936A3" w:rsidRPr="00BF642B" w:rsidRDefault="00B00100" w:rsidP="003615CB">
          <w:pPr>
            <w:pStyle w:val="Header"/>
            <w:rPr>
              <w:b/>
            </w:rPr>
          </w:pPr>
          <w:r w:rsidRPr="00BF642B">
            <w:rPr>
              <w:b/>
              <w:noProof/>
            </w:rPr>
            <w:drawing>
              <wp:inline distT="0" distB="0" distL="0" distR="0" wp14:anchorId="7A748A6D" wp14:editId="2AFC5E22">
                <wp:extent cx="295275" cy="289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471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0949D11F" w14:textId="77777777" w:rsidR="00D936A3" w:rsidRDefault="00B00100" w:rsidP="003615CB">
          <w:pPr>
            <w:pStyle w:val="Header"/>
            <w:ind w:left="-108"/>
          </w:pPr>
          <w:r w:rsidRPr="005F6C54">
            <w:rPr>
              <w:b/>
            </w:rPr>
            <w:t>The World Bank</w:t>
          </w:r>
        </w:p>
      </w:tc>
      <w:tc>
        <w:tcPr>
          <w:tcW w:w="5221" w:type="dxa"/>
          <w:vAlign w:val="center"/>
        </w:tcPr>
        <w:p w14:paraId="6FE83673" w14:textId="77777777" w:rsidR="00D936A3" w:rsidRDefault="00D936A3" w:rsidP="003615CB">
          <w:pPr>
            <w:pStyle w:val="Header"/>
            <w:jc w:val="right"/>
          </w:pPr>
        </w:p>
      </w:tc>
    </w:tr>
    <w:tr w:rsidR="000C3959" w14:paraId="53857D81" w14:textId="77777777" w:rsidTr="003615CB">
      <w:trPr>
        <w:trHeight w:val="231"/>
      </w:trPr>
      <w:tc>
        <w:tcPr>
          <w:tcW w:w="777" w:type="dxa"/>
          <w:vMerge/>
        </w:tcPr>
        <w:p w14:paraId="079675BA" w14:textId="77777777" w:rsidR="00D936A3" w:rsidRPr="00BF642B" w:rsidRDefault="00D936A3" w:rsidP="003615CB">
          <w:pPr>
            <w:pStyle w:val="Header"/>
            <w:rPr>
              <w:b/>
              <w:noProof/>
            </w:rPr>
          </w:pPr>
        </w:p>
      </w:tc>
      <w:tc>
        <w:tcPr>
          <w:tcW w:w="10439" w:type="dxa"/>
          <w:gridSpan w:val="2"/>
        </w:tcPr>
        <w:p w14:paraId="322F16AB" w14:textId="77777777" w:rsidR="00D936A3" w:rsidRPr="006E6C00" w:rsidRDefault="00B00100" w:rsidP="003615CB">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2214F6EF" w14:textId="77777777" w:rsidTr="003615CB">
      <w:trPr>
        <w:trHeight w:val="313"/>
      </w:trPr>
      <w:tc>
        <w:tcPr>
          <w:tcW w:w="11216" w:type="dxa"/>
          <w:gridSpan w:val="3"/>
        </w:tcPr>
        <w:p w14:paraId="432CA078" w14:textId="77777777" w:rsidR="00D936A3" w:rsidRDefault="00B00100" w:rsidP="003615CB">
          <w:pPr>
            <w:pStyle w:val="Header"/>
          </w:pPr>
          <w:r w:rsidRPr="002E1A3F">
            <w:rPr>
              <w:i/>
              <w:noProof/>
              <w:color w:val="44546A"/>
            </w:rPr>
            <mc:AlternateContent>
              <mc:Choice Requires="wps">
                <w:drawing>
                  <wp:anchor distT="0" distB="0" distL="114300" distR="114300" simplePos="0" relativeHeight="251652096" behindDoc="0" locked="0" layoutInCell="1" allowOverlap="1" wp14:anchorId="7541004D" wp14:editId="2EB40D07">
                    <wp:simplePos x="0" y="0"/>
                    <wp:positionH relativeFrom="column">
                      <wp:posOffset>-30480</wp:posOffset>
                    </wp:positionH>
                    <wp:positionV relativeFrom="paragraph">
                      <wp:posOffset>154306</wp:posOffset>
                    </wp:positionV>
                    <wp:extent cx="70866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7F0A33" id="Straight Connector 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15pt" to="555.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" strokecolor="#4e92d1" strokeweight="4.5pt"/>
                </w:pict>
              </mc:Fallback>
            </mc:AlternateContent>
          </w:r>
        </w:p>
      </w:tc>
    </w:tr>
  </w:tbl>
  <w:p w14:paraId="1951F26A" w14:textId="77777777" w:rsidR="00D936A3" w:rsidRDefault="00D936A3">
    <w:pPr>
      <w:pStyle w:val="Header"/>
    </w:pPr>
  </w:p>
  <w:p w14:paraId="77CD79D6" w14:textId="77777777" w:rsidR="00D936A3" w:rsidRDefault="00D936A3"/>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0CB1B" w14:textId="77777777" w:rsidR="00D936A3" w:rsidRDefault="00A90848">
    <w:pPr>
      <w:pStyle w:val="Header"/>
    </w:pPr>
    <w:r>
      <w:rPr>
        <w:noProof/>
      </w:rPr>
      <w:pict w14:anchorId="7E2D2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4" o:spid="_x0000_s3098" type="#_x0000_t75" style="position:absolute;margin-left:0;margin-top:0;width:467.95pt;height:467.95pt;z-index:-251648000;mso-position-horizontal:center;mso-position-horizontal-relative:margin;mso-position-vertical:center;mso-position-vertical-relative:margin" o:allowincell="f">
          <v:imagedata r:id="rId1" o:title="WB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A967" w14:textId="77777777" w:rsidR="00D936A3" w:rsidRDefault="00A90848">
    <w:pPr>
      <w:pStyle w:val="Header"/>
    </w:pPr>
    <w:r>
      <w:rPr>
        <w:noProof/>
      </w:rPr>
      <w:pict w14:anchorId="067C0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3076" type="#_x0000_t75" style="position:absolute;margin-left:-45.75pt;margin-top:128.25pt;width:375.45pt;height:501.6pt;z-index:-251645952;mso-position-horizontal-relative:margin;mso-position-vertical-relative:margin" o:allowincell="f">
          <v:imagedata r:id="rId1" o:title="Test Watermark-new" gain="19661f" blacklevel="22938f"/>
          <w10:wrap anchorx="margin" anchory="margin"/>
        </v:shape>
      </w:pict>
    </w:r>
    <w:r w:rsidR="00B00100">
      <w:tab/>
    </w:r>
    <w:r w:rsidR="00B00100">
      <w:rPr>
        <w:noProof/>
      </w:rPr>
      <w:drawing>
        <wp:inline distT="0" distB="0" distL="0" distR="0" wp14:anchorId="5FDDB0B5" wp14:editId="06CE773A">
          <wp:extent cx="1400175" cy="800100"/>
          <wp:effectExtent l="0" t="0" r="9525" b="0"/>
          <wp:docPr id="45" name="Picture 45"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91303"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62BE9" w14:textId="77777777" w:rsidR="00D936A3" w:rsidRDefault="00A90848">
    <w:pPr>
      <w:pStyle w:val="Header"/>
    </w:pPr>
    <w:r>
      <w:rPr>
        <w:noProof/>
      </w:rPr>
      <w:pict w14:anchorId="28BC1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3" o:spid="_x0000_s3077" type="#_x0000_t75" style="position:absolute;margin-left:0;margin-top:0;width:467.95pt;height:467.95pt;z-index:-251655168;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3927B" w14:textId="77777777" w:rsidR="00D936A3" w:rsidRDefault="00D936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3A4C" w14:textId="77777777" w:rsidR="00D936A3" w:rsidRDefault="00A90848">
    <w:pPr>
      <w:pStyle w:val="Header"/>
    </w:pPr>
    <w:r>
      <w:rPr>
        <w:noProof/>
      </w:rPr>
      <w:pict w14:anchorId="5233D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2" o:spid="_x0000_s3078" type="#_x0000_t75" style="position:absolute;margin-left:0;margin-top:0;width:467.95pt;height:467.95pt;z-index:-251656192;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7CF9" w14:textId="77777777" w:rsidR="00D936A3" w:rsidRDefault="00A90848">
    <w:pPr>
      <w:pStyle w:val="Header"/>
    </w:pPr>
    <w:r>
      <w:rPr>
        <w:noProof/>
      </w:rPr>
      <w:pict w14:anchorId="2972F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6" o:spid="_x0000_s3079" type="#_x0000_t75" style="position:absolute;margin-left:0;margin-top:0;width:467.95pt;height:467.95pt;z-index:-251653120;mso-position-horizontal:center;mso-position-horizontal-relative:margin;mso-position-vertical:center;mso-position-vertical-relative:margin" o:allowincell="f">
          <v:imagedata r:id="rId1" o:title="WB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jc w:val="center"/>
      <w:tblBorders>
        <w:top w:val="nil"/>
        <w:left w:val="nil"/>
        <w:bottom w:val="nil"/>
        <w:right w:val="nil"/>
        <w:insideH w:val="nil"/>
        <w:insideV w:val="nil"/>
      </w:tblBorders>
      <w:tblLayout w:type="fixed"/>
      <w:tblLook w:val="04A0" w:firstRow="1" w:lastRow="0" w:firstColumn="1" w:lastColumn="0" w:noHBand="0" w:noVBand="1"/>
    </w:tblPr>
    <w:tblGrid>
      <w:gridCol w:w="720"/>
      <w:gridCol w:w="5815"/>
      <w:gridCol w:w="4715"/>
    </w:tblGrid>
    <w:tr w:rsidR="000C3959" w14:paraId="7EADA0ED" w14:textId="77777777" w:rsidTr="00374CFA">
      <w:trPr>
        <w:trHeight w:val="162"/>
        <w:jc w:val="center"/>
      </w:trPr>
      <w:tc>
        <w:tcPr>
          <w:tcW w:w="720" w:type="dxa"/>
          <w:vMerge w:val="restart"/>
        </w:tcPr>
        <w:p w14:paraId="5230C1B1" w14:textId="77777777" w:rsidR="00D936A3" w:rsidRPr="00BF642B" w:rsidRDefault="00B00100" w:rsidP="003615CB">
          <w:pPr>
            <w:pStyle w:val="Header"/>
            <w:rPr>
              <w:b/>
            </w:rPr>
          </w:pPr>
          <w:r w:rsidRPr="00BF642B">
            <w:rPr>
              <w:b/>
              <w:noProof/>
            </w:rPr>
            <w:drawing>
              <wp:inline distT="0" distB="0" distL="0" distR="0" wp14:anchorId="3A00AC9C" wp14:editId="39C0ABC3">
                <wp:extent cx="295275" cy="28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3181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815" w:type="dxa"/>
          <w:vAlign w:val="center"/>
        </w:tcPr>
        <w:p w14:paraId="33838BAD" w14:textId="77777777" w:rsidR="00D936A3" w:rsidRDefault="00B00100" w:rsidP="003615CB">
          <w:pPr>
            <w:pStyle w:val="Header"/>
            <w:ind w:left="-108"/>
          </w:pPr>
          <w:r w:rsidRPr="005F6C54">
            <w:rPr>
              <w:b/>
            </w:rPr>
            <w:t>The World Bank</w:t>
          </w:r>
        </w:p>
      </w:tc>
      <w:tc>
        <w:tcPr>
          <w:tcW w:w="4715" w:type="dxa"/>
          <w:vAlign w:val="center"/>
        </w:tcPr>
        <w:p w14:paraId="589246A9" w14:textId="77777777" w:rsidR="00D936A3" w:rsidRDefault="00D936A3" w:rsidP="003615CB">
          <w:pPr>
            <w:pStyle w:val="Header"/>
            <w:jc w:val="right"/>
          </w:pPr>
        </w:p>
      </w:tc>
    </w:tr>
    <w:tr w:rsidR="000C3959" w14:paraId="2DF9B2ED" w14:textId="77777777" w:rsidTr="00374CFA">
      <w:trPr>
        <w:trHeight w:val="231"/>
        <w:jc w:val="center"/>
      </w:trPr>
      <w:tc>
        <w:tcPr>
          <w:tcW w:w="720" w:type="dxa"/>
          <w:vMerge/>
        </w:tcPr>
        <w:p w14:paraId="660394A3" w14:textId="77777777" w:rsidR="00D936A3" w:rsidRPr="00BF642B" w:rsidRDefault="00D936A3" w:rsidP="003615CB">
          <w:pPr>
            <w:pStyle w:val="Header"/>
            <w:rPr>
              <w:b/>
              <w:noProof/>
            </w:rPr>
          </w:pPr>
        </w:p>
      </w:tc>
      <w:tc>
        <w:tcPr>
          <w:tcW w:w="10530" w:type="dxa"/>
          <w:gridSpan w:val="2"/>
        </w:tcPr>
        <w:p w14:paraId="326A2AD3" w14:textId="77777777" w:rsidR="00D936A3" w:rsidRPr="006E6C00" w:rsidRDefault="00B00100" w:rsidP="003615CB">
          <w:pPr>
            <w:pStyle w:val="Header"/>
            <w:ind w:left="-108"/>
            <w:rPr>
              <w:bCs/>
              <w:noProof/>
              <w:sz w:val="20"/>
              <w:szCs w:val="20"/>
            </w:rPr>
          </w:pPr>
          <w:r>
            <w:rPr>
              <w:bCs/>
              <w:noProof/>
              <w:sz w:val="20"/>
              <w:szCs w:val="20"/>
            </w:rPr>
            <w:t>Second Africa Higher Education Centers of Excellence for Development Impact</w:t>
          </w:r>
          <w:r>
            <w:rPr>
              <w:bCs/>
              <w:sz w:val="20"/>
              <w:szCs w:val="20"/>
            </w:rPr>
            <w:t xml:space="preserve"> (</w:t>
          </w:r>
          <w:r>
            <w:rPr>
              <w:bCs/>
              <w:noProof/>
              <w:sz w:val="20"/>
              <w:szCs w:val="20"/>
            </w:rPr>
            <w:t>P169064</w:t>
          </w:r>
          <w:r w:rsidRPr="006435B1">
            <w:rPr>
              <w:bCs/>
              <w:sz w:val="20"/>
              <w:szCs w:val="20"/>
            </w:rPr>
            <w:t>)</w:t>
          </w:r>
        </w:p>
      </w:tc>
    </w:tr>
    <w:tr w:rsidR="000C3959" w14:paraId="65D138D8" w14:textId="77777777" w:rsidTr="00374CFA">
      <w:trPr>
        <w:trHeight w:val="313"/>
        <w:jc w:val="center"/>
      </w:trPr>
      <w:tc>
        <w:tcPr>
          <w:tcW w:w="11250" w:type="dxa"/>
          <w:gridSpan w:val="3"/>
        </w:tcPr>
        <w:p w14:paraId="5F51F281" w14:textId="77777777" w:rsidR="00D936A3" w:rsidRDefault="00B00100" w:rsidP="003615CB">
          <w:pPr>
            <w:pStyle w:val="Header"/>
          </w:pPr>
          <w:r>
            <w:rPr>
              <w:i/>
              <w:noProof/>
              <w:color w:val="44546A" w:themeColor="text2"/>
            </w:rPr>
            <mc:AlternateContent>
              <mc:Choice Requires="wps">
                <w:drawing>
                  <wp:anchor distT="0" distB="0" distL="114300" distR="114300" simplePos="0" relativeHeight="251651072" behindDoc="0" locked="0" layoutInCell="1" allowOverlap="1" wp14:anchorId="357CB05B" wp14:editId="2F8A1A74">
                    <wp:simplePos x="0" y="0"/>
                    <wp:positionH relativeFrom="column">
                      <wp:posOffset>-40006</wp:posOffset>
                    </wp:positionH>
                    <wp:positionV relativeFrom="paragraph">
                      <wp:posOffset>87630</wp:posOffset>
                    </wp:positionV>
                    <wp:extent cx="69437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2A4B7A" id="Straight Connector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6.9pt" to="54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" strokecolor="#4e92d1" strokeweight="4.5pt"/>
                </w:pict>
              </mc:Fallback>
            </mc:AlternateContent>
          </w:r>
        </w:p>
      </w:tc>
    </w:tr>
  </w:tbl>
  <w:p w14:paraId="267EAB95" w14:textId="77777777" w:rsidR="00D936A3" w:rsidRDefault="00D936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84A9" w14:textId="77777777" w:rsidR="00D936A3" w:rsidRDefault="00A90848">
    <w:pPr>
      <w:pStyle w:val="Header"/>
    </w:pPr>
    <w:r>
      <w:rPr>
        <w:noProof/>
      </w:rPr>
      <w:pict w14:anchorId="40685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5" o:spid="_x0000_s3081" type="#_x0000_t75" style="position:absolute;margin-left:0;margin-top:0;width:467.95pt;height:467.95pt;z-index:-251654144;mso-position-horizontal:center;mso-position-horizontal-relative:margin;mso-position-vertical:center;mso-position-vertical-relative:margin" o:allowincell="f">
          <v:imagedata r:id="rId1" o:title="WB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2DE6"/>
    <w:multiLevelType w:val="hybridMultilevel"/>
    <w:tmpl w:val="F5625AA6"/>
    <w:lvl w:ilvl="0" w:tplc="B28A07B2">
      <w:start w:val="1"/>
      <w:numFmt w:val="bullet"/>
      <w:lvlText w:val=""/>
      <w:lvlJc w:val="left"/>
      <w:pPr>
        <w:ind w:left="576" w:firstLine="0"/>
      </w:pPr>
      <w:rPr>
        <w:rFonts w:ascii="Symbol" w:hAnsi="Symbol" w:hint="default"/>
      </w:rPr>
    </w:lvl>
    <w:lvl w:ilvl="1" w:tplc="701EB288" w:tentative="1">
      <w:start w:val="1"/>
      <w:numFmt w:val="bullet"/>
      <w:lvlText w:val="o"/>
      <w:lvlJc w:val="left"/>
      <w:pPr>
        <w:ind w:left="1370" w:hanging="360"/>
      </w:pPr>
      <w:rPr>
        <w:rFonts w:ascii="Courier New" w:hAnsi="Courier New" w:cs="Courier New" w:hint="default"/>
      </w:rPr>
    </w:lvl>
    <w:lvl w:ilvl="2" w:tplc="B23421EA" w:tentative="1">
      <w:start w:val="1"/>
      <w:numFmt w:val="bullet"/>
      <w:lvlText w:val=""/>
      <w:lvlJc w:val="left"/>
      <w:pPr>
        <w:ind w:left="2090" w:hanging="360"/>
      </w:pPr>
      <w:rPr>
        <w:rFonts w:ascii="Wingdings" w:hAnsi="Wingdings" w:hint="default"/>
      </w:rPr>
    </w:lvl>
    <w:lvl w:ilvl="3" w:tplc="5D701014" w:tentative="1">
      <w:start w:val="1"/>
      <w:numFmt w:val="bullet"/>
      <w:lvlText w:val=""/>
      <w:lvlJc w:val="left"/>
      <w:pPr>
        <w:ind w:left="2810" w:hanging="360"/>
      </w:pPr>
      <w:rPr>
        <w:rFonts w:ascii="Symbol" w:hAnsi="Symbol" w:hint="default"/>
      </w:rPr>
    </w:lvl>
    <w:lvl w:ilvl="4" w:tplc="4D1483E6" w:tentative="1">
      <w:start w:val="1"/>
      <w:numFmt w:val="bullet"/>
      <w:lvlText w:val="o"/>
      <w:lvlJc w:val="left"/>
      <w:pPr>
        <w:ind w:left="3530" w:hanging="360"/>
      </w:pPr>
      <w:rPr>
        <w:rFonts w:ascii="Courier New" w:hAnsi="Courier New" w:cs="Courier New" w:hint="default"/>
      </w:rPr>
    </w:lvl>
    <w:lvl w:ilvl="5" w:tplc="9D16D230" w:tentative="1">
      <w:start w:val="1"/>
      <w:numFmt w:val="bullet"/>
      <w:lvlText w:val=""/>
      <w:lvlJc w:val="left"/>
      <w:pPr>
        <w:ind w:left="4250" w:hanging="360"/>
      </w:pPr>
      <w:rPr>
        <w:rFonts w:ascii="Wingdings" w:hAnsi="Wingdings" w:hint="default"/>
      </w:rPr>
    </w:lvl>
    <w:lvl w:ilvl="6" w:tplc="2C18F4E4" w:tentative="1">
      <w:start w:val="1"/>
      <w:numFmt w:val="bullet"/>
      <w:lvlText w:val=""/>
      <w:lvlJc w:val="left"/>
      <w:pPr>
        <w:ind w:left="4970" w:hanging="360"/>
      </w:pPr>
      <w:rPr>
        <w:rFonts w:ascii="Symbol" w:hAnsi="Symbol" w:hint="default"/>
      </w:rPr>
    </w:lvl>
    <w:lvl w:ilvl="7" w:tplc="93129706" w:tentative="1">
      <w:start w:val="1"/>
      <w:numFmt w:val="bullet"/>
      <w:lvlText w:val="o"/>
      <w:lvlJc w:val="left"/>
      <w:pPr>
        <w:ind w:left="5690" w:hanging="360"/>
      </w:pPr>
      <w:rPr>
        <w:rFonts w:ascii="Courier New" w:hAnsi="Courier New" w:cs="Courier New" w:hint="default"/>
      </w:rPr>
    </w:lvl>
    <w:lvl w:ilvl="8" w:tplc="3A50A020" w:tentative="1">
      <w:start w:val="1"/>
      <w:numFmt w:val="bullet"/>
      <w:lvlText w:val=""/>
      <w:lvlJc w:val="left"/>
      <w:pPr>
        <w:ind w:left="6410" w:hanging="360"/>
      </w:pPr>
      <w:rPr>
        <w:rFonts w:ascii="Wingdings" w:hAnsi="Wingdings" w:hint="default"/>
      </w:rPr>
    </w:lvl>
  </w:abstractNum>
  <w:abstractNum w:abstractNumId="1" w15:restartNumberingAfterBreak="0">
    <w:nsid w:val="026B63D5"/>
    <w:multiLevelType w:val="hybridMultilevel"/>
    <w:tmpl w:val="2CD669E2"/>
    <w:lvl w:ilvl="0" w:tplc="2B3AD970">
      <w:start w:val="1"/>
      <w:numFmt w:val="upperLetter"/>
      <w:lvlText w:val="%1."/>
      <w:lvlJc w:val="left"/>
      <w:pPr>
        <w:ind w:left="1599" w:hanging="360"/>
      </w:pPr>
    </w:lvl>
    <w:lvl w:ilvl="1" w:tplc="288AA978" w:tentative="1">
      <w:start w:val="1"/>
      <w:numFmt w:val="lowerLetter"/>
      <w:lvlText w:val="%2."/>
      <w:lvlJc w:val="left"/>
      <w:pPr>
        <w:ind w:left="2319" w:hanging="360"/>
      </w:pPr>
    </w:lvl>
    <w:lvl w:ilvl="2" w:tplc="E46A3A56">
      <w:start w:val="1"/>
      <w:numFmt w:val="upperLetter"/>
      <w:lvlText w:val="%3."/>
      <w:lvlJc w:val="left"/>
      <w:pPr>
        <w:ind w:left="990" w:hanging="180"/>
      </w:pPr>
    </w:lvl>
    <w:lvl w:ilvl="3" w:tplc="67CA12AC" w:tentative="1">
      <w:start w:val="1"/>
      <w:numFmt w:val="decimal"/>
      <w:lvlText w:val="%4."/>
      <w:lvlJc w:val="left"/>
      <w:pPr>
        <w:ind w:left="3759" w:hanging="360"/>
      </w:pPr>
    </w:lvl>
    <w:lvl w:ilvl="4" w:tplc="A0E62722" w:tentative="1">
      <w:start w:val="1"/>
      <w:numFmt w:val="lowerLetter"/>
      <w:lvlText w:val="%5."/>
      <w:lvlJc w:val="left"/>
      <w:pPr>
        <w:ind w:left="4479" w:hanging="360"/>
      </w:pPr>
    </w:lvl>
    <w:lvl w:ilvl="5" w:tplc="C22810AC" w:tentative="1">
      <w:start w:val="1"/>
      <w:numFmt w:val="lowerRoman"/>
      <w:lvlText w:val="%6."/>
      <w:lvlJc w:val="right"/>
      <w:pPr>
        <w:ind w:left="5199" w:hanging="180"/>
      </w:pPr>
    </w:lvl>
    <w:lvl w:ilvl="6" w:tplc="F664DF9C" w:tentative="1">
      <w:start w:val="1"/>
      <w:numFmt w:val="decimal"/>
      <w:lvlText w:val="%7."/>
      <w:lvlJc w:val="left"/>
      <w:pPr>
        <w:ind w:left="5919" w:hanging="360"/>
      </w:pPr>
    </w:lvl>
    <w:lvl w:ilvl="7" w:tplc="E8D602B6" w:tentative="1">
      <w:start w:val="1"/>
      <w:numFmt w:val="lowerLetter"/>
      <w:lvlText w:val="%8."/>
      <w:lvlJc w:val="left"/>
      <w:pPr>
        <w:ind w:left="6639" w:hanging="360"/>
      </w:pPr>
    </w:lvl>
    <w:lvl w:ilvl="8" w:tplc="593EFD36" w:tentative="1">
      <w:start w:val="1"/>
      <w:numFmt w:val="lowerRoman"/>
      <w:lvlText w:val="%9."/>
      <w:lvlJc w:val="right"/>
      <w:pPr>
        <w:ind w:left="7359" w:hanging="180"/>
      </w:pPr>
    </w:lvl>
  </w:abstractNum>
  <w:abstractNum w:abstractNumId="2" w15:restartNumberingAfterBreak="0">
    <w:nsid w:val="037E3A68"/>
    <w:multiLevelType w:val="hybridMultilevel"/>
    <w:tmpl w:val="D3FC05EE"/>
    <w:lvl w:ilvl="0" w:tplc="6BAE5A5C">
      <w:start w:val="1"/>
      <w:numFmt w:val="bullet"/>
      <w:lvlText w:val=""/>
      <w:lvlJc w:val="left"/>
      <w:pPr>
        <w:ind w:left="1440" w:hanging="360"/>
      </w:pPr>
      <w:rPr>
        <w:rFonts w:ascii="Symbol" w:hAnsi="Symbol" w:hint="default"/>
      </w:rPr>
    </w:lvl>
    <w:lvl w:ilvl="1" w:tplc="FB7671D4" w:tentative="1">
      <w:start w:val="1"/>
      <w:numFmt w:val="bullet"/>
      <w:lvlText w:val="o"/>
      <w:lvlJc w:val="left"/>
      <w:pPr>
        <w:ind w:left="2160" w:hanging="360"/>
      </w:pPr>
      <w:rPr>
        <w:rFonts w:ascii="Courier New" w:hAnsi="Courier New" w:cs="Courier New" w:hint="default"/>
      </w:rPr>
    </w:lvl>
    <w:lvl w:ilvl="2" w:tplc="6C5C8844" w:tentative="1">
      <w:start w:val="1"/>
      <w:numFmt w:val="bullet"/>
      <w:lvlText w:val=""/>
      <w:lvlJc w:val="left"/>
      <w:pPr>
        <w:ind w:left="2880" w:hanging="360"/>
      </w:pPr>
      <w:rPr>
        <w:rFonts w:ascii="Wingdings" w:hAnsi="Wingdings" w:hint="default"/>
      </w:rPr>
    </w:lvl>
    <w:lvl w:ilvl="3" w:tplc="13200F00" w:tentative="1">
      <w:start w:val="1"/>
      <w:numFmt w:val="bullet"/>
      <w:lvlText w:val=""/>
      <w:lvlJc w:val="left"/>
      <w:pPr>
        <w:ind w:left="3600" w:hanging="360"/>
      </w:pPr>
      <w:rPr>
        <w:rFonts w:ascii="Symbol" w:hAnsi="Symbol" w:hint="default"/>
      </w:rPr>
    </w:lvl>
    <w:lvl w:ilvl="4" w:tplc="EFE48034" w:tentative="1">
      <w:start w:val="1"/>
      <w:numFmt w:val="bullet"/>
      <w:lvlText w:val="o"/>
      <w:lvlJc w:val="left"/>
      <w:pPr>
        <w:ind w:left="4320" w:hanging="360"/>
      </w:pPr>
      <w:rPr>
        <w:rFonts w:ascii="Courier New" w:hAnsi="Courier New" w:cs="Courier New" w:hint="default"/>
      </w:rPr>
    </w:lvl>
    <w:lvl w:ilvl="5" w:tplc="ECA652CE" w:tentative="1">
      <w:start w:val="1"/>
      <w:numFmt w:val="bullet"/>
      <w:lvlText w:val=""/>
      <w:lvlJc w:val="left"/>
      <w:pPr>
        <w:ind w:left="5040" w:hanging="360"/>
      </w:pPr>
      <w:rPr>
        <w:rFonts w:ascii="Wingdings" w:hAnsi="Wingdings" w:hint="default"/>
      </w:rPr>
    </w:lvl>
    <w:lvl w:ilvl="6" w:tplc="2C587654" w:tentative="1">
      <w:start w:val="1"/>
      <w:numFmt w:val="bullet"/>
      <w:lvlText w:val=""/>
      <w:lvlJc w:val="left"/>
      <w:pPr>
        <w:ind w:left="5760" w:hanging="360"/>
      </w:pPr>
      <w:rPr>
        <w:rFonts w:ascii="Symbol" w:hAnsi="Symbol" w:hint="default"/>
      </w:rPr>
    </w:lvl>
    <w:lvl w:ilvl="7" w:tplc="F6FCA570" w:tentative="1">
      <w:start w:val="1"/>
      <w:numFmt w:val="bullet"/>
      <w:lvlText w:val="o"/>
      <w:lvlJc w:val="left"/>
      <w:pPr>
        <w:ind w:left="6480" w:hanging="360"/>
      </w:pPr>
      <w:rPr>
        <w:rFonts w:ascii="Courier New" w:hAnsi="Courier New" w:cs="Courier New" w:hint="default"/>
      </w:rPr>
    </w:lvl>
    <w:lvl w:ilvl="8" w:tplc="3D2C1E58" w:tentative="1">
      <w:start w:val="1"/>
      <w:numFmt w:val="bullet"/>
      <w:lvlText w:val=""/>
      <w:lvlJc w:val="left"/>
      <w:pPr>
        <w:ind w:left="7200" w:hanging="360"/>
      </w:pPr>
      <w:rPr>
        <w:rFonts w:ascii="Wingdings" w:hAnsi="Wingdings" w:hint="default"/>
      </w:rPr>
    </w:lvl>
  </w:abstractNum>
  <w:abstractNum w:abstractNumId="3" w15:restartNumberingAfterBreak="0">
    <w:nsid w:val="084C0D3C"/>
    <w:multiLevelType w:val="hybridMultilevel"/>
    <w:tmpl w:val="06F4FA56"/>
    <w:lvl w:ilvl="0" w:tplc="BC56B724">
      <w:start w:val="1"/>
      <w:numFmt w:val="decimal"/>
      <w:lvlText w:val="%1."/>
      <w:lvlJc w:val="left"/>
      <w:pPr>
        <w:ind w:left="450" w:hanging="360"/>
      </w:pPr>
    </w:lvl>
    <w:lvl w:ilvl="1" w:tplc="87BCD7D4" w:tentative="1">
      <w:start w:val="1"/>
      <w:numFmt w:val="lowerLetter"/>
      <w:lvlText w:val="%2."/>
      <w:lvlJc w:val="left"/>
      <w:pPr>
        <w:ind w:left="1170" w:hanging="360"/>
      </w:pPr>
    </w:lvl>
    <w:lvl w:ilvl="2" w:tplc="62F6F282" w:tentative="1">
      <w:start w:val="1"/>
      <w:numFmt w:val="lowerRoman"/>
      <w:lvlText w:val="%3."/>
      <w:lvlJc w:val="right"/>
      <w:pPr>
        <w:ind w:left="1890" w:hanging="180"/>
      </w:pPr>
    </w:lvl>
    <w:lvl w:ilvl="3" w:tplc="EB7A38A6" w:tentative="1">
      <w:start w:val="1"/>
      <w:numFmt w:val="decimal"/>
      <w:lvlText w:val="%4."/>
      <w:lvlJc w:val="left"/>
      <w:pPr>
        <w:ind w:left="2610" w:hanging="360"/>
      </w:pPr>
    </w:lvl>
    <w:lvl w:ilvl="4" w:tplc="CA7A5AC0" w:tentative="1">
      <w:start w:val="1"/>
      <w:numFmt w:val="lowerLetter"/>
      <w:lvlText w:val="%5."/>
      <w:lvlJc w:val="left"/>
      <w:pPr>
        <w:ind w:left="3330" w:hanging="360"/>
      </w:pPr>
    </w:lvl>
    <w:lvl w:ilvl="5" w:tplc="FB08273A" w:tentative="1">
      <w:start w:val="1"/>
      <w:numFmt w:val="lowerRoman"/>
      <w:lvlText w:val="%6."/>
      <w:lvlJc w:val="right"/>
      <w:pPr>
        <w:ind w:left="4050" w:hanging="180"/>
      </w:pPr>
    </w:lvl>
    <w:lvl w:ilvl="6" w:tplc="61709C56" w:tentative="1">
      <w:start w:val="1"/>
      <w:numFmt w:val="decimal"/>
      <w:lvlText w:val="%7."/>
      <w:lvlJc w:val="left"/>
      <w:pPr>
        <w:ind w:left="4770" w:hanging="360"/>
      </w:pPr>
    </w:lvl>
    <w:lvl w:ilvl="7" w:tplc="117C0590" w:tentative="1">
      <w:start w:val="1"/>
      <w:numFmt w:val="lowerLetter"/>
      <w:lvlText w:val="%8."/>
      <w:lvlJc w:val="left"/>
      <w:pPr>
        <w:ind w:left="5490" w:hanging="360"/>
      </w:pPr>
    </w:lvl>
    <w:lvl w:ilvl="8" w:tplc="E8F21ED2" w:tentative="1">
      <w:start w:val="1"/>
      <w:numFmt w:val="lowerRoman"/>
      <w:lvlText w:val="%9."/>
      <w:lvlJc w:val="right"/>
      <w:pPr>
        <w:ind w:left="6210" w:hanging="180"/>
      </w:pPr>
    </w:lvl>
  </w:abstractNum>
  <w:abstractNum w:abstractNumId="4" w15:restartNumberingAfterBreak="0">
    <w:nsid w:val="0DCB5761"/>
    <w:multiLevelType w:val="hybridMultilevel"/>
    <w:tmpl w:val="C62C0F52"/>
    <w:lvl w:ilvl="0" w:tplc="9ABA5100">
      <w:start w:val="1"/>
      <w:numFmt w:val="lowerLetter"/>
      <w:lvlText w:val="(%1)"/>
      <w:lvlJc w:val="left"/>
      <w:pPr>
        <w:ind w:left="2520" w:hanging="360"/>
      </w:pPr>
      <w:rPr>
        <w:rFonts w:hint="default"/>
        <w:b w:val="0"/>
        <w:sz w:val="24"/>
        <w:szCs w:val="24"/>
      </w:rPr>
    </w:lvl>
    <w:lvl w:ilvl="1" w:tplc="F3A46F58" w:tentative="1">
      <w:start w:val="1"/>
      <w:numFmt w:val="lowerLetter"/>
      <w:lvlText w:val="%2."/>
      <w:lvlJc w:val="left"/>
      <w:pPr>
        <w:ind w:left="3240" w:hanging="360"/>
      </w:pPr>
    </w:lvl>
    <w:lvl w:ilvl="2" w:tplc="01C41626" w:tentative="1">
      <w:start w:val="1"/>
      <w:numFmt w:val="lowerRoman"/>
      <w:lvlText w:val="%3."/>
      <w:lvlJc w:val="right"/>
      <w:pPr>
        <w:ind w:left="3960" w:hanging="180"/>
      </w:pPr>
    </w:lvl>
    <w:lvl w:ilvl="3" w:tplc="2C7E299E" w:tentative="1">
      <w:start w:val="1"/>
      <w:numFmt w:val="decimal"/>
      <w:lvlText w:val="%4."/>
      <w:lvlJc w:val="left"/>
      <w:pPr>
        <w:ind w:left="4680" w:hanging="360"/>
      </w:pPr>
    </w:lvl>
    <w:lvl w:ilvl="4" w:tplc="19204048" w:tentative="1">
      <w:start w:val="1"/>
      <w:numFmt w:val="lowerLetter"/>
      <w:lvlText w:val="%5."/>
      <w:lvlJc w:val="left"/>
      <w:pPr>
        <w:ind w:left="5400" w:hanging="360"/>
      </w:pPr>
    </w:lvl>
    <w:lvl w:ilvl="5" w:tplc="643A6EBA" w:tentative="1">
      <w:start w:val="1"/>
      <w:numFmt w:val="lowerRoman"/>
      <w:lvlText w:val="%6."/>
      <w:lvlJc w:val="right"/>
      <w:pPr>
        <w:ind w:left="6120" w:hanging="180"/>
      </w:pPr>
    </w:lvl>
    <w:lvl w:ilvl="6" w:tplc="6E1A70E6" w:tentative="1">
      <w:start w:val="1"/>
      <w:numFmt w:val="decimal"/>
      <w:lvlText w:val="%7."/>
      <w:lvlJc w:val="left"/>
      <w:pPr>
        <w:ind w:left="6840" w:hanging="360"/>
      </w:pPr>
    </w:lvl>
    <w:lvl w:ilvl="7" w:tplc="BAE69560" w:tentative="1">
      <w:start w:val="1"/>
      <w:numFmt w:val="lowerLetter"/>
      <w:lvlText w:val="%8."/>
      <w:lvlJc w:val="left"/>
      <w:pPr>
        <w:ind w:left="7560" w:hanging="360"/>
      </w:pPr>
    </w:lvl>
    <w:lvl w:ilvl="8" w:tplc="27B6D8FA" w:tentative="1">
      <w:start w:val="1"/>
      <w:numFmt w:val="lowerRoman"/>
      <w:lvlText w:val="%9."/>
      <w:lvlJc w:val="right"/>
      <w:pPr>
        <w:ind w:left="8280" w:hanging="180"/>
      </w:pPr>
    </w:lvl>
  </w:abstractNum>
  <w:abstractNum w:abstractNumId="5" w15:restartNumberingAfterBreak="0">
    <w:nsid w:val="0F184E77"/>
    <w:multiLevelType w:val="hybridMultilevel"/>
    <w:tmpl w:val="8B72FD98"/>
    <w:lvl w:ilvl="0" w:tplc="785AACAC">
      <w:start w:val="1"/>
      <w:numFmt w:val="lowerLetter"/>
      <w:lvlText w:val="(%1)"/>
      <w:lvlJc w:val="left"/>
      <w:pPr>
        <w:ind w:left="1080" w:hanging="360"/>
      </w:pPr>
      <w:rPr>
        <w:rFonts w:hint="default"/>
      </w:rPr>
    </w:lvl>
    <w:lvl w:ilvl="1" w:tplc="F202FBAA" w:tentative="1">
      <w:start w:val="1"/>
      <w:numFmt w:val="lowerLetter"/>
      <w:lvlText w:val="%2."/>
      <w:lvlJc w:val="left"/>
      <w:pPr>
        <w:ind w:left="1800" w:hanging="360"/>
      </w:pPr>
    </w:lvl>
    <w:lvl w:ilvl="2" w:tplc="6D329CF4" w:tentative="1">
      <w:start w:val="1"/>
      <w:numFmt w:val="lowerRoman"/>
      <w:lvlText w:val="%3."/>
      <w:lvlJc w:val="right"/>
      <w:pPr>
        <w:ind w:left="2520" w:hanging="180"/>
      </w:pPr>
    </w:lvl>
    <w:lvl w:ilvl="3" w:tplc="DF0C5408" w:tentative="1">
      <w:start w:val="1"/>
      <w:numFmt w:val="decimal"/>
      <w:lvlText w:val="%4."/>
      <w:lvlJc w:val="left"/>
      <w:pPr>
        <w:ind w:left="3240" w:hanging="360"/>
      </w:pPr>
    </w:lvl>
    <w:lvl w:ilvl="4" w:tplc="3984CA9C" w:tentative="1">
      <w:start w:val="1"/>
      <w:numFmt w:val="lowerLetter"/>
      <w:lvlText w:val="%5."/>
      <w:lvlJc w:val="left"/>
      <w:pPr>
        <w:ind w:left="3960" w:hanging="360"/>
      </w:pPr>
    </w:lvl>
    <w:lvl w:ilvl="5" w:tplc="782EEC06" w:tentative="1">
      <w:start w:val="1"/>
      <w:numFmt w:val="lowerRoman"/>
      <w:lvlText w:val="%6."/>
      <w:lvlJc w:val="right"/>
      <w:pPr>
        <w:ind w:left="4680" w:hanging="180"/>
      </w:pPr>
    </w:lvl>
    <w:lvl w:ilvl="6" w:tplc="61EC04D6" w:tentative="1">
      <w:start w:val="1"/>
      <w:numFmt w:val="decimal"/>
      <w:lvlText w:val="%7."/>
      <w:lvlJc w:val="left"/>
      <w:pPr>
        <w:ind w:left="5400" w:hanging="360"/>
      </w:pPr>
    </w:lvl>
    <w:lvl w:ilvl="7" w:tplc="EA78AD9A" w:tentative="1">
      <w:start w:val="1"/>
      <w:numFmt w:val="lowerLetter"/>
      <w:lvlText w:val="%8."/>
      <w:lvlJc w:val="left"/>
      <w:pPr>
        <w:ind w:left="6120" w:hanging="360"/>
      </w:pPr>
    </w:lvl>
    <w:lvl w:ilvl="8" w:tplc="702EF3FA" w:tentative="1">
      <w:start w:val="1"/>
      <w:numFmt w:val="lowerRoman"/>
      <w:lvlText w:val="%9."/>
      <w:lvlJc w:val="right"/>
      <w:pPr>
        <w:ind w:left="6840" w:hanging="180"/>
      </w:pPr>
    </w:lvl>
  </w:abstractNum>
  <w:abstractNum w:abstractNumId="6" w15:restartNumberingAfterBreak="0">
    <w:nsid w:val="12445EC8"/>
    <w:multiLevelType w:val="hybridMultilevel"/>
    <w:tmpl w:val="6CB6EE38"/>
    <w:lvl w:ilvl="0" w:tplc="FFB6B154">
      <w:start w:val="1"/>
      <w:numFmt w:val="decimal"/>
      <w:lvlText w:val="%1."/>
      <w:lvlJc w:val="left"/>
      <w:pPr>
        <w:ind w:left="450" w:hanging="360"/>
      </w:pPr>
      <w:rPr>
        <w:rFonts w:asciiTheme="minorHAnsi" w:hAnsiTheme="minorHAnsi" w:cstheme="minorHAnsi" w:hint="default"/>
        <w:b w:val="0"/>
        <w:color w:val="auto"/>
        <w:sz w:val="22"/>
        <w:szCs w:val="22"/>
      </w:rPr>
    </w:lvl>
    <w:lvl w:ilvl="1" w:tplc="6D700432">
      <w:start w:val="1"/>
      <w:numFmt w:val="bullet"/>
      <w:lvlText w:val=""/>
      <w:lvlJc w:val="left"/>
      <w:pPr>
        <w:ind w:left="1170" w:hanging="360"/>
      </w:pPr>
      <w:rPr>
        <w:rFonts w:ascii="Symbol" w:hAnsi="Symbol" w:hint="default"/>
        <w:sz w:val="22"/>
        <w:szCs w:val="22"/>
      </w:rPr>
    </w:lvl>
    <w:lvl w:ilvl="2" w:tplc="5F885A74">
      <w:start w:val="1"/>
      <w:numFmt w:val="lowerRoman"/>
      <w:lvlText w:val="%3."/>
      <w:lvlJc w:val="right"/>
      <w:pPr>
        <w:ind w:left="626" w:hanging="180"/>
      </w:pPr>
      <w:rPr>
        <w:b w:val="0"/>
        <w:i w:val="0"/>
      </w:rPr>
    </w:lvl>
    <w:lvl w:ilvl="3" w:tplc="95B0F8EC">
      <w:start w:val="1"/>
      <w:numFmt w:val="bullet"/>
      <w:lvlText w:val=""/>
      <w:lvlJc w:val="left"/>
      <w:pPr>
        <w:ind w:left="716" w:hanging="360"/>
      </w:pPr>
      <w:rPr>
        <w:rFonts w:ascii="Symbol" w:hAnsi="Symbol" w:hint="default"/>
        <w:b w:val="0"/>
      </w:rPr>
    </w:lvl>
    <w:lvl w:ilvl="4" w:tplc="FDD6A00E">
      <w:start w:val="1"/>
      <w:numFmt w:val="bullet"/>
      <w:lvlText w:val=""/>
      <w:lvlJc w:val="left"/>
      <w:pPr>
        <w:ind w:left="900" w:hanging="360"/>
      </w:pPr>
      <w:rPr>
        <w:rFonts w:ascii="Symbol" w:hAnsi="Symbol" w:hint="default"/>
      </w:rPr>
    </w:lvl>
    <w:lvl w:ilvl="5" w:tplc="A41A195E">
      <w:start w:val="1"/>
      <w:numFmt w:val="bullet"/>
      <w:lvlText w:val="o"/>
      <w:lvlJc w:val="left"/>
      <w:pPr>
        <w:ind w:left="1796" w:hanging="180"/>
      </w:pPr>
      <w:rPr>
        <w:rFonts w:ascii="Courier New" w:hAnsi="Courier New" w:cs="Courier New" w:hint="default"/>
      </w:rPr>
    </w:lvl>
    <w:lvl w:ilvl="6" w:tplc="B308ACBA">
      <w:start w:val="1"/>
      <w:numFmt w:val="lowerRoman"/>
      <w:lvlText w:val="(%7)"/>
      <w:lvlJc w:val="left"/>
      <w:pPr>
        <w:ind w:left="5036" w:hanging="720"/>
      </w:pPr>
      <w:rPr>
        <w:rFonts w:hint="default"/>
      </w:rPr>
    </w:lvl>
    <w:lvl w:ilvl="7" w:tplc="F3B4DDD2" w:tentative="1">
      <w:start w:val="1"/>
      <w:numFmt w:val="lowerLetter"/>
      <w:lvlText w:val="%8."/>
      <w:lvlJc w:val="left"/>
      <w:pPr>
        <w:ind w:left="5396" w:hanging="360"/>
      </w:pPr>
    </w:lvl>
    <w:lvl w:ilvl="8" w:tplc="440AB674" w:tentative="1">
      <w:start w:val="1"/>
      <w:numFmt w:val="lowerRoman"/>
      <w:lvlText w:val="%9."/>
      <w:lvlJc w:val="right"/>
      <w:pPr>
        <w:ind w:left="6116" w:hanging="180"/>
      </w:pPr>
    </w:lvl>
  </w:abstractNum>
  <w:abstractNum w:abstractNumId="7" w15:restartNumberingAfterBreak="0">
    <w:nsid w:val="1534216A"/>
    <w:multiLevelType w:val="hybridMultilevel"/>
    <w:tmpl w:val="06F4FA56"/>
    <w:lvl w:ilvl="0" w:tplc="84C89670">
      <w:start w:val="1"/>
      <w:numFmt w:val="decimal"/>
      <w:lvlText w:val="%1."/>
      <w:lvlJc w:val="left"/>
      <w:pPr>
        <w:ind w:left="450" w:hanging="360"/>
      </w:pPr>
    </w:lvl>
    <w:lvl w:ilvl="1" w:tplc="CC66E894" w:tentative="1">
      <w:start w:val="1"/>
      <w:numFmt w:val="lowerLetter"/>
      <w:lvlText w:val="%2."/>
      <w:lvlJc w:val="left"/>
      <w:pPr>
        <w:ind w:left="1170" w:hanging="360"/>
      </w:pPr>
    </w:lvl>
    <w:lvl w:ilvl="2" w:tplc="26E813AC" w:tentative="1">
      <w:start w:val="1"/>
      <w:numFmt w:val="lowerRoman"/>
      <w:lvlText w:val="%3."/>
      <w:lvlJc w:val="right"/>
      <w:pPr>
        <w:ind w:left="1890" w:hanging="180"/>
      </w:pPr>
    </w:lvl>
    <w:lvl w:ilvl="3" w:tplc="11264862" w:tentative="1">
      <w:start w:val="1"/>
      <w:numFmt w:val="decimal"/>
      <w:lvlText w:val="%4."/>
      <w:lvlJc w:val="left"/>
      <w:pPr>
        <w:ind w:left="2610" w:hanging="360"/>
      </w:pPr>
    </w:lvl>
    <w:lvl w:ilvl="4" w:tplc="39D4C622" w:tentative="1">
      <w:start w:val="1"/>
      <w:numFmt w:val="lowerLetter"/>
      <w:lvlText w:val="%5."/>
      <w:lvlJc w:val="left"/>
      <w:pPr>
        <w:ind w:left="3330" w:hanging="360"/>
      </w:pPr>
    </w:lvl>
    <w:lvl w:ilvl="5" w:tplc="B4F81484" w:tentative="1">
      <w:start w:val="1"/>
      <w:numFmt w:val="lowerRoman"/>
      <w:lvlText w:val="%6."/>
      <w:lvlJc w:val="right"/>
      <w:pPr>
        <w:ind w:left="4050" w:hanging="180"/>
      </w:pPr>
    </w:lvl>
    <w:lvl w:ilvl="6" w:tplc="537C3FDA" w:tentative="1">
      <w:start w:val="1"/>
      <w:numFmt w:val="decimal"/>
      <w:lvlText w:val="%7."/>
      <w:lvlJc w:val="left"/>
      <w:pPr>
        <w:ind w:left="4770" w:hanging="360"/>
      </w:pPr>
    </w:lvl>
    <w:lvl w:ilvl="7" w:tplc="EE0CE5B6" w:tentative="1">
      <w:start w:val="1"/>
      <w:numFmt w:val="lowerLetter"/>
      <w:lvlText w:val="%8."/>
      <w:lvlJc w:val="left"/>
      <w:pPr>
        <w:ind w:left="5490" w:hanging="360"/>
      </w:pPr>
    </w:lvl>
    <w:lvl w:ilvl="8" w:tplc="24FC4EE4" w:tentative="1">
      <w:start w:val="1"/>
      <w:numFmt w:val="lowerRoman"/>
      <w:lvlText w:val="%9."/>
      <w:lvlJc w:val="right"/>
      <w:pPr>
        <w:ind w:left="6210" w:hanging="180"/>
      </w:pPr>
    </w:lvl>
  </w:abstractNum>
  <w:abstractNum w:abstractNumId="8" w15:restartNumberingAfterBreak="1">
    <w:nsid w:val="156B9967"/>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5906833"/>
    <w:multiLevelType w:val="hybridMultilevel"/>
    <w:tmpl w:val="30CA18FE"/>
    <w:lvl w:ilvl="0" w:tplc="51BE5A58">
      <w:start w:val="1"/>
      <w:numFmt w:val="lowerRoman"/>
      <w:lvlText w:val="(%1)"/>
      <w:lvlJc w:val="left"/>
      <w:pPr>
        <w:ind w:left="720" w:hanging="360"/>
      </w:pPr>
      <w:rPr>
        <w:rFonts w:asciiTheme="minorHAnsi" w:hAnsiTheme="minorHAnsi" w:cstheme="minorHAnsi" w:hint="default"/>
        <w:b w:val="0"/>
      </w:rPr>
    </w:lvl>
    <w:lvl w:ilvl="1" w:tplc="71CAD690">
      <w:start w:val="1"/>
      <w:numFmt w:val="lowerLetter"/>
      <w:lvlText w:val="%2."/>
      <w:lvlJc w:val="left"/>
      <w:pPr>
        <w:ind w:left="1440" w:hanging="360"/>
      </w:pPr>
    </w:lvl>
    <w:lvl w:ilvl="2" w:tplc="F3E66F38" w:tentative="1">
      <w:start w:val="1"/>
      <w:numFmt w:val="lowerRoman"/>
      <w:lvlText w:val="%3."/>
      <w:lvlJc w:val="right"/>
      <w:pPr>
        <w:ind w:left="2160" w:hanging="180"/>
      </w:pPr>
    </w:lvl>
    <w:lvl w:ilvl="3" w:tplc="4C664650" w:tentative="1">
      <w:start w:val="1"/>
      <w:numFmt w:val="decimal"/>
      <w:lvlText w:val="%4."/>
      <w:lvlJc w:val="left"/>
      <w:pPr>
        <w:ind w:left="2880" w:hanging="360"/>
      </w:pPr>
    </w:lvl>
    <w:lvl w:ilvl="4" w:tplc="E5D0F608" w:tentative="1">
      <w:start w:val="1"/>
      <w:numFmt w:val="lowerLetter"/>
      <w:lvlText w:val="%5."/>
      <w:lvlJc w:val="left"/>
      <w:pPr>
        <w:ind w:left="3600" w:hanging="360"/>
      </w:pPr>
    </w:lvl>
    <w:lvl w:ilvl="5" w:tplc="519AFED2" w:tentative="1">
      <w:start w:val="1"/>
      <w:numFmt w:val="lowerRoman"/>
      <w:lvlText w:val="%6."/>
      <w:lvlJc w:val="right"/>
      <w:pPr>
        <w:ind w:left="4320" w:hanging="180"/>
      </w:pPr>
    </w:lvl>
    <w:lvl w:ilvl="6" w:tplc="5B506E8C" w:tentative="1">
      <w:start w:val="1"/>
      <w:numFmt w:val="decimal"/>
      <w:lvlText w:val="%7."/>
      <w:lvlJc w:val="left"/>
      <w:pPr>
        <w:ind w:left="5040" w:hanging="360"/>
      </w:pPr>
    </w:lvl>
    <w:lvl w:ilvl="7" w:tplc="71F670BA" w:tentative="1">
      <w:start w:val="1"/>
      <w:numFmt w:val="lowerLetter"/>
      <w:lvlText w:val="%8."/>
      <w:lvlJc w:val="left"/>
      <w:pPr>
        <w:ind w:left="5760" w:hanging="360"/>
      </w:pPr>
    </w:lvl>
    <w:lvl w:ilvl="8" w:tplc="2F56461E" w:tentative="1">
      <w:start w:val="1"/>
      <w:numFmt w:val="lowerRoman"/>
      <w:lvlText w:val="%9."/>
      <w:lvlJc w:val="right"/>
      <w:pPr>
        <w:ind w:left="6480" w:hanging="180"/>
      </w:pPr>
    </w:lvl>
  </w:abstractNum>
  <w:abstractNum w:abstractNumId="10" w15:restartNumberingAfterBreak="0">
    <w:nsid w:val="16416DED"/>
    <w:multiLevelType w:val="hybridMultilevel"/>
    <w:tmpl w:val="E4E257E0"/>
    <w:lvl w:ilvl="0" w:tplc="2FF09794">
      <w:start w:val="1"/>
      <w:numFmt w:val="decimal"/>
      <w:lvlText w:val="%1."/>
      <w:lvlJc w:val="left"/>
      <w:pPr>
        <w:ind w:left="450" w:hanging="360"/>
      </w:pPr>
      <w:rPr>
        <w:rFonts w:asciiTheme="minorHAnsi" w:hAnsiTheme="minorHAnsi" w:cstheme="minorHAnsi" w:hint="default"/>
        <w:b w:val="0"/>
        <w:color w:val="auto"/>
        <w:sz w:val="22"/>
        <w:szCs w:val="22"/>
      </w:rPr>
    </w:lvl>
    <w:lvl w:ilvl="1" w:tplc="A9A48812">
      <w:start w:val="1"/>
      <w:numFmt w:val="lowerLetter"/>
      <w:lvlText w:val="(%2)"/>
      <w:lvlJc w:val="left"/>
      <w:pPr>
        <w:ind w:left="1440" w:hanging="360"/>
      </w:pPr>
      <w:rPr>
        <w:rFonts w:asciiTheme="minorHAnsi" w:hAnsiTheme="minorHAnsi" w:cstheme="minorHAnsi" w:hint="default"/>
        <w:b w:val="0"/>
        <w:sz w:val="22"/>
        <w:szCs w:val="22"/>
      </w:rPr>
    </w:lvl>
    <w:lvl w:ilvl="2" w:tplc="7AC0A07A">
      <w:start w:val="1"/>
      <w:numFmt w:val="lowerRoman"/>
      <w:lvlText w:val="(%3)"/>
      <w:lvlJc w:val="left"/>
      <w:pPr>
        <w:ind w:left="94" w:hanging="94"/>
      </w:pPr>
      <w:rPr>
        <w:rFonts w:hint="default"/>
        <w:b/>
        <w:i w:val="0"/>
      </w:rPr>
    </w:lvl>
    <w:lvl w:ilvl="3" w:tplc="1298CA4A">
      <w:start w:val="1"/>
      <w:numFmt w:val="bullet"/>
      <w:lvlText w:val=""/>
      <w:lvlJc w:val="left"/>
      <w:pPr>
        <w:ind w:left="626" w:hanging="360"/>
      </w:pPr>
      <w:rPr>
        <w:rFonts w:ascii="Symbol" w:hAnsi="Symbol" w:hint="default"/>
        <w:b w:val="0"/>
      </w:rPr>
    </w:lvl>
    <w:lvl w:ilvl="4" w:tplc="0996FCB6">
      <w:start w:val="1"/>
      <w:numFmt w:val="bullet"/>
      <w:lvlText w:val=""/>
      <w:lvlJc w:val="left"/>
      <w:pPr>
        <w:ind w:left="810" w:hanging="360"/>
      </w:pPr>
      <w:rPr>
        <w:rFonts w:ascii="Symbol" w:hAnsi="Symbol" w:hint="default"/>
      </w:rPr>
    </w:lvl>
    <w:lvl w:ilvl="5" w:tplc="78388F64">
      <w:start w:val="1"/>
      <w:numFmt w:val="bullet"/>
      <w:lvlText w:val="o"/>
      <w:lvlJc w:val="left"/>
      <w:pPr>
        <w:ind w:left="1706" w:hanging="180"/>
      </w:pPr>
      <w:rPr>
        <w:rFonts w:ascii="Courier New" w:hAnsi="Courier New" w:cs="Courier New" w:hint="default"/>
      </w:rPr>
    </w:lvl>
    <w:lvl w:ilvl="6" w:tplc="612A12F6" w:tentative="1">
      <w:start w:val="1"/>
      <w:numFmt w:val="decimal"/>
      <w:lvlText w:val="%7."/>
      <w:lvlJc w:val="left"/>
      <w:pPr>
        <w:ind w:left="4586" w:hanging="360"/>
      </w:pPr>
    </w:lvl>
    <w:lvl w:ilvl="7" w:tplc="BA328C54" w:tentative="1">
      <w:start w:val="1"/>
      <w:numFmt w:val="lowerLetter"/>
      <w:lvlText w:val="%8."/>
      <w:lvlJc w:val="left"/>
      <w:pPr>
        <w:ind w:left="5306" w:hanging="360"/>
      </w:pPr>
    </w:lvl>
    <w:lvl w:ilvl="8" w:tplc="EFB82510" w:tentative="1">
      <w:start w:val="1"/>
      <w:numFmt w:val="lowerRoman"/>
      <w:lvlText w:val="%9."/>
      <w:lvlJc w:val="right"/>
      <w:pPr>
        <w:ind w:left="6026" w:hanging="180"/>
      </w:pPr>
    </w:lvl>
  </w:abstractNum>
  <w:abstractNum w:abstractNumId="11" w15:restartNumberingAfterBreak="1">
    <w:nsid w:val="198777C7"/>
    <w:multiLevelType w:val="hybridMultilevel"/>
    <w:tmpl w:val="F40AD594"/>
    <w:lvl w:ilvl="0" w:tplc="F7F03D84">
      <w:start w:val="1"/>
      <w:numFmt w:val="lowerRoman"/>
      <w:lvlText w:val="(%1)"/>
      <w:lvlJc w:val="left"/>
      <w:pPr>
        <w:ind w:left="720" w:hanging="720"/>
      </w:pPr>
      <w:rPr>
        <w:rFonts w:hint="default"/>
      </w:rPr>
    </w:lvl>
    <w:lvl w:ilvl="1" w:tplc="7F5C6530" w:tentative="1">
      <w:start w:val="1"/>
      <w:numFmt w:val="lowerLetter"/>
      <w:lvlText w:val="%2."/>
      <w:lvlJc w:val="left"/>
      <w:pPr>
        <w:ind w:left="1080" w:hanging="360"/>
      </w:pPr>
    </w:lvl>
    <w:lvl w:ilvl="2" w:tplc="73AE71B4" w:tentative="1">
      <w:start w:val="1"/>
      <w:numFmt w:val="lowerRoman"/>
      <w:lvlText w:val="%3."/>
      <w:lvlJc w:val="right"/>
      <w:pPr>
        <w:ind w:left="1800" w:hanging="180"/>
      </w:pPr>
    </w:lvl>
    <w:lvl w:ilvl="3" w:tplc="7302707A" w:tentative="1">
      <w:start w:val="1"/>
      <w:numFmt w:val="decimal"/>
      <w:lvlText w:val="%4."/>
      <w:lvlJc w:val="left"/>
      <w:pPr>
        <w:ind w:left="2520" w:hanging="360"/>
      </w:pPr>
    </w:lvl>
    <w:lvl w:ilvl="4" w:tplc="8E2A6A9C" w:tentative="1">
      <w:start w:val="1"/>
      <w:numFmt w:val="lowerLetter"/>
      <w:lvlText w:val="%5."/>
      <w:lvlJc w:val="left"/>
      <w:pPr>
        <w:ind w:left="3240" w:hanging="360"/>
      </w:pPr>
    </w:lvl>
    <w:lvl w:ilvl="5" w:tplc="5F28ED34" w:tentative="1">
      <w:start w:val="1"/>
      <w:numFmt w:val="lowerRoman"/>
      <w:lvlText w:val="%6."/>
      <w:lvlJc w:val="right"/>
      <w:pPr>
        <w:ind w:left="3960" w:hanging="180"/>
      </w:pPr>
    </w:lvl>
    <w:lvl w:ilvl="6" w:tplc="ACF81828" w:tentative="1">
      <w:start w:val="1"/>
      <w:numFmt w:val="decimal"/>
      <w:lvlText w:val="%7."/>
      <w:lvlJc w:val="left"/>
      <w:pPr>
        <w:ind w:left="4680" w:hanging="360"/>
      </w:pPr>
    </w:lvl>
    <w:lvl w:ilvl="7" w:tplc="2EF24B68" w:tentative="1">
      <w:start w:val="1"/>
      <w:numFmt w:val="lowerLetter"/>
      <w:lvlText w:val="%8."/>
      <w:lvlJc w:val="left"/>
      <w:pPr>
        <w:ind w:left="5400" w:hanging="360"/>
      </w:pPr>
    </w:lvl>
    <w:lvl w:ilvl="8" w:tplc="3AB49D5A" w:tentative="1">
      <w:start w:val="1"/>
      <w:numFmt w:val="lowerRoman"/>
      <w:lvlText w:val="%9."/>
      <w:lvlJc w:val="right"/>
      <w:pPr>
        <w:ind w:left="6120" w:hanging="180"/>
      </w:pPr>
    </w:lvl>
  </w:abstractNum>
  <w:abstractNum w:abstractNumId="12" w15:restartNumberingAfterBreak="0">
    <w:nsid w:val="198F27DA"/>
    <w:multiLevelType w:val="hybridMultilevel"/>
    <w:tmpl w:val="7C3EF0BE"/>
    <w:lvl w:ilvl="0" w:tplc="628C1332">
      <w:start w:val="1"/>
      <w:numFmt w:val="decimal"/>
      <w:lvlText w:val="%1."/>
      <w:lvlJc w:val="left"/>
      <w:pPr>
        <w:ind w:left="0" w:firstLine="0"/>
      </w:pPr>
      <w:rPr>
        <w:rFonts w:asciiTheme="minorHAnsi" w:hAnsiTheme="minorHAnsi" w:cstheme="minorHAnsi" w:hint="default"/>
        <w:b w:val="0"/>
        <w:color w:val="auto"/>
        <w:sz w:val="22"/>
        <w:szCs w:val="22"/>
      </w:rPr>
    </w:lvl>
    <w:lvl w:ilvl="1" w:tplc="DC8EE3C4" w:tentative="1">
      <w:start w:val="1"/>
      <w:numFmt w:val="lowerLetter"/>
      <w:lvlText w:val="%2."/>
      <w:lvlJc w:val="left"/>
      <w:pPr>
        <w:ind w:left="1530" w:hanging="360"/>
      </w:pPr>
    </w:lvl>
    <w:lvl w:ilvl="2" w:tplc="73C6D990" w:tentative="1">
      <w:start w:val="1"/>
      <w:numFmt w:val="lowerRoman"/>
      <w:lvlText w:val="%3."/>
      <w:lvlJc w:val="right"/>
      <w:pPr>
        <w:ind w:left="2250" w:hanging="180"/>
      </w:pPr>
    </w:lvl>
    <w:lvl w:ilvl="3" w:tplc="2104F7DA" w:tentative="1">
      <w:start w:val="1"/>
      <w:numFmt w:val="decimal"/>
      <w:lvlText w:val="%4."/>
      <w:lvlJc w:val="left"/>
      <w:pPr>
        <w:ind w:left="2970" w:hanging="360"/>
      </w:pPr>
    </w:lvl>
    <w:lvl w:ilvl="4" w:tplc="0DA6D6D6" w:tentative="1">
      <w:start w:val="1"/>
      <w:numFmt w:val="lowerLetter"/>
      <w:lvlText w:val="%5."/>
      <w:lvlJc w:val="left"/>
      <w:pPr>
        <w:ind w:left="3690" w:hanging="360"/>
      </w:pPr>
    </w:lvl>
    <w:lvl w:ilvl="5" w:tplc="5AA044BC" w:tentative="1">
      <w:start w:val="1"/>
      <w:numFmt w:val="lowerRoman"/>
      <w:lvlText w:val="%6."/>
      <w:lvlJc w:val="right"/>
      <w:pPr>
        <w:ind w:left="4410" w:hanging="180"/>
      </w:pPr>
    </w:lvl>
    <w:lvl w:ilvl="6" w:tplc="3E62C308" w:tentative="1">
      <w:start w:val="1"/>
      <w:numFmt w:val="decimal"/>
      <w:lvlText w:val="%7."/>
      <w:lvlJc w:val="left"/>
      <w:pPr>
        <w:ind w:left="5130" w:hanging="360"/>
      </w:pPr>
    </w:lvl>
    <w:lvl w:ilvl="7" w:tplc="96A48052" w:tentative="1">
      <w:start w:val="1"/>
      <w:numFmt w:val="lowerLetter"/>
      <w:lvlText w:val="%8."/>
      <w:lvlJc w:val="left"/>
      <w:pPr>
        <w:ind w:left="5850" w:hanging="360"/>
      </w:pPr>
    </w:lvl>
    <w:lvl w:ilvl="8" w:tplc="31E0E2E6" w:tentative="1">
      <w:start w:val="1"/>
      <w:numFmt w:val="lowerRoman"/>
      <w:lvlText w:val="%9."/>
      <w:lvlJc w:val="right"/>
      <w:pPr>
        <w:ind w:left="6570" w:hanging="180"/>
      </w:pPr>
    </w:lvl>
  </w:abstractNum>
  <w:abstractNum w:abstractNumId="13" w15:restartNumberingAfterBreak="0">
    <w:nsid w:val="19AF0E97"/>
    <w:multiLevelType w:val="hybridMultilevel"/>
    <w:tmpl w:val="DF205FA0"/>
    <w:lvl w:ilvl="0" w:tplc="097E7D94">
      <w:start w:val="1"/>
      <w:numFmt w:val="lowerRoman"/>
      <w:lvlText w:val="(%1)"/>
      <w:lvlJc w:val="left"/>
      <w:pPr>
        <w:ind w:left="360" w:hanging="360"/>
      </w:pPr>
      <w:rPr>
        <w:rFonts w:hint="default"/>
      </w:rPr>
    </w:lvl>
    <w:lvl w:ilvl="1" w:tplc="093804F2" w:tentative="1">
      <w:start w:val="1"/>
      <w:numFmt w:val="lowerLetter"/>
      <w:lvlText w:val="%2."/>
      <w:lvlJc w:val="left"/>
      <w:pPr>
        <w:ind w:left="1440" w:hanging="360"/>
      </w:pPr>
    </w:lvl>
    <w:lvl w:ilvl="2" w:tplc="075EEB94" w:tentative="1">
      <w:start w:val="1"/>
      <w:numFmt w:val="lowerRoman"/>
      <w:lvlText w:val="%3."/>
      <w:lvlJc w:val="right"/>
      <w:pPr>
        <w:ind w:left="2160" w:hanging="180"/>
      </w:pPr>
    </w:lvl>
    <w:lvl w:ilvl="3" w:tplc="09E297BE" w:tentative="1">
      <w:start w:val="1"/>
      <w:numFmt w:val="decimal"/>
      <w:lvlText w:val="%4."/>
      <w:lvlJc w:val="left"/>
      <w:pPr>
        <w:ind w:left="2880" w:hanging="360"/>
      </w:pPr>
    </w:lvl>
    <w:lvl w:ilvl="4" w:tplc="00FC143C" w:tentative="1">
      <w:start w:val="1"/>
      <w:numFmt w:val="lowerLetter"/>
      <w:lvlText w:val="%5."/>
      <w:lvlJc w:val="left"/>
      <w:pPr>
        <w:ind w:left="3600" w:hanging="360"/>
      </w:pPr>
    </w:lvl>
    <w:lvl w:ilvl="5" w:tplc="92846444" w:tentative="1">
      <w:start w:val="1"/>
      <w:numFmt w:val="lowerRoman"/>
      <w:lvlText w:val="%6."/>
      <w:lvlJc w:val="right"/>
      <w:pPr>
        <w:ind w:left="4320" w:hanging="180"/>
      </w:pPr>
    </w:lvl>
    <w:lvl w:ilvl="6" w:tplc="E092F5F4" w:tentative="1">
      <w:start w:val="1"/>
      <w:numFmt w:val="decimal"/>
      <w:lvlText w:val="%7."/>
      <w:lvlJc w:val="left"/>
      <w:pPr>
        <w:ind w:left="5040" w:hanging="360"/>
      </w:pPr>
    </w:lvl>
    <w:lvl w:ilvl="7" w:tplc="5B52C39C" w:tentative="1">
      <w:start w:val="1"/>
      <w:numFmt w:val="lowerLetter"/>
      <w:lvlText w:val="%8."/>
      <w:lvlJc w:val="left"/>
      <w:pPr>
        <w:ind w:left="5760" w:hanging="360"/>
      </w:pPr>
    </w:lvl>
    <w:lvl w:ilvl="8" w:tplc="EA7AF6A6" w:tentative="1">
      <w:start w:val="1"/>
      <w:numFmt w:val="lowerRoman"/>
      <w:lvlText w:val="%9."/>
      <w:lvlJc w:val="right"/>
      <w:pPr>
        <w:ind w:left="6480" w:hanging="180"/>
      </w:pPr>
    </w:lvl>
  </w:abstractNum>
  <w:abstractNum w:abstractNumId="14" w15:restartNumberingAfterBreak="0">
    <w:nsid w:val="212C4FF1"/>
    <w:multiLevelType w:val="hybridMultilevel"/>
    <w:tmpl w:val="DF205FA0"/>
    <w:lvl w:ilvl="0" w:tplc="74729D20">
      <w:start w:val="1"/>
      <w:numFmt w:val="lowerRoman"/>
      <w:lvlText w:val="(%1)"/>
      <w:lvlJc w:val="left"/>
      <w:pPr>
        <w:ind w:left="720" w:hanging="360"/>
      </w:pPr>
      <w:rPr>
        <w:rFonts w:hint="default"/>
      </w:rPr>
    </w:lvl>
    <w:lvl w:ilvl="1" w:tplc="66B45EB8" w:tentative="1">
      <w:start w:val="1"/>
      <w:numFmt w:val="lowerLetter"/>
      <w:lvlText w:val="%2."/>
      <w:lvlJc w:val="left"/>
      <w:pPr>
        <w:ind w:left="1440" w:hanging="360"/>
      </w:pPr>
    </w:lvl>
    <w:lvl w:ilvl="2" w:tplc="1CC8A19C" w:tentative="1">
      <w:start w:val="1"/>
      <w:numFmt w:val="lowerRoman"/>
      <w:lvlText w:val="%3."/>
      <w:lvlJc w:val="right"/>
      <w:pPr>
        <w:ind w:left="2160" w:hanging="180"/>
      </w:pPr>
    </w:lvl>
    <w:lvl w:ilvl="3" w:tplc="7216475C" w:tentative="1">
      <w:start w:val="1"/>
      <w:numFmt w:val="decimal"/>
      <w:lvlText w:val="%4."/>
      <w:lvlJc w:val="left"/>
      <w:pPr>
        <w:ind w:left="2880" w:hanging="360"/>
      </w:pPr>
    </w:lvl>
    <w:lvl w:ilvl="4" w:tplc="01B4C96A" w:tentative="1">
      <w:start w:val="1"/>
      <w:numFmt w:val="lowerLetter"/>
      <w:lvlText w:val="%5."/>
      <w:lvlJc w:val="left"/>
      <w:pPr>
        <w:ind w:left="3600" w:hanging="360"/>
      </w:pPr>
    </w:lvl>
    <w:lvl w:ilvl="5" w:tplc="9D24D888" w:tentative="1">
      <w:start w:val="1"/>
      <w:numFmt w:val="lowerRoman"/>
      <w:lvlText w:val="%6."/>
      <w:lvlJc w:val="right"/>
      <w:pPr>
        <w:ind w:left="4320" w:hanging="180"/>
      </w:pPr>
    </w:lvl>
    <w:lvl w:ilvl="6" w:tplc="6C22B18A" w:tentative="1">
      <w:start w:val="1"/>
      <w:numFmt w:val="decimal"/>
      <w:lvlText w:val="%7."/>
      <w:lvlJc w:val="left"/>
      <w:pPr>
        <w:ind w:left="5040" w:hanging="360"/>
      </w:pPr>
    </w:lvl>
    <w:lvl w:ilvl="7" w:tplc="97865832" w:tentative="1">
      <w:start w:val="1"/>
      <w:numFmt w:val="lowerLetter"/>
      <w:lvlText w:val="%8."/>
      <w:lvlJc w:val="left"/>
      <w:pPr>
        <w:ind w:left="5760" w:hanging="360"/>
      </w:pPr>
    </w:lvl>
    <w:lvl w:ilvl="8" w:tplc="0444DD84" w:tentative="1">
      <w:start w:val="1"/>
      <w:numFmt w:val="lowerRoman"/>
      <w:lvlText w:val="%9."/>
      <w:lvlJc w:val="right"/>
      <w:pPr>
        <w:ind w:left="6480" w:hanging="180"/>
      </w:pPr>
    </w:lvl>
  </w:abstractNum>
  <w:abstractNum w:abstractNumId="15" w15:restartNumberingAfterBreak="0">
    <w:nsid w:val="22252BB7"/>
    <w:multiLevelType w:val="hybridMultilevel"/>
    <w:tmpl w:val="8D24369E"/>
    <w:lvl w:ilvl="0" w:tplc="7BC49C52">
      <w:start w:val="1"/>
      <w:numFmt w:val="decimal"/>
      <w:lvlText w:val="%1."/>
      <w:lvlJc w:val="left"/>
      <w:pPr>
        <w:ind w:left="360" w:hanging="360"/>
      </w:pPr>
    </w:lvl>
    <w:lvl w:ilvl="1" w:tplc="6726B03A" w:tentative="1">
      <w:start w:val="1"/>
      <w:numFmt w:val="lowerLetter"/>
      <w:lvlText w:val="%2."/>
      <w:lvlJc w:val="left"/>
      <w:pPr>
        <w:ind w:left="1080" w:hanging="360"/>
      </w:pPr>
    </w:lvl>
    <w:lvl w:ilvl="2" w:tplc="477CD538" w:tentative="1">
      <w:start w:val="1"/>
      <w:numFmt w:val="lowerRoman"/>
      <w:lvlText w:val="%3."/>
      <w:lvlJc w:val="right"/>
      <w:pPr>
        <w:ind w:left="1800" w:hanging="180"/>
      </w:pPr>
    </w:lvl>
    <w:lvl w:ilvl="3" w:tplc="7AD0166E" w:tentative="1">
      <w:start w:val="1"/>
      <w:numFmt w:val="decimal"/>
      <w:lvlText w:val="%4."/>
      <w:lvlJc w:val="left"/>
      <w:pPr>
        <w:ind w:left="2520" w:hanging="360"/>
      </w:pPr>
    </w:lvl>
    <w:lvl w:ilvl="4" w:tplc="DF30F250" w:tentative="1">
      <w:start w:val="1"/>
      <w:numFmt w:val="lowerLetter"/>
      <w:lvlText w:val="%5."/>
      <w:lvlJc w:val="left"/>
      <w:pPr>
        <w:ind w:left="3240" w:hanging="360"/>
      </w:pPr>
    </w:lvl>
    <w:lvl w:ilvl="5" w:tplc="7B808068" w:tentative="1">
      <w:start w:val="1"/>
      <w:numFmt w:val="lowerRoman"/>
      <w:lvlText w:val="%6."/>
      <w:lvlJc w:val="right"/>
      <w:pPr>
        <w:ind w:left="3960" w:hanging="180"/>
      </w:pPr>
    </w:lvl>
    <w:lvl w:ilvl="6" w:tplc="AD762F94" w:tentative="1">
      <w:start w:val="1"/>
      <w:numFmt w:val="decimal"/>
      <w:lvlText w:val="%7."/>
      <w:lvlJc w:val="left"/>
      <w:pPr>
        <w:ind w:left="4680" w:hanging="360"/>
      </w:pPr>
    </w:lvl>
    <w:lvl w:ilvl="7" w:tplc="C3A06438" w:tentative="1">
      <w:start w:val="1"/>
      <w:numFmt w:val="lowerLetter"/>
      <w:lvlText w:val="%8."/>
      <w:lvlJc w:val="left"/>
      <w:pPr>
        <w:ind w:left="5400" w:hanging="360"/>
      </w:pPr>
    </w:lvl>
    <w:lvl w:ilvl="8" w:tplc="3A8A39A6" w:tentative="1">
      <w:start w:val="1"/>
      <w:numFmt w:val="lowerRoman"/>
      <w:lvlText w:val="%9."/>
      <w:lvlJc w:val="right"/>
      <w:pPr>
        <w:ind w:left="6120" w:hanging="180"/>
      </w:pPr>
    </w:lvl>
  </w:abstractNum>
  <w:abstractNum w:abstractNumId="16" w15:restartNumberingAfterBreak="0">
    <w:nsid w:val="227D519C"/>
    <w:multiLevelType w:val="hybridMultilevel"/>
    <w:tmpl w:val="48EA9F5E"/>
    <w:lvl w:ilvl="0" w:tplc="CC48A5F2">
      <w:start w:val="1"/>
      <w:numFmt w:val="upperLetter"/>
      <w:lvlText w:val="%1."/>
      <w:lvlJc w:val="left"/>
      <w:pPr>
        <w:ind w:left="360" w:hanging="360"/>
      </w:pPr>
      <w:rPr>
        <w:rFonts w:hint="default"/>
        <w:i w:val="0"/>
      </w:rPr>
    </w:lvl>
    <w:lvl w:ilvl="1" w:tplc="C56C4D9C" w:tentative="1">
      <w:start w:val="1"/>
      <w:numFmt w:val="lowerLetter"/>
      <w:lvlText w:val="%2."/>
      <w:lvlJc w:val="left"/>
      <w:pPr>
        <w:ind w:left="1440" w:hanging="360"/>
      </w:pPr>
    </w:lvl>
    <w:lvl w:ilvl="2" w:tplc="BA7C9B28" w:tentative="1">
      <w:start w:val="1"/>
      <w:numFmt w:val="lowerRoman"/>
      <w:lvlText w:val="%3."/>
      <w:lvlJc w:val="right"/>
      <w:pPr>
        <w:ind w:left="2160" w:hanging="180"/>
      </w:pPr>
    </w:lvl>
    <w:lvl w:ilvl="3" w:tplc="D636811E" w:tentative="1">
      <w:start w:val="1"/>
      <w:numFmt w:val="decimal"/>
      <w:lvlText w:val="%4."/>
      <w:lvlJc w:val="left"/>
      <w:pPr>
        <w:ind w:left="2880" w:hanging="360"/>
      </w:pPr>
    </w:lvl>
    <w:lvl w:ilvl="4" w:tplc="D1648B40" w:tentative="1">
      <w:start w:val="1"/>
      <w:numFmt w:val="lowerLetter"/>
      <w:lvlText w:val="%5."/>
      <w:lvlJc w:val="left"/>
      <w:pPr>
        <w:ind w:left="3600" w:hanging="360"/>
      </w:pPr>
    </w:lvl>
    <w:lvl w:ilvl="5" w:tplc="82EC0B20" w:tentative="1">
      <w:start w:val="1"/>
      <w:numFmt w:val="lowerRoman"/>
      <w:lvlText w:val="%6."/>
      <w:lvlJc w:val="right"/>
      <w:pPr>
        <w:ind w:left="4320" w:hanging="180"/>
      </w:pPr>
    </w:lvl>
    <w:lvl w:ilvl="6" w:tplc="0CC2CD88" w:tentative="1">
      <w:start w:val="1"/>
      <w:numFmt w:val="decimal"/>
      <w:lvlText w:val="%7."/>
      <w:lvlJc w:val="left"/>
      <w:pPr>
        <w:ind w:left="5040" w:hanging="360"/>
      </w:pPr>
    </w:lvl>
    <w:lvl w:ilvl="7" w:tplc="7C94B416" w:tentative="1">
      <w:start w:val="1"/>
      <w:numFmt w:val="lowerLetter"/>
      <w:lvlText w:val="%8."/>
      <w:lvlJc w:val="left"/>
      <w:pPr>
        <w:ind w:left="5760" w:hanging="360"/>
      </w:pPr>
    </w:lvl>
    <w:lvl w:ilvl="8" w:tplc="29FC1D84" w:tentative="1">
      <w:start w:val="1"/>
      <w:numFmt w:val="lowerRoman"/>
      <w:lvlText w:val="%9."/>
      <w:lvlJc w:val="right"/>
      <w:pPr>
        <w:ind w:left="6480" w:hanging="180"/>
      </w:pPr>
    </w:lvl>
  </w:abstractNum>
  <w:abstractNum w:abstractNumId="17" w15:restartNumberingAfterBreak="0">
    <w:nsid w:val="23B229F0"/>
    <w:multiLevelType w:val="hybridMultilevel"/>
    <w:tmpl w:val="3D044C48"/>
    <w:lvl w:ilvl="0" w:tplc="1CCC40E0">
      <w:start w:val="1"/>
      <w:numFmt w:val="decimal"/>
      <w:lvlText w:val="%1."/>
      <w:lvlJc w:val="left"/>
      <w:pPr>
        <w:ind w:left="360" w:hanging="360"/>
      </w:pPr>
      <w:rPr>
        <w:rFonts w:asciiTheme="minorHAnsi" w:hAnsiTheme="minorHAnsi" w:cstheme="minorHAnsi" w:hint="default"/>
        <w:b w:val="0"/>
        <w:i w:val="0"/>
        <w:color w:val="auto"/>
      </w:rPr>
    </w:lvl>
    <w:lvl w:ilvl="1" w:tplc="D8BC2AC0">
      <w:start w:val="1"/>
      <w:numFmt w:val="lowerLetter"/>
      <w:lvlText w:val="(%2)"/>
      <w:lvlJc w:val="left"/>
      <w:pPr>
        <w:ind w:left="900" w:hanging="360"/>
      </w:pPr>
      <w:rPr>
        <w:rFonts w:hint="default"/>
        <w:b w:val="0"/>
        <w:sz w:val="22"/>
        <w:szCs w:val="22"/>
      </w:rPr>
    </w:lvl>
    <w:lvl w:ilvl="2" w:tplc="51DCBBBC" w:tentative="1">
      <w:start w:val="1"/>
      <w:numFmt w:val="lowerRoman"/>
      <w:lvlText w:val="%3."/>
      <w:lvlJc w:val="right"/>
      <w:pPr>
        <w:ind w:left="1620" w:hanging="180"/>
      </w:pPr>
    </w:lvl>
    <w:lvl w:ilvl="3" w:tplc="CC5CA030">
      <w:start w:val="1"/>
      <w:numFmt w:val="bullet"/>
      <w:lvlText w:val=""/>
      <w:lvlJc w:val="left"/>
      <w:pPr>
        <w:ind w:left="360" w:hanging="360"/>
      </w:pPr>
      <w:rPr>
        <w:rFonts w:ascii="Symbol" w:hAnsi="Symbol" w:hint="default"/>
      </w:rPr>
    </w:lvl>
    <w:lvl w:ilvl="4" w:tplc="CF8243A2" w:tentative="1">
      <w:start w:val="1"/>
      <w:numFmt w:val="lowerLetter"/>
      <w:lvlText w:val="%5."/>
      <w:lvlJc w:val="left"/>
      <w:pPr>
        <w:ind w:left="3060" w:hanging="360"/>
      </w:pPr>
    </w:lvl>
    <w:lvl w:ilvl="5" w:tplc="28580E7C" w:tentative="1">
      <w:start w:val="1"/>
      <w:numFmt w:val="lowerRoman"/>
      <w:lvlText w:val="%6."/>
      <w:lvlJc w:val="right"/>
      <w:pPr>
        <w:ind w:left="3780" w:hanging="180"/>
      </w:pPr>
    </w:lvl>
    <w:lvl w:ilvl="6" w:tplc="28AA6F70" w:tentative="1">
      <w:start w:val="1"/>
      <w:numFmt w:val="decimal"/>
      <w:lvlText w:val="%7."/>
      <w:lvlJc w:val="left"/>
      <w:pPr>
        <w:ind w:left="4500" w:hanging="360"/>
      </w:pPr>
    </w:lvl>
    <w:lvl w:ilvl="7" w:tplc="7FEC278E" w:tentative="1">
      <w:start w:val="1"/>
      <w:numFmt w:val="lowerLetter"/>
      <w:lvlText w:val="%8."/>
      <w:lvlJc w:val="left"/>
      <w:pPr>
        <w:ind w:left="5220" w:hanging="360"/>
      </w:pPr>
    </w:lvl>
    <w:lvl w:ilvl="8" w:tplc="E7F443D2" w:tentative="1">
      <w:start w:val="1"/>
      <w:numFmt w:val="lowerRoman"/>
      <w:lvlText w:val="%9."/>
      <w:lvlJc w:val="right"/>
      <w:pPr>
        <w:ind w:left="5940" w:hanging="180"/>
      </w:pPr>
    </w:lvl>
  </w:abstractNum>
  <w:abstractNum w:abstractNumId="18" w15:restartNumberingAfterBreak="0">
    <w:nsid w:val="23F702A3"/>
    <w:multiLevelType w:val="hybridMultilevel"/>
    <w:tmpl w:val="62667E1E"/>
    <w:lvl w:ilvl="0" w:tplc="8CF2B36E">
      <w:start w:val="1"/>
      <w:numFmt w:val="decimal"/>
      <w:lvlText w:val="%1."/>
      <w:lvlJc w:val="left"/>
      <w:pPr>
        <w:ind w:left="360" w:hanging="360"/>
      </w:pPr>
      <w:rPr>
        <w:rFonts w:asciiTheme="minorHAnsi" w:hAnsiTheme="minorHAnsi" w:cstheme="minorHAnsi" w:hint="default"/>
        <w:b w:val="0"/>
        <w:i w:val="0"/>
        <w:color w:val="auto"/>
      </w:rPr>
    </w:lvl>
    <w:lvl w:ilvl="1" w:tplc="18664026">
      <w:start w:val="1"/>
      <w:numFmt w:val="lowerLetter"/>
      <w:lvlText w:val="(%2)"/>
      <w:lvlJc w:val="left"/>
      <w:pPr>
        <w:ind w:left="900" w:hanging="360"/>
      </w:pPr>
      <w:rPr>
        <w:rFonts w:hint="default"/>
        <w:b w:val="0"/>
        <w:sz w:val="22"/>
        <w:szCs w:val="22"/>
      </w:rPr>
    </w:lvl>
    <w:lvl w:ilvl="2" w:tplc="5524D088" w:tentative="1">
      <w:start w:val="1"/>
      <w:numFmt w:val="lowerRoman"/>
      <w:lvlText w:val="%3."/>
      <w:lvlJc w:val="right"/>
      <w:pPr>
        <w:ind w:left="1620" w:hanging="180"/>
      </w:pPr>
    </w:lvl>
    <w:lvl w:ilvl="3" w:tplc="96EC7E02">
      <w:start w:val="1"/>
      <w:numFmt w:val="bullet"/>
      <w:lvlText w:val=""/>
      <w:lvlJc w:val="left"/>
      <w:pPr>
        <w:ind w:left="360" w:hanging="360"/>
      </w:pPr>
      <w:rPr>
        <w:rFonts w:ascii="Symbol" w:hAnsi="Symbol" w:hint="default"/>
      </w:rPr>
    </w:lvl>
    <w:lvl w:ilvl="4" w:tplc="8326BBDE" w:tentative="1">
      <w:start w:val="1"/>
      <w:numFmt w:val="lowerLetter"/>
      <w:lvlText w:val="%5."/>
      <w:lvlJc w:val="left"/>
      <w:pPr>
        <w:ind w:left="3060" w:hanging="360"/>
      </w:pPr>
    </w:lvl>
    <w:lvl w:ilvl="5" w:tplc="D7F0C08C" w:tentative="1">
      <w:start w:val="1"/>
      <w:numFmt w:val="lowerRoman"/>
      <w:lvlText w:val="%6."/>
      <w:lvlJc w:val="right"/>
      <w:pPr>
        <w:ind w:left="3780" w:hanging="180"/>
      </w:pPr>
    </w:lvl>
    <w:lvl w:ilvl="6" w:tplc="3B5813EA" w:tentative="1">
      <w:start w:val="1"/>
      <w:numFmt w:val="decimal"/>
      <w:lvlText w:val="%7."/>
      <w:lvlJc w:val="left"/>
      <w:pPr>
        <w:ind w:left="4500" w:hanging="360"/>
      </w:pPr>
    </w:lvl>
    <w:lvl w:ilvl="7" w:tplc="7AA6972E" w:tentative="1">
      <w:start w:val="1"/>
      <w:numFmt w:val="lowerLetter"/>
      <w:lvlText w:val="%8."/>
      <w:lvlJc w:val="left"/>
      <w:pPr>
        <w:ind w:left="5220" w:hanging="360"/>
      </w:pPr>
    </w:lvl>
    <w:lvl w:ilvl="8" w:tplc="2E2A45A4" w:tentative="1">
      <w:start w:val="1"/>
      <w:numFmt w:val="lowerRoman"/>
      <w:lvlText w:val="%9."/>
      <w:lvlJc w:val="right"/>
      <w:pPr>
        <w:ind w:left="5940" w:hanging="180"/>
      </w:pPr>
    </w:lvl>
  </w:abstractNum>
  <w:abstractNum w:abstractNumId="19" w15:restartNumberingAfterBreak="0">
    <w:nsid w:val="24285788"/>
    <w:multiLevelType w:val="hybridMultilevel"/>
    <w:tmpl w:val="30CA18FE"/>
    <w:lvl w:ilvl="0" w:tplc="7D127E6A">
      <w:start w:val="1"/>
      <w:numFmt w:val="lowerRoman"/>
      <w:lvlText w:val="(%1)"/>
      <w:lvlJc w:val="left"/>
      <w:pPr>
        <w:ind w:left="720" w:hanging="360"/>
      </w:pPr>
      <w:rPr>
        <w:rFonts w:asciiTheme="minorHAnsi" w:hAnsiTheme="minorHAnsi" w:cstheme="minorHAnsi" w:hint="default"/>
        <w:b w:val="0"/>
      </w:rPr>
    </w:lvl>
    <w:lvl w:ilvl="1" w:tplc="37A63F78">
      <w:start w:val="1"/>
      <w:numFmt w:val="lowerLetter"/>
      <w:lvlText w:val="%2."/>
      <w:lvlJc w:val="left"/>
      <w:pPr>
        <w:ind w:left="1440" w:hanging="360"/>
      </w:pPr>
    </w:lvl>
    <w:lvl w:ilvl="2" w:tplc="63F07994" w:tentative="1">
      <w:start w:val="1"/>
      <w:numFmt w:val="lowerRoman"/>
      <w:lvlText w:val="%3."/>
      <w:lvlJc w:val="right"/>
      <w:pPr>
        <w:ind w:left="2160" w:hanging="180"/>
      </w:pPr>
    </w:lvl>
    <w:lvl w:ilvl="3" w:tplc="BC7EBE76" w:tentative="1">
      <w:start w:val="1"/>
      <w:numFmt w:val="decimal"/>
      <w:lvlText w:val="%4."/>
      <w:lvlJc w:val="left"/>
      <w:pPr>
        <w:ind w:left="2880" w:hanging="360"/>
      </w:pPr>
    </w:lvl>
    <w:lvl w:ilvl="4" w:tplc="28F0DFB8" w:tentative="1">
      <w:start w:val="1"/>
      <w:numFmt w:val="lowerLetter"/>
      <w:lvlText w:val="%5."/>
      <w:lvlJc w:val="left"/>
      <w:pPr>
        <w:ind w:left="3600" w:hanging="360"/>
      </w:pPr>
    </w:lvl>
    <w:lvl w:ilvl="5" w:tplc="13F269A6" w:tentative="1">
      <w:start w:val="1"/>
      <w:numFmt w:val="lowerRoman"/>
      <w:lvlText w:val="%6."/>
      <w:lvlJc w:val="right"/>
      <w:pPr>
        <w:ind w:left="4320" w:hanging="180"/>
      </w:pPr>
    </w:lvl>
    <w:lvl w:ilvl="6" w:tplc="9CF00E88" w:tentative="1">
      <w:start w:val="1"/>
      <w:numFmt w:val="decimal"/>
      <w:lvlText w:val="%7."/>
      <w:lvlJc w:val="left"/>
      <w:pPr>
        <w:ind w:left="5040" w:hanging="360"/>
      </w:pPr>
    </w:lvl>
    <w:lvl w:ilvl="7" w:tplc="BDF84936" w:tentative="1">
      <w:start w:val="1"/>
      <w:numFmt w:val="lowerLetter"/>
      <w:lvlText w:val="%8."/>
      <w:lvlJc w:val="left"/>
      <w:pPr>
        <w:ind w:left="5760" w:hanging="360"/>
      </w:pPr>
    </w:lvl>
    <w:lvl w:ilvl="8" w:tplc="EF88C36C" w:tentative="1">
      <w:start w:val="1"/>
      <w:numFmt w:val="lowerRoman"/>
      <w:lvlText w:val="%9."/>
      <w:lvlJc w:val="right"/>
      <w:pPr>
        <w:ind w:left="6480" w:hanging="180"/>
      </w:pPr>
    </w:lvl>
  </w:abstractNum>
  <w:abstractNum w:abstractNumId="20" w15:restartNumberingAfterBreak="1">
    <w:nsid w:val="244685FC"/>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4DA0682"/>
    <w:multiLevelType w:val="hybridMultilevel"/>
    <w:tmpl w:val="D17282F0"/>
    <w:lvl w:ilvl="0" w:tplc="D4A42B5C">
      <w:start w:val="1"/>
      <w:numFmt w:val="bullet"/>
      <w:lvlText w:val=""/>
      <w:lvlJc w:val="left"/>
      <w:pPr>
        <w:ind w:left="1170" w:hanging="360"/>
      </w:pPr>
      <w:rPr>
        <w:rFonts w:ascii="Symbol" w:hAnsi="Symbol" w:hint="default"/>
      </w:rPr>
    </w:lvl>
    <w:lvl w:ilvl="1" w:tplc="ABE03550" w:tentative="1">
      <w:start w:val="1"/>
      <w:numFmt w:val="bullet"/>
      <w:lvlText w:val="o"/>
      <w:lvlJc w:val="left"/>
      <w:pPr>
        <w:ind w:left="1890" w:hanging="360"/>
      </w:pPr>
      <w:rPr>
        <w:rFonts w:ascii="Courier New" w:hAnsi="Courier New" w:cs="Courier New" w:hint="default"/>
      </w:rPr>
    </w:lvl>
    <w:lvl w:ilvl="2" w:tplc="900A4654" w:tentative="1">
      <w:start w:val="1"/>
      <w:numFmt w:val="bullet"/>
      <w:lvlText w:val=""/>
      <w:lvlJc w:val="left"/>
      <w:pPr>
        <w:ind w:left="2610" w:hanging="360"/>
      </w:pPr>
      <w:rPr>
        <w:rFonts w:ascii="Wingdings" w:hAnsi="Wingdings" w:hint="default"/>
      </w:rPr>
    </w:lvl>
    <w:lvl w:ilvl="3" w:tplc="78A279B6" w:tentative="1">
      <w:start w:val="1"/>
      <w:numFmt w:val="bullet"/>
      <w:lvlText w:val=""/>
      <w:lvlJc w:val="left"/>
      <w:pPr>
        <w:ind w:left="3330" w:hanging="360"/>
      </w:pPr>
      <w:rPr>
        <w:rFonts w:ascii="Symbol" w:hAnsi="Symbol" w:hint="default"/>
      </w:rPr>
    </w:lvl>
    <w:lvl w:ilvl="4" w:tplc="C916C844" w:tentative="1">
      <w:start w:val="1"/>
      <w:numFmt w:val="bullet"/>
      <w:lvlText w:val="o"/>
      <w:lvlJc w:val="left"/>
      <w:pPr>
        <w:ind w:left="4050" w:hanging="360"/>
      </w:pPr>
      <w:rPr>
        <w:rFonts w:ascii="Courier New" w:hAnsi="Courier New" w:cs="Courier New" w:hint="default"/>
      </w:rPr>
    </w:lvl>
    <w:lvl w:ilvl="5" w:tplc="78781EB0" w:tentative="1">
      <w:start w:val="1"/>
      <w:numFmt w:val="bullet"/>
      <w:lvlText w:val=""/>
      <w:lvlJc w:val="left"/>
      <w:pPr>
        <w:ind w:left="4770" w:hanging="360"/>
      </w:pPr>
      <w:rPr>
        <w:rFonts w:ascii="Wingdings" w:hAnsi="Wingdings" w:hint="default"/>
      </w:rPr>
    </w:lvl>
    <w:lvl w:ilvl="6" w:tplc="BE5663E0" w:tentative="1">
      <w:start w:val="1"/>
      <w:numFmt w:val="bullet"/>
      <w:lvlText w:val=""/>
      <w:lvlJc w:val="left"/>
      <w:pPr>
        <w:ind w:left="5490" w:hanging="360"/>
      </w:pPr>
      <w:rPr>
        <w:rFonts w:ascii="Symbol" w:hAnsi="Symbol" w:hint="default"/>
      </w:rPr>
    </w:lvl>
    <w:lvl w:ilvl="7" w:tplc="2048CECC" w:tentative="1">
      <w:start w:val="1"/>
      <w:numFmt w:val="bullet"/>
      <w:lvlText w:val="o"/>
      <w:lvlJc w:val="left"/>
      <w:pPr>
        <w:ind w:left="6210" w:hanging="360"/>
      </w:pPr>
      <w:rPr>
        <w:rFonts w:ascii="Courier New" w:hAnsi="Courier New" w:cs="Courier New" w:hint="default"/>
      </w:rPr>
    </w:lvl>
    <w:lvl w:ilvl="8" w:tplc="177666CC" w:tentative="1">
      <w:start w:val="1"/>
      <w:numFmt w:val="bullet"/>
      <w:lvlText w:val=""/>
      <w:lvlJc w:val="left"/>
      <w:pPr>
        <w:ind w:left="6930" w:hanging="360"/>
      </w:pPr>
      <w:rPr>
        <w:rFonts w:ascii="Wingdings" w:hAnsi="Wingdings" w:hint="default"/>
      </w:rPr>
    </w:lvl>
  </w:abstractNum>
  <w:abstractNum w:abstractNumId="22" w15:restartNumberingAfterBreak="0">
    <w:nsid w:val="256E3914"/>
    <w:multiLevelType w:val="hybridMultilevel"/>
    <w:tmpl w:val="E4F4EB94"/>
    <w:lvl w:ilvl="0" w:tplc="EF60EED8">
      <w:start w:val="1"/>
      <w:numFmt w:val="bullet"/>
      <w:lvlText w:val=""/>
      <w:lvlJc w:val="left"/>
      <w:pPr>
        <w:ind w:left="720" w:hanging="360"/>
      </w:pPr>
      <w:rPr>
        <w:rFonts w:ascii="Symbol" w:hAnsi="Symbol" w:hint="default"/>
      </w:rPr>
    </w:lvl>
    <w:lvl w:ilvl="1" w:tplc="5C106864" w:tentative="1">
      <w:start w:val="1"/>
      <w:numFmt w:val="bullet"/>
      <w:lvlText w:val="o"/>
      <w:lvlJc w:val="left"/>
      <w:pPr>
        <w:ind w:left="1440" w:hanging="360"/>
      </w:pPr>
      <w:rPr>
        <w:rFonts w:ascii="Courier New" w:hAnsi="Courier New" w:cs="Courier New" w:hint="default"/>
      </w:rPr>
    </w:lvl>
    <w:lvl w:ilvl="2" w:tplc="4DB8E264" w:tentative="1">
      <w:start w:val="1"/>
      <w:numFmt w:val="bullet"/>
      <w:lvlText w:val=""/>
      <w:lvlJc w:val="left"/>
      <w:pPr>
        <w:ind w:left="2160" w:hanging="360"/>
      </w:pPr>
      <w:rPr>
        <w:rFonts w:ascii="Wingdings" w:hAnsi="Wingdings" w:hint="default"/>
      </w:rPr>
    </w:lvl>
    <w:lvl w:ilvl="3" w:tplc="CCAED22E" w:tentative="1">
      <w:start w:val="1"/>
      <w:numFmt w:val="bullet"/>
      <w:lvlText w:val=""/>
      <w:lvlJc w:val="left"/>
      <w:pPr>
        <w:ind w:left="2880" w:hanging="360"/>
      </w:pPr>
      <w:rPr>
        <w:rFonts w:ascii="Symbol" w:hAnsi="Symbol" w:hint="default"/>
      </w:rPr>
    </w:lvl>
    <w:lvl w:ilvl="4" w:tplc="DF86C91A" w:tentative="1">
      <w:start w:val="1"/>
      <w:numFmt w:val="bullet"/>
      <w:lvlText w:val="o"/>
      <w:lvlJc w:val="left"/>
      <w:pPr>
        <w:ind w:left="3600" w:hanging="360"/>
      </w:pPr>
      <w:rPr>
        <w:rFonts w:ascii="Courier New" w:hAnsi="Courier New" w:cs="Courier New" w:hint="default"/>
      </w:rPr>
    </w:lvl>
    <w:lvl w:ilvl="5" w:tplc="A732ABD4" w:tentative="1">
      <w:start w:val="1"/>
      <w:numFmt w:val="bullet"/>
      <w:lvlText w:val=""/>
      <w:lvlJc w:val="left"/>
      <w:pPr>
        <w:ind w:left="4320" w:hanging="360"/>
      </w:pPr>
      <w:rPr>
        <w:rFonts w:ascii="Wingdings" w:hAnsi="Wingdings" w:hint="default"/>
      </w:rPr>
    </w:lvl>
    <w:lvl w:ilvl="6" w:tplc="6F5CB77C" w:tentative="1">
      <w:start w:val="1"/>
      <w:numFmt w:val="bullet"/>
      <w:lvlText w:val=""/>
      <w:lvlJc w:val="left"/>
      <w:pPr>
        <w:ind w:left="5040" w:hanging="360"/>
      </w:pPr>
      <w:rPr>
        <w:rFonts w:ascii="Symbol" w:hAnsi="Symbol" w:hint="default"/>
      </w:rPr>
    </w:lvl>
    <w:lvl w:ilvl="7" w:tplc="B9BCEBCA" w:tentative="1">
      <w:start w:val="1"/>
      <w:numFmt w:val="bullet"/>
      <w:lvlText w:val="o"/>
      <w:lvlJc w:val="left"/>
      <w:pPr>
        <w:ind w:left="5760" w:hanging="360"/>
      </w:pPr>
      <w:rPr>
        <w:rFonts w:ascii="Courier New" w:hAnsi="Courier New" w:cs="Courier New" w:hint="default"/>
      </w:rPr>
    </w:lvl>
    <w:lvl w:ilvl="8" w:tplc="69740F58" w:tentative="1">
      <w:start w:val="1"/>
      <w:numFmt w:val="bullet"/>
      <w:lvlText w:val=""/>
      <w:lvlJc w:val="left"/>
      <w:pPr>
        <w:ind w:left="6480" w:hanging="360"/>
      </w:pPr>
      <w:rPr>
        <w:rFonts w:ascii="Wingdings" w:hAnsi="Wingdings" w:hint="default"/>
      </w:rPr>
    </w:lvl>
  </w:abstractNum>
  <w:abstractNum w:abstractNumId="23" w15:restartNumberingAfterBreak="0">
    <w:nsid w:val="25822CCF"/>
    <w:multiLevelType w:val="hybridMultilevel"/>
    <w:tmpl w:val="69C0844A"/>
    <w:lvl w:ilvl="0" w:tplc="63C27B70">
      <w:start w:val="1"/>
      <w:numFmt w:val="lowerLetter"/>
      <w:lvlText w:val="(%1)"/>
      <w:lvlJc w:val="left"/>
      <w:pPr>
        <w:ind w:left="810" w:hanging="360"/>
      </w:pPr>
      <w:rPr>
        <w:rFonts w:hint="default"/>
        <w:b w:val="0"/>
        <w:sz w:val="24"/>
        <w:szCs w:val="24"/>
      </w:rPr>
    </w:lvl>
    <w:lvl w:ilvl="1" w:tplc="F7DC5228" w:tentative="1">
      <w:start w:val="1"/>
      <w:numFmt w:val="lowerLetter"/>
      <w:lvlText w:val="%2."/>
      <w:lvlJc w:val="left"/>
      <w:pPr>
        <w:ind w:left="1530" w:hanging="360"/>
      </w:pPr>
    </w:lvl>
    <w:lvl w:ilvl="2" w:tplc="3532153C" w:tentative="1">
      <w:start w:val="1"/>
      <w:numFmt w:val="lowerRoman"/>
      <w:lvlText w:val="%3."/>
      <w:lvlJc w:val="right"/>
      <w:pPr>
        <w:ind w:left="2250" w:hanging="180"/>
      </w:pPr>
    </w:lvl>
    <w:lvl w:ilvl="3" w:tplc="11B0DDB2" w:tentative="1">
      <w:start w:val="1"/>
      <w:numFmt w:val="decimal"/>
      <w:lvlText w:val="%4."/>
      <w:lvlJc w:val="left"/>
      <w:pPr>
        <w:ind w:left="2970" w:hanging="360"/>
      </w:pPr>
    </w:lvl>
    <w:lvl w:ilvl="4" w:tplc="7BD2C442" w:tentative="1">
      <w:start w:val="1"/>
      <w:numFmt w:val="lowerLetter"/>
      <w:lvlText w:val="%5."/>
      <w:lvlJc w:val="left"/>
      <w:pPr>
        <w:ind w:left="3690" w:hanging="360"/>
      </w:pPr>
    </w:lvl>
    <w:lvl w:ilvl="5" w:tplc="8988C3B0" w:tentative="1">
      <w:start w:val="1"/>
      <w:numFmt w:val="lowerRoman"/>
      <w:lvlText w:val="%6."/>
      <w:lvlJc w:val="right"/>
      <w:pPr>
        <w:ind w:left="4410" w:hanging="180"/>
      </w:pPr>
    </w:lvl>
    <w:lvl w:ilvl="6" w:tplc="D404261C" w:tentative="1">
      <w:start w:val="1"/>
      <w:numFmt w:val="decimal"/>
      <w:lvlText w:val="%7."/>
      <w:lvlJc w:val="left"/>
      <w:pPr>
        <w:ind w:left="5130" w:hanging="360"/>
      </w:pPr>
    </w:lvl>
    <w:lvl w:ilvl="7" w:tplc="85C8CB12" w:tentative="1">
      <w:start w:val="1"/>
      <w:numFmt w:val="lowerLetter"/>
      <w:lvlText w:val="%8."/>
      <w:lvlJc w:val="left"/>
      <w:pPr>
        <w:ind w:left="5850" w:hanging="360"/>
      </w:pPr>
    </w:lvl>
    <w:lvl w:ilvl="8" w:tplc="E806B656" w:tentative="1">
      <w:start w:val="1"/>
      <w:numFmt w:val="lowerRoman"/>
      <w:lvlText w:val="%9."/>
      <w:lvlJc w:val="right"/>
      <w:pPr>
        <w:ind w:left="6570" w:hanging="180"/>
      </w:pPr>
    </w:lvl>
  </w:abstractNum>
  <w:abstractNum w:abstractNumId="24" w15:restartNumberingAfterBreak="0">
    <w:nsid w:val="25AD1A9D"/>
    <w:multiLevelType w:val="hybridMultilevel"/>
    <w:tmpl w:val="8B72FD98"/>
    <w:lvl w:ilvl="0" w:tplc="6FC8E900">
      <w:start w:val="1"/>
      <w:numFmt w:val="lowerLetter"/>
      <w:lvlText w:val="(%1)"/>
      <w:lvlJc w:val="left"/>
      <w:pPr>
        <w:ind w:left="1080" w:hanging="360"/>
      </w:pPr>
      <w:rPr>
        <w:rFonts w:hint="default"/>
      </w:rPr>
    </w:lvl>
    <w:lvl w:ilvl="1" w:tplc="39829348" w:tentative="1">
      <w:start w:val="1"/>
      <w:numFmt w:val="lowerLetter"/>
      <w:lvlText w:val="%2."/>
      <w:lvlJc w:val="left"/>
      <w:pPr>
        <w:ind w:left="1800" w:hanging="360"/>
      </w:pPr>
    </w:lvl>
    <w:lvl w:ilvl="2" w:tplc="AE2C6EC2" w:tentative="1">
      <w:start w:val="1"/>
      <w:numFmt w:val="lowerRoman"/>
      <w:lvlText w:val="%3."/>
      <w:lvlJc w:val="right"/>
      <w:pPr>
        <w:ind w:left="2520" w:hanging="180"/>
      </w:pPr>
    </w:lvl>
    <w:lvl w:ilvl="3" w:tplc="767AB1FA" w:tentative="1">
      <w:start w:val="1"/>
      <w:numFmt w:val="decimal"/>
      <w:lvlText w:val="%4."/>
      <w:lvlJc w:val="left"/>
      <w:pPr>
        <w:ind w:left="3240" w:hanging="360"/>
      </w:pPr>
    </w:lvl>
    <w:lvl w:ilvl="4" w:tplc="5EEE63D6" w:tentative="1">
      <w:start w:val="1"/>
      <w:numFmt w:val="lowerLetter"/>
      <w:lvlText w:val="%5."/>
      <w:lvlJc w:val="left"/>
      <w:pPr>
        <w:ind w:left="3960" w:hanging="360"/>
      </w:pPr>
    </w:lvl>
    <w:lvl w:ilvl="5" w:tplc="8B42F7E0" w:tentative="1">
      <w:start w:val="1"/>
      <w:numFmt w:val="lowerRoman"/>
      <w:lvlText w:val="%6."/>
      <w:lvlJc w:val="right"/>
      <w:pPr>
        <w:ind w:left="4680" w:hanging="180"/>
      </w:pPr>
    </w:lvl>
    <w:lvl w:ilvl="6" w:tplc="DA520AD8" w:tentative="1">
      <w:start w:val="1"/>
      <w:numFmt w:val="decimal"/>
      <w:lvlText w:val="%7."/>
      <w:lvlJc w:val="left"/>
      <w:pPr>
        <w:ind w:left="5400" w:hanging="360"/>
      </w:pPr>
    </w:lvl>
    <w:lvl w:ilvl="7" w:tplc="7B42335A" w:tentative="1">
      <w:start w:val="1"/>
      <w:numFmt w:val="lowerLetter"/>
      <w:lvlText w:val="%8."/>
      <w:lvlJc w:val="left"/>
      <w:pPr>
        <w:ind w:left="6120" w:hanging="360"/>
      </w:pPr>
    </w:lvl>
    <w:lvl w:ilvl="8" w:tplc="4E9C3DBC" w:tentative="1">
      <w:start w:val="1"/>
      <w:numFmt w:val="lowerRoman"/>
      <w:lvlText w:val="%9."/>
      <w:lvlJc w:val="right"/>
      <w:pPr>
        <w:ind w:left="6840" w:hanging="180"/>
      </w:pPr>
    </w:lvl>
  </w:abstractNum>
  <w:abstractNum w:abstractNumId="25" w15:restartNumberingAfterBreak="0">
    <w:nsid w:val="25AE3716"/>
    <w:multiLevelType w:val="hybridMultilevel"/>
    <w:tmpl w:val="7C3EF0BE"/>
    <w:lvl w:ilvl="0" w:tplc="39A4C990">
      <w:start w:val="1"/>
      <w:numFmt w:val="decimal"/>
      <w:lvlText w:val="%1."/>
      <w:lvlJc w:val="left"/>
      <w:pPr>
        <w:ind w:left="0" w:firstLine="0"/>
      </w:pPr>
      <w:rPr>
        <w:rFonts w:asciiTheme="minorHAnsi" w:hAnsiTheme="minorHAnsi" w:cstheme="minorHAnsi" w:hint="default"/>
        <w:b w:val="0"/>
        <w:color w:val="auto"/>
        <w:sz w:val="22"/>
        <w:szCs w:val="22"/>
      </w:rPr>
    </w:lvl>
    <w:lvl w:ilvl="1" w:tplc="34C4A2F0" w:tentative="1">
      <w:start w:val="1"/>
      <w:numFmt w:val="lowerLetter"/>
      <w:lvlText w:val="%2."/>
      <w:lvlJc w:val="left"/>
      <w:pPr>
        <w:ind w:left="1530" w:hanging="360"/>
      </w:pPr>
    </w:lvl>
    <w:lvl w:ilvl="2" w:tplc="6E02CD10" w:tentative="1">
      <w:start w:val="1"/>
      <w:numFmt w:val="lowerRoman"/>
      <w:lvlText w:val="%3."/>
      <w:lvlJc w:val="right"/>
      <w:pPr>
        <w:ind w:left="2250" w:hanging="180"/>
      </w:pPr>
    </w:lvl>
    <w:lvl w:ilvl="3" w:tplc="67E2A0F2" w:tentative="1">
      <w:start w:val="1"/>
      <w:numFmt w:val="decimal"/>
      <w:lvlText w:val="%4."/>
      <w:lvlJc w:val="left"/>
      <w:pPr>
        <w:ind w:left="2970" w:hanging="360"/>
      </w:pPr>
    </w:lvl>
    <w:lvl w:ilvl="4" w:tplc="FC78533C" w:tentative="1">
      <w:start w:val="1"/>
      <w:numFmt w:val="lowerLetter"/>
      <w:lvlText w:val="%5."/>
      <w:lvlJc w:val="left"/>
      <w:pPr>
        <w:ind w:left="3690" w:hanging="360"/>
      </w:pPr>
    </w:lvl>
    <w:lvl w:ilvl="5" w:tplc="81B4732C" w:tentative="1">
      <w:start w:val="1"/>
      <w:numFmt w:val="lowerRoman"/>
      <w:lvlText w:val="%6."/>
      <w:lvlJc w:val="right"/>
      <w:pPr>
        <w:ind w:left="4410" w:hanging="180"/>
      </w:pPr>
    </w:lvl>
    <w:lvl w:ilvl="6" w:tplc="F79A661A" w:tentative="1">
      <w:start w:val="1"/>
      <w:numFmt w:val="decimal"/>
      <w:lvlText w:val="%7."/>
      <w:lvlJc w:val="left"/>
      <w:pPr>
        <w:ind w:left="5130" w:hanging="360"/>
      </w:pPr>
    </w:lvl>
    <w:lvl w:ilvl="7" w:tplc="934C7914" w:tentative="1">
      <w:start w:val="1"/>
      <w:numFmt w:val="lowerLetter"/>
      <w:lvlText w:val="%8."/>
      <w:lvlJc w:val="left"/>
      <w:pPr>
        <w:ind w:left="5850" w:hanging="360"/>
      </w:pPr>
    </w:lvl>
    <w:lvl w:ilvl="8" w:tplc="90964F7E" w:tentative="1">
      <w:start w:val="1"/>
      <w:numFmt w:val="lowerRoman"/>
      <w:lvlText w:val="%9."/>
      <w:lvlJc w:val="right"/>
      <w:pPr>
        <w:ind w:left="6570" w:hanging="180"/>
      </w:pPr>
    </w:lvl>
  </w:abstractNum>
  <w:abstractNum w:abstractNumId="26" w15:restartNumberingAfterBreak="0">
    <w:nsid w:val="26096803"/>
    <w:multiLevelType w:val="hybridMultilevel"/>
    <w:tmpl w:val="08088168"/>
    <w:lvl w:ilvl="0" w:tplc="441419DC">
      <w:start w:val="1"/>
      <w:numFmt w:val="lowerLetter"/>
      <w:lvlText w:val="(%1)"/>
      <w:lvlJc w:val="left"/>
      <w:pPr>
        <w:ind w:left="1440" w:hanging="360"/>
      </w:pPr>
      <w:rPr>
        <w:rFonts w:hint="default"/>
        <w:b w:val="0"/>
        <w:i w:val="0"/>
        <w:color w:val="auto"/>
        <w:sz w:val="22"/>
        <w:szCs w:val="22"/>
      </w:rPr>
    </w:lvl>
    <w:lvl w:ilvl="1" w:tplc="57E2104C">
      <w:start w:val="1"/>
      <w:numFmt w:val="lowerLetter"/>
      <w:lvlText w:val="(%2)"/>
      <w:lvlJc w:val="left"/>
      <w:pPr>
        <w:ind w:left="1980" w:hanging="360"/>
      </w:pPr>
      <w:rPr>
        <w:rFonts w:hint="default"/>
        <w:b w:val="0"/>
        <w:sz w:val="22"/>
        <w:szCs w:val="22"/>
      </w:rPr>
    </w:lvl>
    <w:lvl w:ilvl="2" w:tplc="91B09CB2" w:tentative="1">
      <w:start w:val="1"/>
      <w:numFmt w:val="lowerRoman"/>
      <w:lvlText w:val="%3."/>
      <w:lvlJc w:val="right"/>
      <w:pPr>
        <w:ind w:left="2700" w:hanging="180"/>
      </w:pPr>
    </w:lvl>
    <w:lvl w:ilvl="3" w:tplc="D5F243AE">
      <w:start w:val="1"/>
      <w:numFmt w:val="bullet"/>
      <w:lvlText w:val=""/>
      <w:lvlJc w:val="left"/>
      <w:pPr>
        <w:ind w:left="1440" w:hanging="360"/>
      </w:pPr>
      <w:rPr>
        <w:rFonts w:ascii="Symbol" w:hAnsi="Symbol" w:hint="default"/>
      </w:rPr>
    </w:lvl>
    <w:lvl w:ilvl="4" w:tplc="D72ADD32" w:tentative="1">
      <w:start w:val="1"/>
      <w:numFmt w:val="lowerLetter"/>
      <w:lvlText w:val="%5."/>
      <w:lvlJc w:val="left"/>
      <w:pPr>
        <w:ind w:left="4140" w:hanging="360"/>
      </w:pPr>
    </w:lvl>
    <w:lvl w:ilvl="5" w:tplc="6BD2EAB2" w:tentative="1">
      <w:start w:val="1"/>
      <w:numFmt w:val="lowerRoman"/>
      <w:lvlText w:val="%6."/>
      <w:lvlJc w:val="right"/>
      <w:pPr>
        <w:ind w:left="4860" w:hanging="180"/>
      </w:pPr>
    </w:lvl>
    <w:lvl w:ilvl="6" w:tplc="2DFC97F8" w:tentative="1">
      <w:start w:val="1"/>
      <w:numFmt w:val="decimal"/>
      <w:lvlText w:val="%7."/>
      <w:lvlJc w:val="left"/>
      <w:pPr>
        <w:ind w:left="5580" w:hanging="360"/>
      </w:pPr>
    </w:lvl>
    <w:lvl w:ilvl="7" w:tplc="937C74E8" w:tentative="1">
      <w:start w:val="1"/>
      <w:numFmt w:val="lowerLetter"/>
      <w:lvlText w:val="%8."/>
      <w:lvlJc w:val="left"/>
      <w:pPr>
        <w:ind w:left="6300" w:hanging="360"/>
      </w:pPr>
    </w:lvl>
    <w:lvl w:ilvl="8" w:tplc="7F4600FA" w:tentative="1">
      <w:start w:val="1"/>
      <w:numFmt w:val="lowerRoman"/>
      <w:lvlText w:val="%9."/>
      <w:lvlJc w:val="right"/>
      <w:pPr>
        <w:ind w:left="7020" w:hanging="180"/>
      </w:pPr>
    </w:lvl>
  </w:abstractNum>
  <w:abstractNum w:abstractNumId="27" w15:restartNumberingAfterBreak="0">
    <w:nsid w:val="2622127C"/>
    <w:multiLevelType w:val="hybridMultilevel"/>
    <w:tmpl w:val="D19846F2"/>
    <w:lvl w:ilvl="0" w:tplc="349C8EB0">
      <w:start w:val="1"/>
      <w:numFmt w:val="decimal"/>
      <w:lvlText w:val="%1."/>
      <w:lvlJc w:val="left"/>
      <w:pPr>
        <w:ind w:left="360" w:hanging="360"/>
      </w:pPr>
    </w:lvl>
    <w:lvl w:ilvl="1" w:tplc="6DC0D3F2" w:tentative="1">
      <w:start w:val="1"/>
      <w:numFmt w:val="lowerLetter"/>
      <w:lvlText w:val="%2."/>
      <w:lvlJc w:val="left"/>
      <w:pPr>
        <w:ind w:left="1080" w:hanging="360"/>
      </w:pPr>
    </w:lvl>
    <w:lvl w:ilvl="2" w:tplc="A51A7FDE" w:tentative="1">
      <w:start w:val="1"/>
      <w:numFmt w:val="lowerRoman"/>
      <w:lvlText w:val="%3."/>
      <w:lvlJc w:val="right"/>
      <w:pPr>
        <w:ind w:left="1800" w:hanging="180"/>
      </w:pPr>
    </w:lvl>
    <w:lvl w:ilvl="3" w:tplc="FCEEF704" w:tentative="1">
      <w:start w:val="1"/>
      <w:numFmt w:val="decimal"/>
      <w:lvlText w:val="%4."/>
      <w:lvlJc w:val="left"/>
      <w:pPr>
        <w:ind w:left="2520" w:hanging="360"/>
      </w:pPr>
    </w:lvl>
    <w:lvl w:ilvl="4" w:tplc="DCD0A7B2" w:tentative="1">
      <w:start w:val="1"/>
      <w:numFmt w:val="lowerLetter"/>
      <w:lvlText w:val="%5."/>
      <w:lvlJc w:val="left"/>
      <w:pPr>
        <w:ind w:left="3240" w:hanging="360"/>
      </w:pPr>
    </w:lvl>
    <w:lvl w:ilvl="5" w:tplc="0736264A" w:tentative="1">
      <w:start w:val="1"/>
      <w:numFmt w:val="lowerRoman"/>
      <w:lvlText w:val="%6."/>
      <w:lvlJc w:val="right"/>
      <w:pPr>
        <w:ind w:left="3960" w:hanging="180"/>
      </w:pPr>
    </w:lvl>
    <w:lvl w:ilvl="6" w:tplc="2FC02AB6" w:tentative="1">
      <w:start w:val="1"/>
      <w:numFmt w:val="decimal"/>
      <w:lvlText w:val="%7."/>
      <w:lvlJc w:val="left"/>
      <w:pPr>
        <w:ind w:left="4680" w:hanging="360"/>
      </w:pPr>
    </w:lvl>
    <w:lvl w:ilvl="7" w:tplc="0E0C2EEC" w:tentative="1">
      <w:start w:val="1"/>
      <w:numFmt w:val="lowerLetter"/>
      <w:lvlText w:val="%8."/>
      <w:lvlJc w:val="left"/>
      <w:pPr>
        <w:ind w:left="5400" w:hanging="360"/>
      </w:pPr>
    </w:lvl>
    <w:lvl w:ilvl="8" w:tplc="678E2892" w:tentative="1">
      <w:start w:val="1"/>
      <w:numFmt w:val="lowerRoman"/>
      <w:lvlText w:val="%9."/>
      <w:lvlJc w:val="right"/>
      <w:pPr>
        <w:ind w:left="6120" w:hanging="180"/>
      </w:pPr>
    </w:lvl>
  </w:abstractNum>
  <w:abstractNum w:abstractNumId="28" w15:restartNumberingAfterBreak="0">
    <w:nsid w:val="2B633F3A"/>
    <w:multiLevelType w:val="hybridMultilevel"/>
    <w:tmpl w:val="06F4FA56"/>
    <w:lvl w:ilvl="0" w:tplc="BB5A0400">
      <w:start w:val="1"/>
      <w:numFmt w:val="decimal"/>
      <w:lvlText w:val="%1."/>
      <w:lvlJc w:val="left"/>
      <w:pPr>
        <w:ind w:left="450" w:hanging="360"/>
      </w:pPr>
    </w:lvl>
    <w:lvl w:ilvl="1" w:tplc="D9B0B08E" w:tentative="1">
      <w:start w:val="1"/>
      <w:numFmt w:val="lowerLetter"/>
      <w:lvlText w:val="%2."/>
      <w:lvlJc w:val="left"/>
      <w:pPr>
        <w:ind w:left="1170" w:hanging="360"/>
      </w:pPr>
    </w:lvl>
    <w:lvl w:ilvl="2" w:tplc="CE762DA2" w:tentative="1">
      <w:start w:val="1"/>
      <w:numFmt w:val="lowerRoman"/>
      <w:lvlText w:val="%3."/>
      <w:lvlJc w:val="right"/>
      <w:pPr>
        <w:ind w:left="1890" w:hanging="180"/>
      </w:pPr>
    </w:lvl>
    <w:lvl w:ilvl="3" w:tplc="063EBF5E" w:tentative="1">
      <w:start w:val="1"/>
      <w:numFmt w:val="decimal"/>
      <w:lvlText w:val="%4."/>
      <w:lvlJc w:val="left"/>
      <w:pPr>
        <w:ind w:left="2610" w:hanging="360"/>
      </w:pPr>
    </w:lvl>
    <w:lvl w:ilvl="4" w:tplc="0456C816" w:tentative="1">
      <w:start w:val="1"/>
      <w:numFmt w:val="lowerLetter"/>
      <w:lvlText w:val="%5."/>
      <w:lvlJc w:val="left"/>
      <w:pPr>
        <w:ind w:left="3330" w:hanging="360"/>
      </w:pPr>
    </w:lvl>
    <w:lvl w:ilvl="5" w:tplc="A23EC61E" w:tentative="1">
      <w:start w:val="1"/>
      <w:numFmt w:val="lowerRoman"/>
      <w:lvlText w:val="%6."/>
      <w:lvlJc w:val="right"/>
      <w:pPr>
        <w:ind w:left="4050" w:hanging="180"/>
      </w:pPr>
    </w:lvl>
    <w:lvl w:ilvl="6" w:tplc="F5AA1CEE" w:tentative="1">
      <w:start w:val="1"/>
      <w:numFmt w:val="decimal"/>
      <w:lvlText w:val="%7."/>
      <w:lvlJc w:val="left"/>
      <w:pPr>
        <w:ind w:left="4770" w:hanging="360"/>
      </w:pPr>
    </w:lvl>
    <w:lvl w:ilvl="7" w:tplc="1A0240F0" w:tentative="1">
      <w:start w:val="1"/>
      <w:numFmt w:val="lowerLetter"/>
      <w:lvlText w:val="%8."/>
      <w:lvlJc w:val="left"/>
      <w:pPr>
        <w:ind w:left="5490" w:hanging="360"/>
      </w:pPr>
    </w:lvl>
    <w:lvl w:ilvl="8" w:tplc="B72483E4" w:tentative="1">
      <w:start w:val="1"/>
      <w:numFmt w:val="lowerRoman"/>
      <w:lvlText w:val="%9."/>
      <w:lvlJc w:val="right"/>
      <w:pPr>
        <w:ind w:left="6210" w:hanging="180"/>
      </w:pPr>
    </w:lvl>
  </w:abstractNum>
  <w:abstractNum w:abstractNumId="29" w15:restartNumberingAfterBreak="0">
    <w:nsid w:val="2F6C0531"/>
    <w:multiLevelType w:val="hybridMultilevel"/>
    <w:tmpl w:val="30CA18FE"/>
    <w:lvl w:ilvl="0" w:tplc="BEF66734">
      <w:start w:val="1"/>
      <w:numFmt w:val="lowerRoman"/>
      <w:lvlText w:val="(%1)"/>
      <w:lvlJc w:val="left"/>
      <w:pPr>
        <w:ind w:left="720" w:hanging="360"/>
      </w:pPr>
      <w:rPr>
        <w:rFonts w:asciiTheme="minorHAnsi" w:hAnsiTheme="minorHAnsi" w:cstheme="minorHAnsi" w:hint="default"/>
        <w:b w:val="0"/>
      </w:rPr>
    </w:lvl>
    <w:lvl w:ilvl="1" w:tplc="A07E905A">
      <w:start w:val="1"/>
      <w:numFmt w:val="lowerLetter"/>
      <w:lvlText w:val="%2."/>
      <w:lvlJc w:val="left"/>
      <w:pPr>
        <w:ind w:left="1440" w:hanging="360"/>
      </w:pPr>
    </w:lvl>
    <w:lvl w:ilvl="2" w:tplc="70CCE106" w:tentative="1">
      <w:start w:val="1"/>
      <w:numFmt w:val="lowerRoman"/>
      <w:lvlText w:val="%3."/>
      <w:lvlJc w:val="right"/>
      <w:pPr>
        <w:ind w:left="2160" w:hanging="180"/>
      </w:pPr>
    </w:lvl>
    <w:lvl w:ilvl="3" w:tplc="4BA8EBE8" w:tentative="1">
      <w:start w:val="1"/>
      <w:numFmt w:val="decimal"/>
      <w:lvlText w:val="%4."/>
      <w:lvlJc w:val="left"/>
      <w:pPr>
        <w:ind w:left="2880" w:hanging="360"/>
      </w:pPr>
    </w:lvl>
    <w:lvl w:ilvl="4" w:tplc="C368FB68" w:tentative="1">
      <w:start w:val="1"/>
      <w:numFmt w:val="lowerLetter"/>
      <w:lvlText w:val="%5."/>
      <w:lvlJc w:val="left"/>
      <w:pPr>
        <w:ind w:left="3600" w:hanging="360"/>
      </w:pPr>
    </w:lvl>
    <w:lvl w:ilvl="5" w:tplc="5BE4CA44" w:tentative="1">
      <w:start w:val="1"/>
      <w:numFmt w:val="lowerRoman"/>
      <w:lvlText w:val="%6."/>
      <w:lvlJc w:val="right"/>
      <w:pPr>
        <w:ind w:left="4320" w:hanging="180"/>
      </w:pPr>
    </w:lvl>
    <w:lvl w:ilvl="6" w:tplc="3D9863D4" w:tentative="1">
      <w:start w:val="1"/>
      <w:numFmt w:val="decimal"/>
      <w:lvlText w:val="%7."/>
      <w:lvlJc w:val="left"/>
      <w:pPr>
        <w:ind w:left="5040" w:hanging="360"/>
      </w:pPr>
    </w:lvl>
    <w:lvl w:ilvl="7" w:tplc="14A8C00A" w:tentative="1">
      <w:start w:val="1"/>
      <w:numFmt w:val="lowerLetter"/>
      <w:lvlText w:val="%8."/>
      <w:lvlJc w:val="left"/>
      <w:pPr>
        <w:ind w:left="5760" w:hanging="360"/>
      </w:pPr>
    </w:lvl>
    <w:lvl w:ilvl="8" w:tplc="D9A2966A" w:tentative="1">
      <w:start w:val="1"/>
      <w:numFmt w:val="lowerRoman"/>
      <w:lvlText w:val="%9."/>
      <w:lvlJc w:val="right"/>
      <w:pPr>
        <w:ind w:left="6480" w:hanging="180"/>
      </w:pPr>
    </w:lvl>
  </w:abstractNum>
  <w:abstractNum w:abstractNumId="30" w15:restartNumberingAfterBreak="1">
    <w:nsid w:val="2FFA4C53"/>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2F94037"/>
    <w:multiLevelType w:val="hybridMultilevel"/>
    <w:tmpl w:val="DF205FA0"/>
    <w:lvl w:ilvl="0" w:tplc="51582A6E">
      <w:start w:val="1"/>
      <w:numFmt w:val="lowerRoman"/>
      <w:lvlText w:val="(%1)"/>
      <w:lvlJc w:val="left"/>
      <w:pPr>
        <w:ind w:left="720" w:hanging="360"/>
      </w:pPr>
      <w:rPr>
        <w:rFonts w:hint="default"/>
      </w:rPr>
    </w:lvl>
    <w:lvl w:ilvl="1" w:tplc="085AB3DC" w:tentative="1">
      <w:start w:val="1"/>
      <w:numFmt w:val="lowerLetter"/>
      <w:lvlText w:val="%2."/>
      <w:lvlJc w:val="left"/>
      <w:pPr>
        <w:ind w:left="1440" w:hanging="360"/>
      </w:pPr>
    </w:lvl>
    <w:lvl w:ilvl="2" w:tplc="A92ECD0C" w:tentative="1">
      <w:start w:val="1"/>
      <w:numFmt w:val="lowerRoman"/>
      <w:lvlText w:val="%3."/>
      <w:lvlJc w:val="right"/>
      <w:pPr>
        <w:ind w:left="2160" w:hanging="180"/>
      </w:pPr>
    </w:lvl>
    <w:lvl w:ilvl="3" w:tplc="E702F45C" w:tentative="1">
      <w:start w:val="1"/>
      <w:numFmt w:val="decimal"/>
      <w:lvlText w:val="%4."/>
      <w:lvlJc w:val="left"/>
      <w:pPr>
        <w:ind w:left="2880" w:hanging="360"/>
      </w:pPr>
    </w:lvl>
    <w:lvl w:ilvl="4" w:tplc="360AAE16" w:tentative="1">
      <w:start w:val="1"/>
      <w:numFmt w:val="lowerLetter"/>
      <w:lvlText w:val="%5."/>
      <w:lvlJc w:val="left"/>
      <w:pPr>
        <w:ind w:left="3600" w:hanging="360"/>
      </w:pPr>
    </w:lvl>
    <w:lvl w:ilvl="5" w:tplc="191820CE" w:tentative="1">
      <w:start w:val="1"/>
      <w:numFmt w:val="lowerRoman"/>
      <w:lvlText w:val="%6."/>
      <w:lvlJc w:val="right"/>
      <w:pPr>
        <w:ind w:left="4320" w:hanging="180"/>
      </w:pPr>
    </w:lvl>
    <w:lvl w:ilvl="6" w:tplc="D43ED456" w:tentative="1">
      <w:start w:val="1"/>
      <w:numFmt w:val="decimal"/>
      <w:lvlText w:val="%7."/>
      <w:lvlJc w:val="left"/>
      <w:pPr>
        <w:ind w:left="5040" w:hanging="360"/>
      </w:pPr>
    </w:lvl>
    <w:lvl w:ilvl="7" w:tplc="9A7E7A70" w:tentative="1">
      <w:start w:val="1"/>
      <w:numFmt w:val="lowerLetter"/>
      <w:lvlText w:val="%8."/>
      <w:lvlJc w:val="left"/>
      <w:pPr>
        <w:ind w:left="5760" w:hanging="360"/>
      </w:pPr>
    </w:lvl>
    <w:lvl w:ilvl="8" w:tplc="9C7A9F00" w:tentative="1">
      <w:start w:val="1"/>
      <w:numFmt w:val="lowerRoman"/>
      <w:lvlText w:val="%9."/>
      <w:lvlJc w:val="right"/>
      <w:pPr>
        <w:ind w:left="6480" w:hanging="180"/>
      </w:pPr>
    </w:lvl>
  </w:abstractNum>
  <w:abstractNum w:abstractNumId="32" w15:restartNumberingAfterBreak="0">
    <w:nsid w:val="33335E15"/>
    <w:multiLevelType w:val="hybridMultilevel"/>
    <w:tmpl w:val="1248C458"/>
    <w:lvl w:ilvl="0" w:tplc="D6529448">
      <w:start w:val="1"/>
      <w:numFmt w:val="decimal"/>
      <w:lvlText w:val="%1."/>
      <w:lvlJc w:val="left"/>
      <w:pPr>
        <w:ind w:left="360" w:hanging="360"/>
      </w:pPr>
      <w:rPr>
        <w:rFonts w:asciiTheme="minorHAnsi" w:hAnsiTheme="minorHAnsi" w:cstheme="minorHAnsi" w:hint="default"/>
        <w:b w:val="0"/>
        <w:i w:val="0"/>
        <w:sz w:val="22"/>
        <w:szCs w:val="22"/>
      </w:rPr>
    </w:lvl>
    <w:lvl w:ilvl="1" w:tplc="352A1062">
      <w:start w:val="1"/>
      <w:numFmt w:val="lowerLetter"/>
      <w:lvlText w:val="%2."/>
      <w:lvlJc w:val="left"/>
      <w:pPr>
        <w:ind w:left="900" w:hanging="360"/>
      </w:pPr>
      <w:rPr>
        <w:b w:val="0"/>
      </w:rPr>
    </w:lvl>
    <w:lvl w:ilvl="2" w:tplc="CAAA9830" w:tentative="1">
      <w:start w:val="1"/>
      <w:numFmt w:val="lowerRoman"/>
      <w:lvlText w:val="%3."/>
      <w:lvlJc w:val="right"/>
      <w:pPr>
        <w:ind w:left="1620" w:hanging="180"/>
      </w:pPr>
    </w:lvl>
    <w:lvl w:ilvl="3" w:tplc="EBEAF34C">
      <w:start w:val="1"/>
      <w:numFmt w:val="bullet"/>
      <w:lvlText w:val=""/>
      <w:lvlJc w:val="left"/>
      <w:pPr>
        <w:ind w:left="360" w:hanging="360"/>
      </w:pPr>
      <w:rPr>
        <w:rFonts w:ascii="Symbol" w:hAnsi="Symbol" w:hint="default"/>
      </w:rPr>
    </w:lvl>
    <w:lvl w:ilvl="4" w:tplc="5754A01A" w:tentative="1">
      <w:start w:val="1"/>
      <w:numFmt w:val="lowerLetter"/>
      <w:lvlText w:val="%5."/>
      <w:lvlJc w:val="left"/>
      <w:pPr>
        <w:ind w:left="3060" w:hanging="360"/>
      </w:pPr>
    </w:lvl>
    <w:lvl w:ilvl="5" w:tplc="8C86679C" w:tentative="1">
      <w:start w:val="1"/>
      <w:numFmt w:val="lowerRoman"/>
      <w:lvlText w:val="%6."/>
      <w:lvlJc w:val="right"/>
      <w:pPr>
        <w:ind w:left="3780" w:hanging="180"/>
      </w:pPr>
    </w:lvl>
    <w:lvl w:ilvl="6" w:tplc="4210C482" w:tentative="1">
      <w:start w:val="1"/>
      <w:numFmt w:val="decimal"/>
      <w:lvlText w:val="%7."/>
      <w:lvlJc w:val="left"/>
      <w:pPr>
        <w:ind w:left="4500" w:hanging="360"/>
      </w:pPr>
    </w:lvl>
    <w:lvl w:ilvl="7" w:tplc="69988626" w:tentative="1">
      <w:start w:val="1"/>
      <w:numFmt w:val="lowerLetter"/>
      <w:lvlText w:val="%8."/>
      <w:lvlJc w:val="left"/>
      <w:pPr>
        <w:ind w:left="5220" w:hanging="360"/>
      </w:pPr>
    </w:lvl>
    <w:lvl w:ilvl="8" w:tplc="00A64B9A" w:tentative="1">
      <w:start w:val="1"/>
      <w:numFmt w:val="lowerRoman"/>
      <w:lvlText w:val="%9."/>
      <w:lvlJc w:val="right"/>
      <w:pPr>
        <w:ind w:left="5940" w:hanging="180"/>
      </w:pPr>
    </w:lvl>
  </w:abstractNum>
  <w:abstractNum w:abstractNumId="33" w15:restartNumberingAfterBreak="0">
    <w:nsid w:val="34682EE2"/>
    <w:multiLevelType w:val="hybridMultilevel"/>
    <w:tmpl w:val="A3EE94E6"/>
    <w:lvl w:ilvl="0" w:tplc="06289256">
      <w:start w:val="1"/>
      <w:numFmt w:val="bullet"/>
      <w:lvlText w:val=""/>
      <w:lvlJc w:val="left"/>
      <w:pPr>
        <w:ind w:left="720" w:hanging="360"/>
      </w:pPr>
      <w:rPr>
        <w:rFonts w:ascii="Symbol" w:hAnsi="Symbol" w:hint="default"/>
      </w:rPr>
    </w:lvl>
    <w:lvl w:ilvl="1" w:tplc="97CCEB60">
      <w:start w:val="1"/>
      <w:numFmt w:val="bullet"/>
      <w:lvlText w:val=""/>
      <w:lvlJc w:val="left"/>
      <w:pPr>
        <w:ind w:left="360" w:hanging="360"/>
      </w:pPr>
      <w:rPr>
        <w:rFonts w:ascii="Symbol" w:hAnsi="Symbol" w:hint="default"/>
      </w:rPr>
    </w:lvl>
    <w:lvl w:ilvl="2" w:tplc="62DA9D0A" w:tentative="1">
      <w:start w:val="1"/>
      <w:numFmt w:val="bullet"/>
      <w:lvlText w:val=""/>
      <w:lvlJc w:val="left"/>
      <w:pPr>
        <w:ind w:left="2160" w:hanging="360"/>
      </w:pPr>
      <w:rPr>
        <w:rFonts w:ascii="Wingdings" w:hAnsi="Wingdings" w:hint="default"/>
      </w:rPr>
    </w:lvl>
    <w:lvl w:ilvl="3" w:tplc="141CB55C" w:tentative="1">
      <w:start w:val="1"/>
      <w:numFmt w:val="bullet"/>
      <w:lvlText w:val=""/>
      <w:lvlJc w:val="left"/>
      <w:pPr>
        <w:ind w:left="2880" w:hanging="360"/>
      </w:pPr>
      <w:rPr>
        <w:rFonts w:ascii="Symbol" w:hAnsi="Symbol" w:hint="default"/>
      </w:rPr>
    </w:lvl>
    <w:lvl w:ilvl="4" w:tplc="2898BA30" w:tentative="1">
      <w:start w:val="1"/>
      <w:numFmt w:val="bullet"/>
      <w:lvlText w:val="o"/>
      <w:lvlJc w:val="left"/>
      <w:pPr>
        <w:ind w:left="3600" w:hanging="360"/>
      </w:pPr>
      <w:rPr>
        <w:rFonts w:ascii="Courier New" w:hAnsi="Courier New" w:cs="Courier New" w:hint="default"/>
      </w:rPr>
    </w:lvl>
    <w:lvl w:ilvl="5" w:tplc="380EEBEE" w:tentative="1">
      <w:start w:val="1"/>
      <w:numFmt w:val="bullet"/>
      <w:lvlText w:val=""/>
      <w:lvlJc w:val="left"/>
      <w:pPr>
        <w:ind w:left="4320" w:hanging="360"/>
      </w:pPr>
      <w:rPr>
        <w:rFonts w:ascii="Wingdings" w:hAnsi="Wingdings" w:hint="default"/>
      </w:rPr>
    </w:lvl>
    <w:lvl w:ilvl="6" w:tplc="C7DE4D0E" w:tentative="1">
      <w:start w:val="1"/>
      <w:numFmt w:val="bullet"/>
      <w:lvlText w:val=""/>
      <w:lvlJc w:val="left"/>
      <w:pPr>
        <w:ind w:left="5040" w:hanging="360"/>
      </w:pPr>
      <w:rPr>
        <w:rFonts w:ascii="Symbol" w:hAnsi="Symbol" w:hint="default"/>
      </w:rPr>
    </w:lvl>
    <w:lvl w:ilvl="7" w:tplc="9530F176" w:tentative="1">
      <w:start w:val="1"/>
      <w:numFmt w:val="bullet"/>
      <w:lvlText w:val="o"/>
      <w:lvlJc w:val="left"/>
      <w:pPr>
        <w:ind w:left="5760" w:hanging="360"/>
      </w:pPr>
      <w:rPr>
        <w:rFonts w:ascii="Courier New" w:hAnsi="Courier New" w:cs="Courier New" w:hint="default"/>
      </w:rPr>
    </w:lvl>
    <w:lvl w:ilvl="8" w:tplc="E28E1B1A" w:tentative="1">
      <w:start w:val="1"/>
      <w:numFmt w:val="bullet"/>
      <w:lvlText w:val=""/>
      <w:lvlJc w:val="left"/>
      <w:pPr>
        <w:ind w:left="6480" w:hanging="360"/>
      </w:pPr>
      <w:rPr>
        <w:rFonts w:ascii="Wingdings" w:hAnsi="Wingdings" w:hint="default"/>
      </w:rPr>
    </w:lvl>
  </w:abstractNum>
  <w:abstractNum w:abstractNumId="34" w15:restartNumberingAfterBreak="0">
    <w:nsid w:val="350E0D0E"/>
    <w:multiLevelType w:val="hybridMultilevel"/>
    <w:tmpl w:val="E7424E52"/>
    <w:lvl w:ilvl="0" w:tplc="163EC624">
      <w:start w:val="1"/>
      <w:numFmt w:val="decimal"/>
      <w:lvlText w:val="%1."/>
      <w:lvlJc w:val="left"/>
      <w:pPr>
        <w:ind w:left="360" w:hanging="360"/>
      </w:pPr>
    </w:lvl>
    <w:lvl w:ilvl="1" w:tplc="0DC46108" w:tentative="1">
      <w:start w:val="1"/>
      <w:numFmt w:val="lowerLetter"/>
      <w:lvlText w:val="%2."/>
      <w:lvlJc w:val="left"/>
      <w:pPr>
        <w:ind w:left="1080" w:hanging="360"/>
      </w:pPr>
    </w:lvl>
    <w:lvl w:ilvl="2" w:tplc="E54C1F5A" w:tentative="1">
      <w:start w:val="1"/>
      <w:numFmt w:val="lowerRoman"/>
      <w:lvlText w:val="%3."/>
      <w:lvlJc w:val="right"/>
      <w:pPr>
        <w:ind w:left="1800" w:hanging="180"/>
      </w:pPr>
    </w:lvl>
    <w:lvl w:ilvl="3" w:tplc="2940F72A" w:tentative="1">
      <w:start w:val="1"/>
      <w:numFmt w:val="decimal"/>
      <w:lvlText w:val="%4."/>
      <w:lvlJc w:val="left"/>
      <w:pPr>
        <w:ind w:left="2520" w:hanging="360"/>
      </w:pPr>
    </w:lvl>
    <w:lvl w:ilvl="4" w:tplc="BBAE7636" w:tentative="1">
      <w:start w:val="1"/>
      <w:numFmt w:val="lowerLetter"/>
      <w:lvlText w:val="%5."/>
      <w:lvlJc w:val="left"/>
      <w:pPr>
        <w:ind w:left="3240" w:hanging="360"/>
      </w:pPr>
    </w:lvl>
    <w:lvl w:ilvl="5" w:tplc="99086506" w:tentative="1">
      <w:start w:val="1"/>
      <w:numFmt w:val="lowerRoman"/>
      <w:lvlText w:val="%6."/>
      <w:lvlJc w:val="right"/>
      <w:pPr>
        <w:ind w:left="3960" w:hanging="180"/>
      </w:pPr>
    </w:lvl>
    <w:lvl w:ilvl="6" w:tplc="1D5E1576" w:tentative="1">
      <w:start w:val="1"/>
      <w:numFmt w:val="decimal"/>
      <w:lvlText w:val="%7."/>
      <w:lvlJc w:val="left"/>
      <w:pPr>
        <w:ind w:left="4680" w:hanging="360"/>
      </w:pPr>
    </w:lvl>
    <w:lvl w:ilvl="7" w:tplc="B52CF64C" w:tentative="1">
      <w:start w:val="1"/>
      <w:numFmt w:val="lowerLetter"/>
      <w:lvlText w:val="%8."/>
      <w:lvlJc w:val="left"/>
      <w:pPr>
        <w:ind w:left="5400" w:hanging="360"/>
      </w:pPr>
    </w:lvl>
    <w:lvl w:ilvl="8" w:tplc="53F2E71E" w:tentative="1">
      <w:start w:val="1"/>
      <w:numFmt w:val="lowerRoman"/>
      <w:lvlText w:val="%9."/>
      <w:lvlJc w:val="right"/>
      <w:pPr>
        <w:ind w:left="6120" w:hanging="180"/>
      </w:pPr>
    </w:lvl>
  </w:abstractNum>
  <w:abstractNum w:abstractNumId="35" w15:restartNumberingAfterBreak="0">
    <w:nsid w:val="360A5830"/>
    <w:multiLevelType w:val="hybridMultilevel"/>
    <w:tmpl w:val="F08271AC"/>
    <w:lvl w:ilvl="0" w:tplc="E064EC62">
      <w:start w:val="1"/>
      <w:numFmt w:val="decimal"/>
      <w:lvlText w:val="%1."/>
      <w:lvlJc w:val="left"/>
      <w:pPr>
        <w:ind w:left="360" w:hanging="360"/>
      </w:pPr>
    </w:lvl>
    <w:lvl w:ilvl="1" w:tplc="05E22850" w:tentative="1">
      <w:start w:val="1"/>
      <w:numFmt w:val="lowerLetter"/>
      <w:lvlText w:val="%2."/>
      <w:lvlJc w:val="left"/>
      <w:pPr>
        <w:ind w:left="1080" w:hanging="360"/>
      </w:pPr>
    </w:lvl>
    <w:lvl w:ilvl="2" w:tplc="C7DCC7D8" w:tentative="1">
      <w:start w:val="1"/>
      <w:numFmt w:val="lowerRoman"/>
      <w:lvlText w:val="%3."/>
      <w:lvlJc w:val="right"/>
      <w:pPr>
        <w:ind w:left="1800" w:hanging="180"/>
      </w:pPr>
    </w:lvl>
    <w:lvl w:ilvl="3" w:tplc="1DE09EAE" w:tentative="1">
      <w:start w:val="1"/>
      <w:numFmt w:val="decimal"/>
      <w:lvlText w:val="%4."/>
      <w:lvlJc w:val="left"/>
      <w:pPr>
        <w:ind w:left="2520" w:hanging="360"/>
      </w:pPr>
    </w:lvl>
    <w:lvl w:ilvl="4" w:tplc="2586FE2C" w:tentative="1">
      <w:start w:val="1"/>
      <w:numFmt w:val="lowerLetter"/>
      <w:lvlText w:val="%5."/>
      <w:lvlJc w:val="left"/>
      <w:pPr>
        <w:ind w:left="3240" w:hanging="360"/>
      </w:pPr>
    </w:lvl>
    <w:lvl w:ilvl="5" w:tplc="7A7084BC" w:tentative="1">
      <w:start w:val="1"/>
      <w:numFmt w:val="lowerRoman"/>
      <w:lvlText w:val="%6."/>
      <w:lvlJc w:val="right"/>
      <w:pPr>
        <w:ind w:left="3960" w:hanging="180"/>
      </w:pPr>
    </w:lvl>
    <w:lvl w:ilvl="6" w:tplc="B0EA7EBE" w:tentative="1">
      <w:start w:val="1"/>
      <w:numFmt w:val="decimal"/>
      <w:lvlText w:val="%7."/>
      <w:lvlJc w:val="left"/>
      <w:pPr>
        <w:ind w:left="4680" w:hanging="360"/>
      </w:pPr>
    </w:lvl>
    <w:lvl w:ilvl="7" w:tplc="AE404A72" w:tentative="1">
      <w:start w:val="1"/>
      <w:numFmt w:val="lowerLetter"/>
      <w:lvlText w:val="%8."/>
      <w:lvlJc w:val="left"/>
      <w:pPr>
        <w:ind w:left="5400" w:hanging="360"/>
      </w:pPr>
    </w:lvl>
    <w:lvl w:ilvl="8" w:tplc="4D087C96" w:tentative="1">
      <w:start w:val="1"/>
      <w:numFmt w:val="lowerRoman"/>
      <w:lvlText w:val="%9."/>
      <w:lvlJc w:val="right"/>
      <w:pPr>
        <w:ind w:left="6120" w:hanging="180"/>
      </w:pPr>
    </w:lvl>
  </w:abstractNum>
  <w:abstractNum w:abstractNumId="36" w15:restartNumberingAfterBreak="0">
    <w:nsid w:val="36B17588"/>
    <w:multiLevelType w:val="hybridMultilevel"/>
    <w:tmpl w:val="6BC6FC04"/>
    <w:lvl w:ilvl="0" w:tplc="00901042">
      <w:start w:val="1"/>
      <w:numFmt w:val="decimal"/>
      <w:lvlText w:val="%1."/>
      <w:lvlJc w:val="left"/>
      <w:pPr>
        <w:ind w:left="720" w:hanging="360"/>
      </w:pPr>
    </w:lvl>
    <w:lvl w:ilvl="1" w:tplc="2D7A2030" w:tentative="1">
      <w:start w:val="1"/>
      <w:numFmt w:val="lowerLetter"/>
      <w:lvlText w:val="%2."/>
      <w:lvlJc w:val="left"/>
      <w:pPr>
        <w:ind w:left="1440" w:hanging="360"/>
      </w:pPr>
    </w:lvl>
    <w:lvl w:ilvl="2" w:tplc="40BAA5F6" w:tentative="1">
      <w:start w:val="1"/>
      <w:numFmt w:val="lowerRoman"/>
      <w:lvlText w:val="%3."/>
      <w:lvlJc w:val="right"/>
      <w:pPr>
        <w:ind w:left="2160" w:hanging="180"/>
      </w:pPr>
    </w:lvl>
    <w:lvl w:ilvl="3" w:tplc="57967BAA" w:tentative="1">
      <w:start w:val="1"/>
      <w:numFmt w:val="decimal"/>
      <w:lvlText w:val="%4."/>
      <w:lvlJc w:val="left"/>
      <w:pPr>
        <w:ind w:left="2880" w:hanging="360"/>
      </w:pPr>
    </w:lvl>
    <w:lvl w:ilvl="4" w:tplc="D062F31E" w:tentative="1">
      <w:start w:val="1"/>
      <w:numFmt w:val="lowerLetter"/>
      <w:lvlText w:val="%5."/>
      <w:lvlJc w:val="left"/>
      <w:pPr>
        <w:ind w:left="3600" w:hanging="360"/>
      </w:pPr>
    </w:lvl>
    <w:lvl w:ilvl="5" w:tplc="50AAF40E" w:tentative="1">
      <w:start w:val="1"/>
      <w:numFmt w:val="lowerRoman"/>
      <w:lvlText w:val="%6."/>
      <w:lvlJc w:val="right"/>
      <w:pPr>
        <w:ind w:left="4320" w:hanging="180"/>
      </w:pPr>
    </w:lvl>
    <w:lvl w:ilvl="6" w:tplc="590A5360" w:tentative="1">
      <w:start w:val="1"/>
      <w:numFmt w:val="decimal"/>
      <w:lvlText w:val="%7."/>
      <w:lvlJc w:val="left"/>
      <w:pPr>
        <w:ind w:left="5040" w:hanging="360"/>
      </w:pPr>
    </w:lvl>
    <w:lvl w:ilvl="7" w:tplc="FD9AA024" w:tentative="1">
      <w:start w:val="1"/>
      <w:numFmt w:val="lowerLetter"/>
      <w:lvlText w:val="%8."/>
      <w:lvlJc w:val="left"/>
      <w:pPr>
        <w:ind w:left="5760" w:hanging="360"/>
      </w:pPr>
    </w:lvl>
    <w:lvl w:ilvl="8" w:tplc="EBB625D8" w:tentative="1">
      <w:start w:val="1"/>
      <w:numFmt w:val="lowerRoman"/>
      <w:lvlText w:val="%9."/>
      <w:lvlJc w:val="right"/>
      <w:pPr>
        <w:ind w:left="6480" w:hanging="180"/>
      </w:pPr>
    </w:lvl>
  </w:abstractNum>
  <w:abstractNum w:abstractNumId="37" w15:restartNumberingAfterBreak="0">
    <w:nsid w:val="3A1B5445"/>
    <w:multiLevelType w:val="hybridMultilevel"/>
    <w:tmpl w:val="77A8DB62"/>
    <w:lvl w:ilvl="0" w:tplc="2DC66C04">
      <w:start w:val="1"/>
      <w:numFmt w:val="decimal"/>
      <w:lvlText w:val="%1."/>
      <w:lvlJc w:val="left"/>
      <w:pPr>
        <w:ind w:left="360" w:hanging="360"/>
      </w:pPr>
      <w:rPr>
        <w:rFonts w:hint="default"/>
        <w:b/>
      </w:rPr>
    </w:lvl>
    <w:lvl w:ilvl="1" w:tplc="447EE35C">
      <w:numFmt w:val="bullet"/>
      <w:lvlText w:val="•"/>
      <w:lvlJc w:val="left"/>
      <w:pPr>
        <w:ind w:left="1080" w:hanging="360"/>
      </w:pPr>
      <w:rPr>
        <w:rFonts w:ascii="Calibri" w:eastAsiaTheme="minorEastAsia" w:hAnsi="Calibri" w:cs="Calibri" w:hint="default"/>
        <w:sz w:val="20"/>
      </w:rPr>
    </w:lvl>
    <w:lvl w:ilvl="2" w:tplc="F588F1C8" w:tentative="1">
      <w:start w:val="1"/>
      <w:numFmt w:val="lowerRoman"/>
      <w:lvlText w:val="%3."/>
      <w:lvlJc w:val="right"/>
      <w:pPr>
        <w:ind w:left="1800" w:hanging="180"/>
      </w:pPr>
    </w:lvl>
    <w:lvl w:ilvl="3" w:tplc="2CD08D56" w:tentative="1">
      <w:start w:val="1"/>
      <w:numFmt w:val="decimal"/>
      <w:lvlText w:val="%4."/>
      <w:lvlJc w:val="left"/>
      <w:pPr>
        <w:ind w:left="2520" w:hanging="360"/>
      </w:pPr>
    </w:lvl>
    <w:lvl w:ilvl="4" w:tplc="852A1AF2" w:tentative="1">
      <w:start w:val="1"/>
      <w:numFmt w:val="lowerLetter"/>
      <w:lvlText w:val="%5."/>
      <w:lvlJc w:val="left"/>
      <w:pPr>
        <w:ind w:left="3240" w:hanging="360"/>
      </w:pPr>
    </w:lvl>
    <w:lvl w:ilvl="5" w:tplc="12CA4068" w:tentative="1">
      <w:start w:val="1"/>
      <w:numFmt w:val="lowerRoman"/>
      <w:lvlText w:val="%6."/>
      <w:lvlJc w:val="right"/>
      <w:pPr>
        <w:ind w:left="3960" w:hanging="180"/>
      </w:pPr>
    </w:lvl>
    <w:lvl w:ilvl="6" w:tplc="5C3E5410" w:tentative="1">
      <w:start w:val="1"/>
      <w:numFmt w:val="decimal"/>
      <w:lvlText w:val="%7."/>
      <w:lvlJc w:val="left"/>
      <w:pPr>
        <w:ind w:left="4680" w:hanging="360"/>
      </w:pPr>
    </w:lvl>
    <w:lvl w:ilvl="7" w:tplc="856AAEC4" w:tentative="1">
      <w:start w:val="1"/>
      <w:numFmt w:val="lowerLetter"/>
      <w:lvlText w:val="%8."/>
      <w:lvlJc w:val="left"/>
      <w:pPr>
        <w:ind w:left="5400" w:hanging="360"/>
      </w:pPr>
    </w:lvl>
    <w:lvl w:ilvl="8" w:tplc="2F1C96AA" w:tentative="1">
      <w:start w:val="1"/>
      <w:numFmt w:val="lowerRoman"/>
      <w:lvlText w:val="%9."/>
      <w:lvlJc w:val="right"/>
      <w:pPr>
        <w:ind w:left="6120" w:hanging="180"/>
      </w:pPr>
    </w:lvl>
  </w:abstractNum>
  <w:abstractNum w:abstractNumId="38" w15:restartNumberingAfterBreak="0">
    <w:nsid w:val="3A545C60"/>
    <w:multiLevelType w:val="hybridMultilevel"/>
    <w:tmpl w:val="500E7DB0"/>
    <w:lvl w:ilvl="0" w:tplc="AEEC2834">
      <w:start w:val="1"/>
      <w:numFmt w:val="lowerRoman"/>
      <w:lvlText w:val="(%1)"/>
      <w:lvlJc w:val="left"/>
      <w:pPr>
        <w:ind w:left="1800" w:hanging="360"/>
      </w:pPr>
      <w:rPr>
        <w:rFonts w:asciiTheme="minorHAnsi" w:hAnsiTheme="minorHAnsi" w:cstheme="minorHAnsi"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D354BA7"/>
    <w:multiLevelType w:val="hybridMultilevel"/>
    <w:tmpl w:val="CF5A26C6"/>
    <w:lvl w:ilvl="0" w:tplc="195E8FAA">
      <w:start w:val="1"/>
      <w:numFmt w:val="upperLetter"/>
      <w:lvlText w:val="%1."/>
      <w:lvlJc w:val="left"/>
      <w:pPr>
        <w:ind w:left="360" w:hanging="360"/>
      </w:pPr>
      <w:rPr>
        <w:b/>
        <w:color w:val="4472C4" w:themeColor="accent5"/>
      </w:rPr>
    </w:lvl>
    <w:lvl w:ilvl="1" w:tplc="14F0909E" w:tentative="1">
      <w:start w:val="1"/>
      <w:numFmt w:val="lowerLetter"/>
      <w:lvlText w:val="%2."/>
      <w:lvlJc w:val="left"/>
      <w:pPr>
        <w:ind w:left="1080" w:hanging="360"/>
      </w:pPr>
    </w:lvl>
    <w:lvl w:ilvl="2" w:tplc="8402B502" w:tentative="1">
      <w:start w:val="1"/>
      <w:numFmt w:val="lowerRoman"/>
      <w:lvlText w:val="%3."/>
      <w:lvlJc w:val="right"/>
      <w:pPr>
        <w:ind w:left="1800" w:hanging="180"/>
      </w:pPr>
    </w:lvl>
    <w:lvl w:ilvl="3" w:tplc="7A162FCE" w:tentative="1">
      <w:start w:val="1"/>
      <w:numFmt w:val="decimal"/>
      <w:lvlText w:val="%4."/>
      <w:lvlJc w:val="left"/>
      <w:pPr>
        <w:ind w:left="2520" w:hanging="360"/>
      </w:pPr>
    </w:lvl>
    <w:lvl w:ilvl="4" w:tplc="7F2E8604" w:tentative="1">
      <w:start w:val="1"/>
      <w:numFmt w:val="lowerLetter"/>
      <w:lvlText w:val="%5."/>
      <w:lvlJc w:val="left"/>
      <w:pPr>
        <w:ind w:left="3240" w:hanging="360"/>
      </w:pPr>
    </w:lvl>
    <w:lvl w:ilvl="5" w:tplc="D79AD364" w:tentative="1">
      <w:start w:val="1"/>
      <w:numFmt w:val="lowerRoman"/>
      <w:lvlText w:val="%6."/>
      <w:lvlJc w:val="right"/>
      <w:pPr>
        <w:ind w:left="3960" w:hanging="180"/>
      </w:pPr>
    </w:lvl>
    <w:lvl w:ilvl="6" w:tplc="4768B7F8" w:tentative="1">
      <w:start w:val="1"/>
      <w:numFmt w:val="decimal"/>
      <w:lvlText w:val="%7."/>
      <w:lvlJc w:val="left"/>
      <w:pPr>
        <w:ind w:left="4680" w:hanging="360"/>
      </w:pPr>
    </w:lvl>
    <w:lvl w:ilvl="7" w:tplc="173845CC" w:tentative="1">
      <w:start w:val="1"/>
      <w:numFmt w:val="lowerLetter"/>
      <w:lvlText w:val="%8."/>
      <w:lvlJc w:val="left"/>
      <w:pPr>
        <w:ind w:left="5400" w:hanging="360"/>
      </w:pPr>
    </w:lvl>
    <w:lvl w:ilvl="8" w:tplc="FE489632" w:tentative="1">
      <w:start w:val="1"/>
      <w:numFmt w:val="lowerRoman"/>
      <w:lvlText w:val="%9."/>
      <w:lvlJc w:val="right"/>
      <w:pPr>
        <w:ind w:left="6120" w:hanging="180"/>
      </w:pPr>
    </w:lvl>
  </w:abstractNum>
  <w:abstractNum w:abstractNumId="40" w15:restartNumberingAfterBreak="0">
    <w:nsid w:val="3F1256EB"/>
    <w:multiLevelType w:val="hybridMultilevel"/>
    <w:tmpl w:val="55C4DC6E"/>
    <w:lvl w:ilvl="0" w:tplc="6E48516A">
      <w:start w:val="1"/>
      <w:numFmt w:val="decimal"/>
      <w:lvlText w:val="%1."/>
      <w:lvlJc w:val="left"/>
      <w:pPr>
        <w:ind w:left="360" w:hanging="360"/>
      </w:pPr>
      <w:rPr>
        <w:rFonts w:asciiTheme="minorHAnsi" w:hAnsiTheme="minorHAnsi" w:cstheme="minorHAnsi" w:hint="default"/>
        <w:b w:val="0"/>
        <w:i w:val="0"/>
      </w:rPr>
    </w:lvl>
    <w:lvl w:ilvl="1" w:tplc="D51888EA">
      <w:start w:val="1"/>
      <w:numFmt w:val="bullet"/>
      <w:lvlText w:val=""/>
      <w:lvlJc w:val="left"/>
      <w:pPr>
        <w:ind w:left="900" w:hanging="360"/>
      </w:pPr>
      <w:rPr>
        <w:rFonts w:ascii="Symbol" w:hAnsi="Symbol" w:hint="default"/>
        <w:b w:val="0"/>
        <w:sz w:val="22"/>
        <w:szCs w:val="22"/>
      </w:rPr>
    </w:lvl>
    <w:lvl w:ilvl="2" w:tplc="0BBA2A0E" w:tentative="1">
      <w:start w:val="1"/>
      <w:numFmt w:val="lowerRoman"/>
      <w:lvlText w:val="%3."/>
      <w:lvlJc w:val="right"/>
      <w:pPr>
        <w:ind w:left="1620" w:hanging="180"/>
      </w:pPr>
    </w:lvl>
    <w:lvl w:ilvl="3" w:tplc="E43690A4">
      <w:start w:val="1"/>
      <w:numFmt w:val="bullet"/>
      <w:lvlText w:val=""/>
      <w:lvlJc w:val="left"/>
      <w:pPr>
        <w:ind w:left="360" w:hanging="360"/>
      </w:pPr>
      <w:rPr>
        <w:rFonts w:ascii="Symbol" w:hAnsi="Symbol" w:hint="default"/>
      </w:rPr>
    </w:lvl>
    <w:lvl w:ilvl="4" w:tplc="80803A6A" w:tentative="1">
      <w:start w:val="1"/>
      <w:numFmt w:val="lowerLetter"/>
      <w:lvlText w:val="%5."/>
      <w:lvlJc w:val="left"/>
      <w:pPr>
        <w:ind w:left="3060" w:hanging="360"/>
      </w:pPr>
    </w:lvl>
    <w:lvl w:ilvl="5" w:tplc="6C705B5A" w:tentative="1">
      <w:start w:val="1"/>
      <w:numFmt w:val="lowerRoman"/>
      <w:lvlText w:val="%6."/>
      <w:lvlJc w:val="right"/>
      <w:pPr>
        <w:ind w:left="3780" w:hanging="180"/>
      </w:pPr>
    </w:lvl>
    <w:lvl w:ilvl="6" w:tplc="E000FE6C" w:tentative="1">
      <w:start w:val="1"/>
      <w:numFmt w:val="decimal"/>
      <w:lvlText w:val="%7."/>
      <w:lvlJc w:val="left"/>
      <w:pPr>
        <w:ind w:left="4500" w:hanging="360"/>
      </w:pPr>
    </w:lvl>
    <w:lvl w:ilvl="7" w:tplc="FD461D64" w:tentative="1">
      <w:start w:val="1"/>
      <w:numFmt w:val="lowerLetter"/>
      <w:lvlText w:val="%8."/>
      <w:lvlJc w:val="left"/>
      <w:pPr>
        <w:ind w:left="5220" w:hanging="360"/>
      </w:pPr>
    </w:lvl>
    <w:lvl w:ilvl="8" w:tplc="DFE63510" w:tentative="1">
      <w:start w:val="1"/>
      <w:numFmt w:val="lowerRoman"/>
      <w:lvlText w:val="%9."/>
      <w:lvlJc w:val="right"/>
      <w:pPr>
        <w:ind w:left="5940" w:hanging="180"/>
      </w:pPr>
    </w:lvl>
  </w:abstractNum>
  <w:abstractNum w:abstractNumId="41" w15:restartNumberingAfterBreak="0">
    <w:nsid w:val="409A1A20"/>
    <w:multiLevelType w:val="hybridMultilevel"/>
    <w:tmpl w:val="EE4EDDCE"/>
    <w:lvl w:ilvl="0" w:tplc="3DDED548">
      <w:start w:val="1"/>
      <w:numFmt w:val="decimal"/>
      <w:lvlText w:val="%1."/>
      <w:lvlJc w:val="left"/>
      <w:pPr>
        <w:ind w:left="360" w:hanging="360"/>
      </w:pPr>
      <w:rPr>
        <w:rFonts w:asciiTheme="minorHAnsi" w:hAnsiTheme="minorHAnsi" w:cstheme="minorHAnsi" w:hint="default"/>
        <w:b w:val="0"/>
        <w:color w:val="auto"/>
        <w:sz w:val="22"/>
        <w:szCs w:val="22"/>
      </w:rPr>
    </w:lvl>
    <w:lvl w:ilvl="1" w:tplc="A51A64DE">
      <w:start w:val="1"/>
      <w:numFmt w:val="bullet"/>
      <w:lvlText w:val=""/>
      <w:lvlJc w:val="left"/>
      <w:pPr>
        <w:ind w:left="1530" w:hanging="360"/>
      </w:pPr>
      <w:rPr>
        <w:rFonts w:ascii="Symbol" w:hAnsi="Symbol" w:hint="default"/>
        <w:sz w:val="22"/>
        <w:szCs w:val="22"/>
      </w:rPr>
    </w:lvl>
    <w:lvl w:ilvl="2" w:tplc="21CE5E12">
      <w:start w:val="1"/>
      <w:numFmt w:val="lowerRoman"/>
      <w:lvlText w:val="(%3)"/>
      <w:lvlJc w:val="left"/>
      <w:pPr>
        <w:ind w:left="990" w:hanging="180"/>
      </w:pPr>
      <w:rPr>
        <w:rFonts w:hint="default"/>
        <w:b/>
        <w:i w:val="0"/>
      </w:rPr>
    </w:lvl>
    <w:lvl w:ilvl="3" w:tplc="3C342456">
      <w:start w:val="1"/>
      <w:numFmt w:val="lowerRoman"/>
      <w:lvlText w:val="(%4)"/>
      <w:lvlJc w:val="left"/>
      <w:pPr>
        <w:ind w:left="626" w:hanging="360"/>
      </w:pPr>
      <w:rPr>
        <w:rFonts w:asciiTheme="minorHAnsi" w:hAnsiTheme="minorHAnsi" w:cstheme="minorHAnsi" w:hint="default"/>
        <w:b w:val="0"/>
      </w:rPr>
    </w:lvl>
    <w:lvl w:ilvl="4" w:tplc="3856B38A">
      <w:start w:val="1"/>
      <w:numFmt w:val="bullet"/>
      <w:lvlText w:val=""/>
      <w:lvlJc w:val="left"/>
      <w:pPr>
        <w:ind w:left="810" w:hanging="360"/>
      </w:pPr>
      <w:rPr>
        <w:rFonts w:ascii="Symbol" w:hAnsi="Symbol" w:hint="default"/>
      </w:rPr>
    </w:lvl>
    <w:lvl w:ilvl="5" w:tplc="30268458">
      <w:start w:val="1"/>
      <w:numFmt w:val="bullet"/>
      <w:lvlText w:val="o"/>
      <w:lvlJc w:val="left"/>
      <w:pPr>
        <w:ind w:left="1706" w:hanging="180"/>
      </w:pPr>
      <w:rPr>
        <w:rFonts w:ascii="Courier New" w:hAnsi="Courier New" w:cs="Courier New" w:hint="default"/>
      </w:rPr>
    </w:lvl>
    <w:lvl w:ilvl="6" w:tplc="88C09B92">
      <w:start w:val="1"/>
      <w:numFmt w:val="upperLetter"/>
      <w:lvlText w:val="%7."/>
      <w:lvlJc w:val="left"/>
      <w:pPr>
        <w:ind w:left="360" w:hanging="360"/>
      </w:pPr>
      <w:rPr>
        <w:rFonts w:hint="default"/>
        <w:i w:val="0"/>
      </w:rPr>
    </w:lvl>
    <w:lvl w:ilvl="7" w:tplc="C8E69FE2" w:tentative="1">
      <w:start w:val="1"/>
      <w:numFmt w:val="lowerLetter"/>
      <w:lvlText w:val="%8."/>
      <w:lvlJc w:val="left"/>
      <w:pPr>
        <w:ind w:left="5306" w:hanging="360"/>
      </w:pPr>
    </w:lvl>
    <w:lvl w:ilvl="8" w:tplc="2E5E564A" w:tentative="1">
      <w:start w:val="1"/>
      <w:numFmt w:val="lowerRoman"/>
      <w:lvlText w:val="%9."/>
      <w:lvlJc w:val="right"/>
      <w:pPr>
        <w:ind w:left="6026" w:hanging="180"/>
      </w:pPr>
    </w:lvl>
  </w:abstractNum>
  <w:abstractNum w:abstractNumId="42" w15:restartNumberingAfterBreak="0">
    <w:nsid w:val="41E83577"/>
    <w:multiLevelType w:val="hybridMultilevel"/>
    <w:tmpl w:val="9F98002E"/>
    <w:lvl w:ilvl="0" w:tplc="C812FF2C">
      <w:start w:val="1"/>
      <w:numFmt w:val="bullet"/>
      <w:lvlText w:val=""/>
      <w:lvlJc w:val="left"/>
      <w:pPr>
        <w:ind w:left="270" w:hanging="360"/>
      </w:pPr>
      <w:rPr>
        <w:rFonts w:ascii="Symbol" w:hAnsi="Symbol" w:hint="default"/>
      </w:rPr>
    </w:lvl>
    <w:lvl w:ilvl="1" w:tplc="0A0E3762" w:tentative="1">
      <w:start w:val="1"/>
      <w:numFmt w:val="bullet"/>
      <w:lvlText w:val="o"/>
      <w:lvlJc w:val="left"/>
      <w:pPr>
        <w:ind w:left="990" w:hanging="360"/>
      </w:pPr>
      <w:rPr>
        <w:rFonts w:ascii="Courier New" w:hAnsi="Courier New" w:cs="Courier New" w:hint="default"/>
      </w:rPr>
    </w:lvl>
    <w:lvl w:ilvl="2" w:tplc="F762299E" w:tentative="1">
      <w:start w:val="1"/>
      <w:numFmt w:val="bullet"/>
      <w:lvlText w:val=""/>
      <w:lvlJc w:val="left"/>
      <w:pPr>
        <w:ind w:left="1710" w:hanging="360"/>
      </w:pPr>
      <w:rPr>
        <w:rFonts w:ascii="Wingdings" w:hAnsi="Wingdings" w:hint="default"/>
      </w:rPr>
    </w:lvl>
    <w:lvl w:ilvl="3" w:tplc="E2D81E00" w:tentative="1">
      <w:start w:val="1"/>
      <w:numFmt w:val="bullet"/>
      <w:lvlText w:val=""/>
      <w:lvlJc w:val="left"/>
      <w:pPr>
        <w:ind w:left="2430" w:hanging="360"/>
      </w:pPr>
      <w:rPr>
        <w:rFonts w:ascii="Symbol" w:hAnsi="Symbol" w:hint="default"/>
      </w:rPr>
    </w:lvl>
    <w:lvl w:ilvl="4" w:tplc="6CA67D00" w:tentative="1">
      <w:start w:val="1"/>
      <w:numFmt w:val="bullet"/>
      <w:lvlText w:val="o"/>
      <w:lvlJc w:val="left"/>
      <w:pPr>
        <w:ind w:left="3150" w:hanging="360"/>
      </w:pPr>
      <w:rPr>
        <w:rFonts w:ascii="Courier New" w:hAnsi="Courier New" w:cs="Courier New" w:hint="default"/>
      </w:rPr>
    </w:lvl>
    <w:lvl w:ilvl="5" w:tplc="F6C6BDC6" w:tentative="1">
      <w:start w:val="1"/>
      <w:numFmt w:val="bullet"/>
      <w:lvlText w:val=""/>
      <w:lvlJc w:val="left"/>
      <w:pPr>
        <w:ind w:left="3870" w:hanging="360"/>
      </w:pPr>
      <w:rPr>
        <w:rFonts w:ascii="Wingdings" w:hAnsi="Wingdings" w:hint="default"/>
      </w:rPr>
    </w:lvl>
    <w:lvl w:ilvl="6" w:tplc="D1343BD4" w:tentative="1">
      <w:start w:val="1"/>
      <w:numFmt w:val="bullet"/>
      <w:lvlText w:val=""/>
      <w:lvlJc w:val="left"/>
      <w:pPr>
        <w:ind w:left="4590" w:hanging="360"/>
      </w:pPr>
      <w:rPr>
        <w:rFonts w:ascii="Symbol" w:hAnsi="Symbol" w:hint="default"/>
      </w:rPr>
    </w:lvl>
    <w:lvl w:ilvl="7" w:tplc="B4ACD14C" w:tentative="1">
      <w:start w:val="1"/>
      <w:numFmt w:val="bullet"/>
      <w:lvlText w:val="o"/>
      <w:lvlJc w:val="left"/>
      <w:pPr>
        <w:ind w:left="5310" w:hanging="360"/>
      </w:pPr>
      <w:rPr>
        <w:rFonts w:ascii="Courier New" w:hAnsi="Courier New" w:cs="Courier New" w:hint="default"/>
      </w:rPr>
    </w:lvl>
    <w:lvl w:ilvl="8" w:tplc="059A2A4E" w:tentative="1">
      <w:start w:val="1"/>
      <w:numFmt w:val="bullet"/>
      <w:lvlText w:val=""/>
      <w:lvlJc w:val="left"/>
      <w:pPr>
        <w:ind w:left="6030" w:hanging="360"/>
      </w:pPr>
      <w:rPr>
        <w:rFonts w:ascii="Wingdings" w:hAnsi="Wingdings" w:hint="default"/>
      </w:rPr>
    </w:lvl>
  </w:abstractNum>
  <w:abstractNum w:abstractNumId="43" w15:restartNumberingAfterBreak="0">
    <w:nsid w:val="4C0E6FA3"/>
    <w:multiLevelType w:val="hybridMultilevel"/>
    <w:tmpl w:val="30CA18FE"/>
    <w:lvl w:ilvl="0" w:tplc="AEEC2834">
      <w:start w:val="1"/>
      <w:numFmt w:val="lowerRoman"/>
      <w:lvlText w:val="(%1)"/>
      <w:lvlJc w:val="left"/>
      <w:pPr>
        <w:ind w:left="720" w:hanging="360"/>
      </w:pPr>
      <w:rPr>
        <w:rFonts w:asciiTheme="minorHAnsi" w:hAnsiTheme="minorHAnsi" w:cstheme="minorHAnsi" w:hint="default"/>
        <w:b w:val="0"/>
      </w:rPr>
    </w:lvl>
    <w:lvl w:ilvl="1" w:tplc="9C305752">
      <w:start w:val="1"/>
      <w:numFmt w:val="lowerLetter"/>
      <w:lvlText w:val="%2."/>
      <w:lvlJc w:val="left"/>
      <w:pPr>
        <w:ind w:left="1440" w:hanging="360"/>
      </w:pPr>
    </w:lvl>
    <w:lvl w:ilvl="2" w:tplc="6332F80C" w:tentative="1">
      <w:start w:val="1"/>
      <w:numFmt w:val="lowerRoman"/>
      <w:lvlText w:val="%3."/>
      <w:lvlJc w:val="right"/>
      <w:pPr>
        <w:ind w:left="2160" w:hanging="180"/>
      </w:pPr>
    </w:lvl>
    <w:lvl w:ilvl="3" w:tplc="74846F28" w:tentative="1">
      <w:start w:val="1"/>
      <w:numFmt w:val="decimal"/>
      <w:lvlText w:val="%4."/>
      <w:lvlJc w:val="left"/>
      <w:pPr>
        <w:ind w:left="2880" w:hanging="360"/>
      </w:pPr>
    </w:lvl>
    <w:lvl w:ilvl="4" w:tplc="AA9CA3D0" w:tentative="1">
      <w:start w:val="1"/>
      <w:numFmt w:val="lowerLetter"/>
      <w:lvlText w:val="%5."/>
      <w:lvlJc w:val="left"/>
      <w:pPr>
        <w:ind w:left="3600" w:hanging="360"/>
      </w:pPr>
    </w:lvl>
    <w:lvl w:ilvl="5" w:tplc="F9FE0732" w:tentative="1">
      <w:start w:val="1"/>
      <w:numFmt w:val="lowerRoman"/>
      <w:lvlText w:val="%6."/>
      <w:lvlJc w:val="right"/>
      <w:pPr>
        <w:ind w:left="4320" w:hanging="180"/>
      </w:pPr>
    </w:lvl>
    <w:lvl w:ilvl="6" w:tplc="7F22B5DE" w:tentative="1">
      <w:start w:val="1"/>
      <w:numFmt w:val="decimal"/>
      <w:lvlText w:val="%7."/>
      <w:lvlJc w:val="left"/>
      <w:pPr>
        <w:ind w:left="5040" w:hanging="360"/>
      </w:pPr>
    </w:lvl>
    <w:lvl w:ilvl="7" w:tplc="8D3A6274" w:tentative="1">
      <w:start w:val="1"/>
      <w:numFmt w:val="lowerLetter"/>
      <w:lvlText w:val="%8."/>
      <w:lvlJc w:val="left"/>
      <w:pPr>
        <w:ind w:left="5760" w:hanging="360"/>
      </w:pPr>
    </w:lvl>
    <w:lvl w:ilvl="8" w:tplc="560A340A" w:tentative="1">
      <w:start w:val="1"/>
      <w:numFmt w:val="lowerRoman"/>
      <w:lvlText w:val="%9."/>
      <w:lvlJc w:val="right"/>
      <w:pPr>
        <w:ind w:left="6480" w:hanging="180"/>
      </w:pPr>
    </w:lvl>
  </w:abstractNum>
  <w:abstractNum w:abstractNumId="44" w15:restartNumberingAfterBreak="0">
    <w:nsid w:val="4CFF0AC1"/>
    <w:multiLevelType w:val="hybridMultilevel"/>
    <w:tmpl w:val="5C768ACA"/>
    <w:lvl w:ilvl="0" w:tplc="C2745834">
      <w:start w:val="1"/>
      <w:numFmt w:val="upperLetter"/>
      <w:lvlText w:val="%1."/>
      <w:lvlJc w:val="left"/>
      <w:pPr>
        <w:ind w:left="720" w:hanging="360"/>
      </w:pPr>
    </w:lvl>
    <w:lvl w:ilvl="1" w:tplc="3FB8C776" w:tentative="1">
      <w:start w:val="1"/>
      <w:numFmt w:val="lowerLetter"/>
      <w:lvlText w:val="%2."/>
      <w:lvlJc w:val="left"/>
      <w:pPr>
        <w:ind w:left="1440" w:hanging="360"/>
      </w:pPr>
    </w:lvl>
    <w:lvl w:ilvl="2" w:tplc="9454CC0A" w:tentative="1">
      <w:start w:val="1"/>
      <w:numFmt w:val="lowerRoman"/>
      <w:lvlText w:val="%3."/>
      <w:lvlJc w:val="right"/>
      <w:pPr>
        <w:ind w:left="2160" w:hanging="180"/>
      </w:pPr>
    </w:lvl>
    <w:lvl w:ilvl="3" w:tplc="4F90C91E" w:tentative="1">
      <w:start w:val="1"/>
      <w:numFmt w:val="decimal"/>
      <w:lvlText w:val="%4."/>
      <w:lvlJc w:val="left"/>
      <w:pPr>
        <w:ind w:left="2880" w:hanging="360"/>
      </w:pPr>
    </w:lvl>
    <w:lvl w:ilvl="4" w:tplc="1C24E4C0" w:tentative="1">
      <w:start w:val="1"/>
      <w:numFmt w:val="lowerLetter"/>
      <w:lvlText w:val="%5."/>
      <w:lvlJc w:val="left"/>
      <w:pPr>
        <w:ind w:left="3600" w:hanging="360"/>
      </w:pPr>
    </w:lvl>
    <w:lvl w:ilvl="5" w:tplc="1C24F774" w:tentative="1">
      <w:start w:val="1"/>
      <w:numFmt w:val="lowerRoman"/>
      <w:lvlText w:val="%6."/>
      <w:lvlJc w:val="right"/>
      <w:pPr>
        <w:ind w:left="4320" w:hanging="180"/>
      </w:pPr>
    </w:lvl>
    <w:lvl w:ilvl="6" w:tplc="E78463F8" w:tentative="1">
      <w:start w:val="1"/>
      <w:numFmt w:val="decimal"/>
      <w:lvlText w:val="%7."/>
      <w:lvlJc w:val="left"/>
      <w:pPr>
        <w:ind w:left="5040" w:hanging="360"/>
      </w:pPr>
    </w:lvl>
    <w:lvl w:ilvl="7" w:tplc="A8565750" w:tentative="1">
      <w:start w:val="1"/>
      <w:numFmt w:val="lowerLetter"/>
      <w:lvlText w:val="%8."/>
      <w:lvlJc w:val="left"/>
      <w:pPr>
        <w:ind w:left="5760" w:hanging="360"/>
      </w:pPr>
    </w:lvl>
    <w:lvl w:ilvl="8" w:tplc="04BE3CC8" w:tentative="1">
      <w:start w:val="1"/>
      <w:numFmt w:val="lowerRoman"/>
      <w:lvlText w:val="%9."/>
      <w:lvlJc w:val="right"/>
      <w:pPr>
        <w:ind w:left="6480" w:hanging="180"/>
      </w:pPr>
    </w:lvl>
  </w:abstractNum>
  <w:abstractNum w:abstractNumId="45" w15:restartNumberingAfterBreak="0">
    <w:nsid w:val="4D880F43"/>
    <w:multiLevelType w:val="hybridMultilevel"/>
    <w:tmpl w:val="6CB6EE38"/>
    <w:lvl w:ilvl="0" w:tplc="F1CE348C">
      <w:start w:val="1"/>
      <w:numFmt w:val="decimal"/>
      <w:lvlText w:val="%1."/>
      <w:lvlJc w:val="left"/>
      <w:pPr>
        <w:ind w:left="360" w:hanging="360"/>
      </w:pPr>
      <w:rPr>
        <w:rFonts w:asciiTheme="minorHAnsi" w:hAnsiTheme="minorHAnsi" w:cstheme="minorHAnsi" w:hint="default"/>
        <w:b w:val="0"/>
        <w:color w:val="auto"/>
        <w:sz w:val="22"/>
        <w:szCs w:val="22"/>
      </w:rPr>
    </w:lvl>
    <w:lvl w:ilvl="1" w:tplc="6D00FD78">
      <w:start w:val="1"/>
      <w:numFmt w:val="bullet"/>
      <w:lvlText w:val=""/>
      <w:lvlJc w:val="left"/>
      <w:pPr>
        <w:ind w:left="1080" w:hanging="360"/>
      </w:pPr>
      <w:rPr>
        <w:rFonts w:ascii="Symbol" w:hAnsi="Symbol" w:hint="default"/>
        <w:sz w:val="22"/>
        <w:szCs w:val="22"/>
      </w:rPr>
    </w:lvl>
    <w:lvl w:ilvl="2" w:tplc="A6F8EB92">
      <w:start w:val="1"/>
      <w:numFmt w:val="lowerRoman"/>
      <w:lvlText w:val="%3."/>
      <w:lvlJc w:val="right"/>
      <w:pPr>
        <w:ind w:left="536" w:hanging="180"/>
      </w:pPr>
      <w:rPr>
        <w:b w:val="0"/>
        <w:i w:val="0"/>
      </w:rPr>
    </w:lvl>
    <w:lvl w:ilvl="3" w:tplc="D4FED536">
      <w:start w:val="1"/>
      <w:numFmt w:val="bullet"/>
      <w:lvlText w:val=""/>
      <w:lvlJc w:val="left"/>
      <w:pPr>
        <w:ind w:left="626" w:hanging="360"/>
      </w:pPr>
      <w:rPr>
        <w:rFonts w:ascii="Symbol" w:hAnsi="Symbol" w:hint="default"/>
        <w:b w:val="0"/>
      </w:rPr>
    </w:lvl>
    <w:lvl w:ilvl="4" w:tplc="260C0B34">
      <w:start w:val="1"/>
      <w:numFmt w:val="bullet"/>
      <w:lvlText w:val=""/>
      <w:lvlJc w:val="left"/>
      <w:pPr>
        <w:ind w:left="810" w:hanging="360"/>
      </w:pPr>
      <w:rPr>
        <w:rFonts w:ascii="Symbol" w:hAnsi="Symbol" w:hint="default"/>
      </w:rPr>
    </w:lvl>
    <w:lvl w:ilvl="5" w:tplc="2B40C31A">
      <w:start w:val="1"/>
      <w:numFmt w:val="bullet"/>
      <w:lvlText w:val="o"/>
      <w:lvlJc w:val="left"/>
      <w:pPr>
        <w:ind w:left="1706" w:hanging="180"/>
      </w:pPr>
      <w:rPr>
        <w:rFonts w:ascii="Courier New" w:hAnsi="Courier New" w:cs="Courier New" w:hint="default"/>
      </w:rPr>
    </w:lvl>
    <w:lvl w:ilvl="6" w:tplc="74FA2F08">
      <w:start w:val="1"/>
      <w:numFmt w:val="lowerRoman"/>
      <w:lvlText w:val="(%7)"/>
      <w:lvlJc w:val="left"/>
      <w:pPr>
        <w:ind w:left="4946" w:hanging="720"/>
      </w:pPr>
      <w:rPr>
        <w:rFonts w:hint="default"/>
      </w:rPr>
    </w:lvl>
    <w:lvl w:ilvl="7" w:tplc="AC42DE04" w:tentative="1">
      <w:start w:val="1"/>
      <w:numFmt w:val="lowerLetter"/>
      <w:lvlText w:val="%8."/>
      <w:lvlJc w:val="left"/>
      <w:pPr>
        <w:ind w:left="5306" w:hanging="360"/>
      </w:pPr>
    </w:lvl>
    <w:lvl w:ilvl="8" w:tplc="F20420FA" w:tentative="1">
      <w:start w:val="1"/>
      <w:numFmt w:val="lowerRoman"/>
      <w:lvlText w:val="%9."/>
      <w:lvlJc w:val="right"/>
      <w:pPr>
        <w:ind w:left="6026" w:hanging="180"/>
      </w:pPr>
    </w:lvl>
  </w:abstractNum>
  <w:abstractNum w:abstractNumId="46" w15:restartNumberingAfterBreak="0">
    <w:nsid w:val="4DB72167"/>
    <w:multiLevelType w:val="hybridMultilevel"/>
    <w:tmpl w:val="4C80552A"/>
    <w:lvl w:ilvl="0" w:tplc="8DEE777C">
      <w:start w:val="1"/>
      <w:numFmt w:val="lowerLetter"/>
      <w:lvlText w:val="(%1)"/>
      <w:lvlJc w:val="left"/>
      <w:pPr>
        <w:ind w:left="1440" w:hanging="360"/>
      </w:pPr>
      <w:rPr>
        <w:rFonts w:asciiTheme="minorHAnsi" w:hAnsiTheme="minorHAnsi" w:cstheme="minorHAnsi" w:hint="default"/>
        <w:b w:val="0"/>
        <w:sz w:val="22"/>
        <w:szCs w:val="22"/>
      </w:rPr>
    </w:lvl>
    <w:lvl w:ilvl="1" w:tplc="5316E9A2" w:tentative="1">
      <w:start w:val="1"/>
      <w:numFmt w:val="lowerLetter"/>
      <w:lvlText w:val="%2."/>
      <w:lvlJc w:val="left"/>
      <w:pPr>
        <w:ind w:left="1440" w:hanging="360"/>
      </w:pPr>
    </w:lvl>
    <w:lvl w:ilvl="2" w:tplc="998E6712" w:tentative="1">
      <w:start w:val="1"/>
      <w:numFmt w:val="lowerRoman"/>
      <w:lvlText w:val="%3."/>
      <w:lvlJc w:val="right"/>
      <w:pPr>
        <w:ind w:left="2160" w:hanging="180"/>
      </w:pPr>
    </w:lvl>
    <w:lvl w:ilvl="3" w:tplc="AFE45898" w:tentative="1">
      <w:start w:val="1"/>
      <w:numFmt w:val="decimal"/>
      <w:lvlText w:val="%4."/>
      <w:lvlJc w:val="left"/>
      <w:pPr>
        <w:ind w:left="2880" w:hanging="360"/>
      </w:pPr>
    </w:lvl>
    <w:lvl w:ilvl="4" w:tplc="28C46A78" w:tentative="1">
      <w:start w:val="1"/>
      <w:numFmt w:val="lowerLetter"/>
      <w:lvlText w:val="%5."/>
      <w:lvlJc w:val="left"/>
      <w:pPr>
        <w:ind w:left="3600" w:hanging="360"/>
      </w:pPr>
    </w:lvl>
    <w:lvl w:ilvl="5" w:tplc="F2D0AE68" w:tentative="1">
      <w:start w:val="1"/>
      <w:numFmt w:val="lowerRoman"/>
      <w:lvlText w:val="%6."/>
      <w:lvlJc w:val="right"/>
      <w:pPr>
        <w:ind w:left="4320" w:hanging="180"/>
      </w:pPr>
    </w:lvl>
    <w:lvl w:ilvl="6" w:tplc="71262EDA" w:tentative="1">
      <w:start w:val="1"/>
      <w:numFmt w:val="decimal"/>
      <w:lvlText w:val="%7."/>
      <w:lvlJc w:val="left"/>
      <w:pPr>
        <w:ind w:left="5040" w:hanging="360"/>
      </w:pPr>
    </w:lvl>
    <w:lvl w:ilvl="7" w:tplc="CBC4BBE2" w:tentative="1">
      <w:start w:val="1"/>
      <w:numFmt w:val="lowerLetter"/>
      <w:lvlText w:val="%8."/>
      <w:lvlJc w:val="left"/>
      <w:pPr>
        <w:ind w:left="5760" w:hanging="360"/>
      </w:pPr>
    </w:lvl>
    <w:lvl w:ilvl="8" w:tplc="62F6DA8E" w:tentative="1">
      <w:start w:val="1"/>
      <w:numFmt w:val="lowerRoman"/>
      <w:lvlText w:val="%9."/>
      <w:lvlJc w:val="right"/>
      <w:pPr>
        <w:ind w:left="6480" w:hanging="180"/>
      </w:pPr>
    </w:lvl>
  </w:abstractNum>
  <w:abstractNum w:abstractNumId="47" w15:restartNumberingAfterBreak="0">
    <w:nsid w:val="4E927CEE"/>
    <w:multiLevelType w:val="hybridMultilevel"/>
    <w:tmpl w:val="06F4FA56"/>
    <w:lvl w:ilvl="0" w:tplc="B784B780">
      <w:start w:val="1"/>
      <w:numFmt w:val="decimal"/>
      <w:lvlText w:val="%1."/>
      <w:lvlJc w:val="left"/>
      <w:pPr>
        <w:ind w:left="450" w:hanging="360"/>
      </w:pPr>
    </w:lvl>
    <w:lvl w:ilvl="1" w:tplc="31585140" w:tentative="1">
      <w:start w:val="1"/>
      <w:numFmt w:val="lowerLetter"/>
      <w:lvlText w:val="%2."/>
      <w:lvlJc w:val="left"/>
      <w:pPr>
        <w:ind w:left="1170" w:hanging="360"/>
      </w:pPr>
    </w:lvl>
    <w:lvl w:ilvl="2" w:tplc="84C26FE8" w:tentative="1">
      <w:start w:val="1"/>
      <w:numFmt w:val="lowerRoman"/>
      <w:lvlText w:val="%3."/>
      <w:lvlJc w:val="right"/>
      <w:pPr>
        <w:ind w:left="1890" w:hanging="180"/>
      </w:pPr>
    </w:lvl>
    <w:lvl w:ilvl="3" w:tplc="968C0950" w:tentative="1">
      <w:start w:val="1"/>
      <w:numFmt w:val="decimal"/>
      <w:lvlText w:val="%4."/>
      <w:lvlJc w:val="left"/>
      <w:pPr>
        <w:ind w:left="2610" w:hanging="360"/>
      </w:pPr>
    </w:lvl>
    <w:lvl w:ilvl="4" w:tplc="8C0C1A46" w:tentative="1">
      <w:start w:val="1"/>
      <w:numFmt w:val="lowerLetter"/>
      <w:lvlText w:val="%5."/>
      <w:lvlJc w:val="left"/>
      <w:pPr>
        <w:ind w:left="3330" w:hanging="360"/>
      </w:pPr>
    </w:lvl>
    <w:lvl w:ilvl="5" w:tplc="7108D19E" w:tentative="1">
      <w:start w:val="1"/>
      <w:numFmt w:val="lowerRoman"/>
      <w:lvlText w:val="%6."/>
      <w:lvlJc w:val="right"/>
      <w:pPr>
        <w:ind w:left="4050" w:hanging="180"/>
      </w:pPr>
    </w:lvl>
    <w:lvl w:ilvl="6" w:tplc="4FB67A66" w:tentative="1">
      <w:start w:val="1"/>
      <w:numFmt w:val="decimal"/>
      <w:lvlText w:val="%7."/>
      <w:lvlJc w:val="left"/>
      <w:pPr>
        <w:ind w:left="4770" w:hanging="360"/>
      </w:pPr>
    </w:lvl>
    <w:lvl w:ilvl="7" w:tplc="3DB25236" w:tentative="1">
      <w:start w:val="1"/>
      <w:numFmt w:val="lowerLetter"/>
      <w:lvlText w:val="%8."/>
      <w:lvlJc w:val="left"/>
      <w:pPr>
        <w:ind w:left="5490" w:hanging="360"/>
      </w:pPr>
    </w:lvl>
    <w:lvl w:ilvl="8" w:tplc="366C1FE8" w:tentative="1">
      <w:start w:val="1"/>
      <w:numFmt w:val="lowerRoman"/>
      <w:lvlText w:val="%9."/>
      <w:lvlJc w:val="right"/>
      <w:pPr>
        <w:ind w:left="6210" w:hanging="180"/>
      </w:pPr>
    </w:lvl>
  </w:abstractNum>
  <w:abstractNum w:abstractNumId="48" w15:restartNumberingAfterBreak="0">
    <w:nsid w:val="53577B40"/>
    <w:multiLevelType w:val="hybridMultilevel"/>
    <w:tmpl w:val="12581010"/>
    <w:lvl w:ilvl="0" w:tplc="AAB214CA">
      <w:start w:val="1"/>
      <w:numFmt w:val="bullet"/>
      <w:lvlText w:val=""/>
      <w:lvlJc w:val="left"/>
      <w:pPr>
        <w:ind w:left="1440" w:hanging="360"/>
      </w:pPr>
      <w:rPr>
        <w:rFonts w:ascii="Symbol" w:hAnsi="Symbol" w:hint="default"/>
      </w:rPr>
    </w:lvl>
    <w:lvl w:ilvl="1" w:tplc="D3782E58" w:tentative="1">
      <w:start w:val="1"/>
      <w:numFmt w:val="bullet"/>
      <w:lvlText w:val="o"/>
      <w:lvlJc w:val="left"/>
      <w:pPr>
        <w:ind w:left="2160" w:hanging="360"/>
      </w:pPr>
      <w:rPr>
        <w:rFonts w:ascii="Courier New" w:hAnsi="Courier New" w:cs="Courier New" w:hint="default"/>
      </w:rPr>
    </w:lvl>
    <w:lvl w:ilvl="2" w:tplc="2C925890" w:tentative="1">
      <w:start w:val="1"/>
      <w:numFmt w:val="bullet"/>
      <w:lvlText w:val=""/>
      <w:lvlJc w:val="left"/>
      <w:pPr>
        <w:ind w:left="2880" w:hanging="360"/>
      </w:pPr>
      <w:rPr>
        <w:rFonts w:ascii="Wingdings" w:hAnsi="Wingdings" w:hint="default"/>
      </w:rPr>
    </w:lvl>
    <w:lvl w:ilvl="3" w:tplc="18A4CCC2" w:tentative="1">
      <w:start w:val="1"/>
      <w:numFmt w:val="bullet"/>
      <w:lvlText w:val=""/>
      <w:lvlJc w:val="left"/>
      <w:pPr>
        <w:ind w:left="3600" w:hanging="360"/>
      </w:pPr>
      <w:rPr>
        <w:rFonts w:ascii="Symbol" w:hAnsi="Symbol" w:hint="default"/>
      </w:rPr>
    </w:lvl>
    <w:lvl w:ilvl="4" w:tplc="C3981A2A" w:tentative="1">
      <w:start w:val="1"/>
      <w:numFmt w:val="bullet"/>
      <w:lvlText w:val="o"/>
      <w:lvlJc w:val="left"/>
      <w:pPr>
        <w:ind w:left="4320" w:hanging="360"/>
      </w:pPr>
      <w:rPr>
        <w:rFonts w:ascii="Courier New" w:hAnsi="Courier New" w:cs="Courier New" w:hint="default"/>
      </w:rPr>
    </w:lvl>
    <w:lvl w:ilvl="5" w:tplc="0F1ABBDA" w:tentative="1">
      <w:start w:val="1"/>
      <w:numFmt w:val="bullet"/>
      <w:lvlText w:val=""/>
      <w:lvlJc w:val="left"/>
      <w:pPr>
        <w:ind w:left="5040" w:hanging="360"/>
      </w:pPr>
      <w:rPr>
        <w:rFonts w:ascii="Wingdings" w:hAnsi="Wingdings" w:hint="default"/>
      </w:rPr>
    </w:lvl>
    <w:lvl w:ilvl="6" w:tplc="2D125336" w:tentative="1">
      <w:start w:val="1"/>
      <w:numFmt w:val="bullet"/>
      <w:lvlText w:val=""/>
      <w:lvlJc w:val="left"/>
      <w:pPr>
        <w:ind w:left="5760" w:hanging="360"/>
      </w:pPr>
      <w:rPr>
        <w:rFonts w:ascii="Symbol" w:hAnsi="Symbol" w:hint="default"/>
      </w:rPr>
    </w:lvl>
    <w:lvl w:ilvl="7" w:tplc="9344009A" w:tentative="1">
      <w:start w:val="1"/>
      <w:numFmt w:val="bullet"/>
      <w:lvlText w:val="o"/>
      <w:lvlJc w:val="left"/>
      <w:pPr>
        <w:ind w:left="6480" w:hanging="360"/>
      </w:pPr>
      <w:rPr>
        <w:rFonts w:ascii="Courier New" w:hAnsi="Courier New" w:cs="Courier New" w:hint="default"/>
      </w:rPr>
    </w:lvl>
    <w:lvl w:ilvl="8" w:tplc="93300B9A" w:tentative="1">
      <w:start w:val="1"/>
      <w:numFmt w:val="bullet"/>
      <w:lvlText w:val=""/>
      <w:lvlJc w:val="left"/>
      <w:pPr>
        <w:ind w:left="7200" w:hanging="360"/>
      </w:pPr>
      <w:rPr>
        <w:rFonts w:ascii="Wingdings" w:hAnsi="Wingdings" w:hint="default"/>
      </w:rPr>
    </w:lvl>
  </w:abstractNum>
  <w:abstractNum w:abstractNumId="49" w15:restartNumberingAfterBreak="0">
    <w:nsid w:val="54255E83"/>
    <w:multiLevelType w:val="hybridMultilevel"/>
    <w:tmpl w:val="8B72FD98"/>
    <w:lvl w:ilvl="0" w:tplc="390256CA">
      <w:start w:val="1"/>
      <w:numFmt w:val="lowerLetter"/>
      <w:lvlText w:val="(%1)"/>
      <w:lvlJc w:val="left"/>
      <w:pPr>
        <w:ind w:left="1080" w:hanging="360"/>
      </w:pPr>
      <w:rPr>
        <w:rFonts w:hint="default"/>
      </w:rPr>
    </w:lvl>
    <w:lvl w:ilvl="1" w:tplc="1082D0C8" w:tentative="1">
      <w:start w:val="1"/>
      <w:numFmt w:val="lowerLetter"/>
      <w:lvlText w:val="%2."/>
      <w:lvlJc w:val="left"/>
      <w:pPr>
        <w:ind w:left="1800" w:hanging="360"/>
      </w:pPr>
    </w:lvl>
    <w:lvl w:ilvl="2" w:tplc="12466C76" w:tentative="1">
      <w:start w:val="1"/>
      <w:numFmt w:val="lowerRoman"/>
      <w:lvlText w:val="%3."/>
      <w:lvlJc w:val="right"/>
      <w:pPr>
        <w:ind w:left="2520" w:hanging="180"/>
      </w:pPr>
    </w:lvl>
    <w:lvl w:ilvl="3" w:tplc="4A90DC3A" w:tentative="1">
      <w:start w:val="1"/>
      <w:numFmt w:val="decimal"/>
      <w:lvlText w:val="%4."/>
      <w:lvlJc w:val="left"/>
      <w:pPr>
        <w:ind w:left="3240" w:hanging="360"/>
      </w:pPr>
    </w:lvl>
    <w:lvl w:ilvl="4" w:tplc="1D1053A8" w:tentative="1">
      <w:start w:val="1"/>
      <w:numFmt w:val="lowerLetter"/>
      <w:lvlText w:val="%5."/>
      <w:lvlJc w:val="left"/>
      <w:pPr>
        <w:ind w:left="3960" w:hanging="360"/>
      </w:pPr>
    </w:lvl>
    <w:lvl w:ilvl="5" w:tplc="AE629B9C" w:tentative="1">
      <w:start w:val="1"/>
      <w:numFmt w:val="lowerRoman"/>
      <w:lvlText w:val="%6."/>
      <w:lvlJc w:val="right"/>
      <w:pPr>
        <w:ind w:left="4680" w:hanging="180"/>
      </w:pPr>
    </w:lvl>
    <w:lvl w:ilvl="6" w:tplc="4512312A" w:tentative="1">
      <w:start w:val="1"/>
      <w:numFmt w:val="decimal"/>
      <w:lvlText w:val="%7."/>
      <w:lvlJc w:val="left"/>
      <w:pPr>
        <w:ind w:left="5400" w:hanging="360"/>
      </w:pPr>
    </w:lvl>
    <w:lvl w:ilvl="7" w:tplc="78641892" w:tentative="1">
      <w:start w:val="1"/>
      <w:numFmt w:val="lowerLetter"/>
      <w:lvlText w:val="%8."/>
      <w:lvlJc w:val="left"/>
      <w:pPr>
        <w:ind w:left="6120" w:hanging="360"/>
      </w:pPr>
    </w:lvl>
    <w:lvl w:ilvl="8" w:tplc="FF1801F6" w:tentative="1">
      <w:start w:val="1"/>
      <w:numFmt w:val="lowerRoman"/>
      <w:lvlText w:val="%9."/>
      <w:lvlJc w:val="right"/>
      <w:pPr>
        <w:ind w:left="6840" w:hanging="180"/>
      </w:pPr>
    </w:lvl>
  </w:abstractNum>
  <w:abstractNum w:abstractNumId="50" w15:restartNumberingAfterBreak="0">
    <w:nsid w:val="55A30337"/>
    <w:multiLevelType w:val="hybridMultilevel"/>
    <w:tmpl w:val="C176706A"/>
    <w:lvl w:ilvl="0" w:tplc="44886CE4">
      <w:start w:val="1"/>
      <w:numFmt w:val="bullet"/>
      <w:lvlText w:val=""/>
      <w:lvlJc w:val="left"/>
      <w:pPr>
        <w:ind w:left="1350" w:hanging="360"/>
      </w:pPr>
      <w:rPr>
        <w:rFonts w:ascii="Symbol" w:hAnsi="Symbol" w:hint="default"/>
        <w:color w:val="auto"/>
      </w:rPr>
    </w:lvl>
    <w:lvl w:ilvl="1" w:tplc="01BE3F4C">
      <w:start w:val="1"/>
      <w:numFmt w:val="bullet"/>
      <w:lvlText w:val="o"/>
      <w:lvlJc w:val="left"/>
      <w:pPr>
        <w:ind w:left="2070" w:hanging="360"/>
      </w:pPr>
      <w:rPr>
        <w:rFonts w:ascii="Courier New" w:hAnsi="Courier New" w:cs="Courier New" w:hint="default"/>
      </w:rPr>
    </w:lvl>
    <w:lvl w:ilvl="2" w:tplc="970890D4" w:tentative="1">
      <w:start w:val="1"/>
      <w:numFmt w:val="bullet"/>
      <w:lvlText w:val=""/>
      <w:lvlJc w:val="left"/>
      <w:pPr>
        <w:ind w:left="2790" w:hanging="360"/>
      </w:pPr>
      <w:rPr>
        <w:rFonts w:ascii="Wingdings" w:hAnsi="Wingdings" w:hint="default"/>
      </w:rPr>
    </w:lvl>
    <w:lvl w:ilvl="3" w:tplc="9230A0B2" w:tentative="1">
      <w:start w:val="1"/>
      <w:numFmt w:val="bullet"/>
      <w:lvlText w:val=""/>
      <w:lvlJc w:val="left"/>
      <w:pPr>
        <w:ind w:left="3510" w:hanging="360"/>
      </w:pPr>
      <w:rPr>
        <w:rFonts w:ascii="Symbol" w:hAnsi="Symbol" w:hint="default"/>
      </w:rPr>
    </w:lvl>
    <w:lvl w:ilvl="4" w:tplc="665068BA" w:tentative="1">
      <w:start w:val="1"/>
      <w:numFmt w:val="bullet"/>
      <w:lvlText w:val="o"/>
      <w:lvlJc w:val="left"/>
      <w:pPr>
        <w:ind w:left="4230" w:hanging="360"/>
      </w:pPr>
      <w:rPr>
        <w:rFonts w:ascii="Courier New" w:hAnsi="Courier New" w:cs="Courier New" w:hint="default"/>
      </w:rPr>
    </w:lvl>
    <w:lvl w:ilvl="5" w:tplc="27BE00F8" w:tentative="1">
      <w:start w:val="1"/>
      <w:numFmt w:val="bullet"/>
      <w:lvlText w:val=""/>
      <w:lvlJc w:val="left"/>
      <w:pPr>
        <w:ind w:left="4950" w:hanging="360"/>
      </w:pPr>
      <w:rPr>
        <w:rFonts w:ascii="Wingdings" w:hAnsi="Wingdings" w:hint="default"/>
      </w:rPr>
    </w:lvl>
    <w:lvl w:ilvl="6" w:tplc="6FB884A6" w:tentative="1">
      <w:start w:val="1"/>
      <w:numFmt w:val="bullet"/>
      <w:lvlText w:val=""/>
      <w:lvlJc w:val="left"/>
      <w:pPr>
        <w:ind w:left="5670" w:hanging="360"/>
      </w:pPr>
      <w:rPr>
        <w:rFonts w:ascii="Symbol" w:hAnsi="Symbol" w:hint="default"/>
      </w:rPr>
    </w:lvl>
    <w:lvl w:ilvl="7" w:tplc="5D3E705C" w:tentative="1">
      <w:start w:val="1"/>
      <w:numFmt w:val="bullet"/>
      <w:lvlText w:val="o"/>
      <w:lvlJc w:val="left"/>
      <w:pPr>
        <w:ind w:left="6390" w:hanging="360"/>
      </w:pPr>
      <w:rPr>
        <w:rFonts w:ascii="Courier New" w:hAnsi="Courier New" w:cs="Courier New" w:hint="default"/>
      </w:rPr>
    </w:lvl>
    <w:lvl w:ilvl="8" w:tplc="FD3EB6B2" w:tentative="1">
      <w:start w:val="1"/>
      <w:numFmt w:val="bullet"/>
      <w:lvlText w:val=""/>
      <w:lvlJc w:val="left"/>
      <w:pPr>
        <w:ind w:left="7110" w:hanging="360"/>
      </w:pPr>
      <w:rPr>
        <w:rFonts w:ascii="Wingdings" w:hAnsi="Wingdings" w:hint="default"/>
      </w:rPr>
    </w:lvl>
  </w:abstractNum>
  <w:abstractNum w:abstractNumId="51" w15:restartNumberingAfterBreak="0">
    <w:nsid w:val="57CD29ED"/>
    <w:multiLevelType w:val="hybridMultilevel"/>
    <w:tmpl w:val="A3800FFE"/>
    <w:lvl w:ilvl="0" w:tplc="D4FC65A2">
      <w:start w:val="1"/>
      <w:numFmt w:val="decimal"/>
      <w:lvlText w:val="%1."/>
      <w:lvlJc w:val="left"/>
      <w:pPr>
        <w:ind w:left="450" w:hanging="360"/>
      </w:pPr>
      <w:rPr>
        <w:rFonts w:asciiTheme="minorHAnsi" w:hAnsiTheme="minorHAnsi" w:cstheme="minorHAnsi" w:hint="default"/>
        <w:b w:val="0"/>
        <w:color w:val="auto"/>
        <w:sz w:val="22"/>
        <w:szCs w:val="22"/>
      </w:rPr>
    </w:lvl>
    <w:lvl w:ilvl="1" w:tplc="7EE8F3B4">
      <w:start w:val="1"/>
      <w:numFmt w:val="lowerLetter"/>
      <w:lvlText w:val="(%2)"/>
      <w:lvlJc w:val="left"/>
      <w:pPr>
        <w:ind w:left="1440" w:hanging="360"/>
      </w:pPr>
      <w:rPr>
        <w:rFonts w:hint="default"/>
        <w:b w:val="0"/>
        <w:sz w:val="24"/>
        <w:szCs w:val="24"/>
      </w:rPr>
    </w:lvl>
    <w:lvl w:ilvl="2" w:tplc="F8822936">
      <w:start w:val="1"/>
      <w:numFmt w:val="lowerRoman"/>
      <w:lvlText w:val="(%3)"/>
      <w:lvlJc w:val="left"/>
      <w:pPr>
        <w:ind w:left="94" w:hanging="94"/>
      </w:pPr>
      <w:rPr>
        <w:rFonts w:asciiTheme="minorHAnsi" w:hAnsiTheme="minorHAnsi" w:cstheme="minorHAnsi" w:hint="default"/>
        <w:b/>
        <w:i w:val="0"/>
      </w:rPr>
    </w:lvl>
    <w:lvl w:ilvl="3" w:tplc="41769FF6">
      <w:start w:val="1"/>
      <w:numFmt w:val="bullet"/>
      <w:lvlText w:val=""/>
      <w:lvlJc w:val="left"/>
      <w:pPr>
        <w:ind w:left="626" w:hanging="360"/>
      </w:pPr>
      <w:rPr>
        <w:rFonts w:ascii="Symbol" w:hAnsi="Symbol" w:hint="default"/>
        <w:b w:val="0"/>
      </w:rPr>
    </w:lvl>
    <w:lvl w:ilvl="4" w:tplc="0EDA2720">
      <w:start w:val="1"/>
      <w:numFmt w:val="bullet"/>
      <w:lvlText w:val=""/>
      <w:lvlJc w:val="left"/>
      <w:pPr>
        <w:ind w:left="810" w:hanging="360"/>
      </w:pPr>
      <w:rPr>
        <w:rFonts w:ascii="Symbol" w:hAnsi="Symbol" w:hint="default"/>
      </w:rPr>
    </w:lvl>
    <w:lvl w:ilvl="5" w:tplc="5548439E">
      <w:start w:val="1"/>
      <w:numFmt w:val="bullet"/>
      <w:lvlText w:val="o"/>
      <w:lvlJc w:val="left"/>
      <w:pPr>
        <w:ind w:left="1706" w:hanging="180"/>
      </w:pPr>
      <w:rPr>
        <w:rFonts w:ascii="Courier New" w:hAnsi="Courier New" w:cs="Courier New" w:hint="default"/>
      </w:rPr>
    </w:lvl>
    <w:lvl w:ilvl="6" w:tplc="87DCA986" w:tentative="1">
      <w:start w:val="1"/>
      <w:numFmt w:val="decimal"/>
      <w:lvlText w:val="%7."/>
      <w:lvlJc w:val="left"/>
      <w:pPr>
        <w:ind w:left="4586" w:hanging="360"/>
      </w:pPr>
    </w:lvl>
    <w:lvl w:ilvl="7" w:tplc="11B49260" w:tentative="1">
      <w:start w:val="1"/>
      <w:numFmt w:val="lowerLetter"/>
      <w:lvlText w:val="%8."/>
      <w:lvlJc w:val="left"/>
      <w:pPr>
        <w:ind w:left="5306" w:hanging="360"/>
      </w:pPr>
    </w:lvl>
    <w:lvl w:ilvl="8" w:tplc="1800FACE" w:tentative="1">
      <w:start w:val="1"/>
      <w:numFmt w:val="lowerRoman"/>
      <w:lvlText w:val="%9."/>
      <w:lvlJc w:val="right"/>
      <w:pPr>
        <w:ind w:left="6026" w:hanging="180"/>
      </w:pPr>
    </w:lvl>
  </w:abstractNum>
  <w:abstractNum w:abstractNumId="52" w15:restartNumberingAfterBreak="0">
    <w:nsid w:val="57D96FEC"/>
    <w:multiLevelType w:val="hybridMultilevel"/>
    <w:tmpl w:val="6CB6EE38"/>
    <w:lvl w:ilvl="0" w:tplc="D936A508">
      <w:start w:val="1"/>
      <w:numFmt w:val="decimal"/>
      <w:lvlText w:val="%1."/>
      <w:lvlJc w:val="left"/>
      <w:pPr>
        <w:ind w:left="360" w:hanging="360"/>
      </w:pPr>
      <w:rPr>
        <w:rFonts w:asciiTheme="minorHAnsi" w:hAnsiTheme="minorHAnsi" w:cstheme="minorHAnsi" w:hint="default"/>
        <w:b w:val="0"/>
        <w:color w:val="auto"/>
        <w:sz w:val="22"/>
        <w:szCs w:val="22"/>
      </w:rPr>
    </w:lvl>
    <w:lvl w:ilvl="1" w:tplc="ACA85DDE">
      <w:start w:val="1"/>
      <w:numFmt w:val="bullet"/>
      <w:lvlText w:val=""/>
      <w:lvlJc w:val="left"/>
      <w:pPr>
        <w:ind w:left="1080" w:hanging="360"/>
      </w:pPr>
      <w:rPr>
        <w:rFonts w:ascii="Symbol" w:hAnsi="Symbol" w:hint="default"/>
        <w:sz w:val="22"/>
        <w:szCs w:val="22"/>
      </w:rPr>
    </w:lvl>
    <w:lvl w:ilvl="2" w:tplc="66D6BD98">
      <w:start w:val="1"/>
      <w:numFmt w:val="lowerRoman"/>
      <w:lvlText w:val="%3."/>
      <w:lvlJc w:val="right"/>
      <w:pPr>
        <w:ind w:left="536" w:hanging="180"/>
      </w:pPr>
      <w:rPr>
        <w:b w:val="0"/>
        <w:i w:val="0"/>
      </w:rPr>
    </w:lvl>
    <w:lvl w:ilvl="3" w:tplc="1FD48DA4">
      <w:start w:val="1"/>
      <w:numFmt w:val="bullet"/>
      <w:lvlText w:val=""/>
      <w:lvlJc w:val="left"/>
      <w:pPr>
        <w:ind w:left="626" w:hanging="360"/>
      </w:pPr>
      <w:rPr>
        <w:rFonts w:ascii="Symbol" w:hAnsi="Symbol" w:hint="default"/>
        <w:b w:val="0"/>
      </w:rPr>
    </w:lvl>
    <w:lvl w:ilvl="4" w:tplc="4928193A">
      <w:start w:val="1"/>
      <w:numFmt w:val="bullet"/>
      <w:lvlText w:val=""/>
      <w:lvlJc w:val="left"/>
      <w:pPr>
        <w:ind w:left="810" w:hanging="360"/>
      </w:pPr>
      <w:rPr>
        <w:rFonts w:ascii="Symbol" w:hAnsi="Symbol" w:hint="default"/>
      </w:rPr>
    </w:lvl>
    <w:lvl w:ilvl="5" w:tplc="233284AE">
      <w:start w:val="1"/>
      <w:numFmt w:val="bullet"/>
      <w:lvlText w:val="o"/>
      <w:lvlJc w:val="left"/>
      <w:pPr>
        <w:ind w:left="1706" w:hanging="180"/>
      </w:pPr>
      <w:rPr>
        <w:rFonts w:ascii="Courier New" w:hAnsi="Courier New" w:cs="Courier New" w:hint="default"/>
      </w:rPr>
    </w:lvl>
    <w:lvl w:ilvl="6" w:tplc="72968432">
      <w:start w:val="1"/>
      <w:numFmt w:val="lowerRoman"/>
      <w:lvlText w:val="(%7)"/>
      <w:lvlJc w:val="left"/>
      <w:pPr>
        <w:ind w:left="4946" w:hanging="720"/>
      </w:pPr>
      <w:rPr>
        <w:rFonts w:hint="default"/>
      </w:rPr>
    </w:lvl>
    <w:lvl w:ilvl="7" w:tplc="159AFE30" w:tentative="1">
      <w:start w:val="1"/>
      <w:numFmt w:val="lowerLetter"/>
      <w:lvlText w:val="%8."/>
      <w:lvlJc w:val="left"/>
      <w:pPr>
        <w:ind w:left="5306" w:hanging="360"/>
      </w:pPr>
    </w:lvl>
    <w:lvl w:ilvl="8" w:tplc="173CC26A" w:tentative="1">
      <w:start w:val="1"/>
      <w:numFmt w:val="lowerRoman"/>
      <w:lvlText w:val="%9."/>
      <w:lvlJc w:val="right"/>
      <w:pPr>
        <w:ind w:left="6026" w:hanging="180"/>
      </w:pPr>
    </w:lvl>
  </w:abstractNum>
  <w:abstractNum w:abstractNumId="53" w15:restartNumberingAfterBreak="1">
    <w:nsid w:val="584A617F"/>
    <w:multiLevelType w:val="hybridMultilevel"/>
    <w:tmpl w:val="2174D4C0"/>
    <w:lvl w:ilvl="0" w:tplc="E662DFB6">
      <w:start w:val="1"/>
      <w:numFmt w:val="upperRoman"/>
      <w:lvlText w:val="%1."/>
      <w:lvlJc w:val="left"/>
      <w:pPr>
        <w:ind w:left="720" w:hanging="720"/>
      </w:pPr>
      <w:rPr>
        <w:rFonts w:asciiTheme="minorHAnsi" w:hAnsiTheme="minorHAnsi" w:hint="default"/>
        <w:b/>
        <w:sz w:val="23"/>
        <w:szCs w:val="23"/>
      </w:rPr>
    </w:lvl>
    <w:lvl w:ilvl="1" w:tplc="FE8E52A2" w:tentative="1">
      <w:start w:val="1"/>
      <w:numFmt w:val="lowerLetter"/>
      <w:lvlText w:val="%2."/>
      <w:lvlJc w:val="left"/>
      <w:pPr>
        <w:ind w:left="1080" w:hanging="360"/>
      </w:pPr>
    </w:lvl>
    <w:lvl w:ilvl="2" w:tplc="8BFAA0D6" w:tentative="1">
      <w:start w:val="1"/>
      <w:numFmt w:val="lowerRoman"/>
      <w:lvlText w:val="%3."/>
      <w:lvlJc w:val="right"/>
      <w:pPr>
        <w:ind w:left="1800" w:hanging="180"/>
      </w:pPr>
    </w:lvl>
    <w:lvl w:ilvl="3" w:tplc="CCA8C804" w:tentative="1">
      <w:start w:val="1"/>
      <w:numFmt w:val="decimal"/>
      <w:lvlText w:val="%4."/>
      <w:lvlJc w:val="left"/>
      <w:pPr>
        <w:ind w:left="2520" w:hanging="360"/>
      </w:pPr>
    </w:lvl>
    <w:lvl w:ilvl="4" w:tplc="C2B641EC" w:tentative="1">
      <w:start w:val="1"/>
      <w:numFmt w:val="lowerLetter"/>
      <w:lvlText w:val="%5."/>
      <w:lvlJc w:val="left"/>
      <w:pPr>
        <w:ind w:left="3240" w:hanging="360"/>
      </w:pPr>
    </w:lvl>
    <w:lvl w:ilvl="5" w:tplc="70E20970" w:tentative="1">
      <w:start w:val="1"/>
      <w:numFmt w:val="lowerRoman"/>
      <w:lvlText w:val="%6."/>
      <w:lvlJc w:val="right"/>
      <w:pPr>
        <w:ind w:left="3960" w:hanging="180"/>
      </w:pPr>
    </w:lvl>
    <w:lvl w:ilvl="6" w:tplc="4B22DE28" w:tentative="1">
      <w:start w:val="1"/>
      <w:numFmt w:val="decimal"/>
      <w:lvlText w:val="%7."/>
      <w:lvlJc w:val="left"/>
      <w:pPr>
        <w:ind w:left="4680" w:hanging="360"/>
      </w:pPr>
    </w:lvl>
    <w:lvl w:ilvl="7" w:tplc="69740974" w:tentative="1">
      <w:start w:val="1"/>
      <w:numFmt w:val="lowerLetter"/>
      <w:lvlText w:val="%8."/>
      <w:lvlJc w:val="left"/>
      <w:pPr>
        <w:ind w:left="5400" w:hanging="360"/>
      </w:pPr>
    </w:lvl>
    <w:lvl w:ilvl="8" w:tplc="EEC0026E" w:tentative="1">
      <w:start w:val="1"/>
      <w:numFmt w:val="lowerRoman"/>
      <w:lvlText w:val="%9."/>
      <w:lvlJc w:val="right"/>
      <w:pPr>
        <w:ind w:left="6120" w:hanging="180"/>
      </w:pPr>
    </w:lvl>
  </w:abstractNum>
  <w:abstractNum w:abstractNumId="54" w15:restartNumberingAfterBreak="0">
    <w:nsid w:val="5B842F3A"/>
    <w:multiLevelType w:val="multilevel"/>
    <w:tmpl w:val="FD5EA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CFD27E1"/>
    <w:multiLevelType w:val="hybridMultilevel"/>
    <w:tmpl w:val="4A8A0504"/>
    <w:lvl w:ilvl="0" w:tplc="92BEEB94">
      <w:start w:val="1"/>
      <w:numFmt w:val="decimal"/>
      <w:lvlText w:val="%1."/>
      <w:lvlJc w:val="left"/>
      <w:pPr>
        <w:ind w:left="360" w:hanging="360"/>
      </w:pPr>
    </w:lvl>
    <w:lvl w:ilvl="1" w:tplc="2ABE0804" w:tentative="1">
      <w:start w:val="1"/>
      <w:numFmt w:val="lowerLetter"/>
      <w:lvlText w:val="%2."/>
      <w:lvlJc w:val="left"/>
      <w:pPr>
        <w:ind w:left="1080" w:hanging="360"/>
      </w:pPr>
    </w:lvl>
    <w:lvl w:ilvl="2" w:tplc="D572349E" w:tentative="1">
      <w:start w:val="1"/>
      <w:numFmt w:val="lowerRoman"/>
      <w:lvlText w:val="%3."/>
      <w:lvlJc w:val="right"/>
      <w:pPr>
        <w:ind w:left="1800" w:hanging="180"/>
      </w:pPr>
    </w:lvl>
    <w:lvl w:ilvl="3" w:tplc="EF3C9900" w:tentative="1">
      <w:start w:val="1"/>
      <w:numFmt w:val="decimal"/>
      <w:lvlText w:val="%4."/>
      <w:lvlJc w:val="left"/>
      <w:pPr>
        <w:ind w:left="2520" w:hanging="360"/>
      </w:pPr>
    </w:lvl>
    <w:lvl w:ilvl="4" w:tplc="2DFCA338" w:tentative="1">
      <w:start w:val="1"/>
      <w:numFmt w:val="lowerLetter"/>
      <w:lvlText w:val="%5."/>
      <w:lvlJc w:val="left"/>
      <w:pPr>
        <w:ind w:left="3240" w:hanging="360"/>
      </w:pPr>
    </w:lvl>
    <w:lvl w:ilvl="5" w:tplc="14C64EF6" w:tentative="1">
      <w:start w:val="1"/>
      <w:numFmt w:val="lowerRoman"/>
      <w:lvlText w:val="%6."/>
      <w:lvlJc w:val="right"/>
      <w:pPr>
        <w:ind w:left="3960" w:hanging="180"/>
      </w:pPr>
    </w:lvl>
    <w:lvl w:ilvl="6" w:tplc="A7F278DA" w:tentative="1">
      <w:start w:val="1"/>
      <w:numFmt w:val="decimal"/>
      <w:lvlText w:val="%7."/>
      <w:lvlJc w:val="left"/>
      <w:pPr>
        <w:ind w:left="4680" w:hanging="360"/>
      </w:pPr>
    </w:lvl>
    <w:lvl w:ilvl="7" w:tplc="E7F09280" w:tentative="1">
      <w:start w:val="1"/>
      <w:numFmt w:val="lowerLetter"/>
      <w:lvlText w:val="%8."/>
      <w:lvlJc w:val="left"/>
      <w:pPr>
        <w:ind w:left="5400" w:hanging="360"/>
      </w:pPr>
    </w:lvl>
    <w:lvl w:ilvl="8" w:tplc="E6E2F1C6" w:tentative="1">
      <w:start w:val="1"/>
      <w:numFmt w:val="lowerRoman"/>
      <w:lvlText w:val="%9."/>
      <w:lvlJc w:val="right"/>
      <w:pPr>
        <w:ind w:left="6120" w:hanging="180"/>
      </w:pPr>
    </w:lvl>
  </w:abstractNum>
  <w:abstractNum w:abstractNumId="56" w15:restartNumberingAfterBreak="0">
    <w:nsid w:val="5E7E5476"/>
    <w:multiLevelType w:val="hybridMultilevel"/>
    <w:tmpl w:val="30CA18FE"/>
    <w:lvl w:ilvl="0" w:tplc="788E7AEC">
      <w:start w:val="1"/>
      <w:numFmt w:val="lowerRoman"/>
      <w:lvlText w:val="(%1)"/>
      <w:lvlJc w:val="left"/>
      <w:pPr>
        <w:ind w:left="720" w:hanging="360"/>
      </w:pPr>
      <w:rPr>
        <w:rFonts w:asciiTheme="minorHAnsi" w:hAnsiTheme="minorHAnsi" w:cstheme="minorHAnsi" w:hint="default"/>
        <w:b w:val="0"/>
      </w:rPr>
    </w:lvl>
    <w:lvl w:ilvl="1" w:tplc="18A48D00">
      <w:start w:val="1"/>
      <w:numFmt w:val="lowerLetter"/>
      <w:lvlText w:val="%2."/>
      <w:lvlJc w:val="left"/>
      <w:pPr>
        <w:ind w:left="1440" w:hanging="360"/>
      </w:pPr>
    </w:lvl>
    <w:lvl w:ilvl="2" w:tplc="DF2637A0" w:tentative="1">
      <w:start w:val="1"/>
      <w:numFmt w:val="lowerRoman"/>
      <w:lvlText w:val="%3."/>
      <w:lvlJc w:val="right"/>
      <w:pPr>
        <w:ind w:left="2160" w:hanging="180"/>
      </w:pPr>
    </w:lvl>
    <w:lvl w:ilvl="3" w:tplc="5E068150" w:tentative="1">
      <w:start w:val="1"/>
      <w:numFmt w:val="decimal"/>
      <w:lvlText w:val="%4."/>
      <w:lvlJc w:val="left"/>
      <w:pPr>
        <w:ind w:left="2880" w:hanging="360"/>
      </w:pPr>
    </w:lvl>
    <w:lvl w:ilvl="4" w:tplc="71D8FE68" w:tentative="1">
      <w:start w:val="1"/>
      <w:numFmt w:val="lowerLetter"/>
      <w:lvlText w:val="%5."/>
      <w:lvlJc w:val="left"/>
      <w:pPr>
        <w:ind w:left="3600" w:hanging="360"/>
      </w:pPr>
    </w:lvl>
    <w:lvl w:ilvl="5" w:tplc="90D814DC" w:tentative="1">
      <w:start w:val="1"/>
      <w:numFmt w:val="lowerRoman"/>
      <w:lvlText w:val="%6."/>
      <w:lvlJc w:val="right"/>
      <w:pPr>
        <w:ind w:left="4320" w:hanging="180"/>
      </w:pPr>
    </w:lvl>
    <w:lvl w:ilvl="6" w:tplc="8EF0168C" w:tentative="1">
      <w:start w:val="1"/>
      <w:numFmt w:val="decimal"/>
      <w:lvlText w:val="%7."/>
      <w:lvlJc w:val="left"/>
      <w:pPr>
        <w:ind w:left="5040" w:hanging="360"/>
      </w:pPr>
    </w:lvl>
    <w:lvl w:ilvl="7" w:tplc="78502D68" w:tentative="1">
      <w:start w:val="1"/>
      <w:numFmt w:val="lowerLetter"/>
      <w:lvlText w:val="%8."/>
      <w:lvlJc w:val="left"/>
      <w:pPr>
        <w:ind w:left="5760" w:hanging="360"/>
      </w:pPr>
    </w:lvl>
    <w:lvl w:ilvl="8" w:tplc="6A86FF08" w:tentative="1">
      <w:start w:val="1"/>
      <w:numFmt w:val="lowerRoman"/>
      <w:lvlText w:val="%9."/>
      <w:lvlJc w:val="right"/>
      <w:pPr>
        <w:ind w:left="6480" w:hanging="180"/>
      </w:pPr>
    </w:lvl>
  </w:abstractNum>
  <w:abstractNum w:abstractNumId="57" w15:restartNumberingAfterBreak="0">
    <w:nsid w:val="63493966"/>
    <w:multiLevelType w:val="hybridMultilevel"/>
    <w:tmpl w:val="845A15A2"/>
    <w:lvl w:ilvl="0" w:tplc="F1420084">
      <w:start w:val="1"/>
      <w:numFmt w:val="decimal"/>
      <w:lvlText w:val="%1."/>
      <w:lvlJc w:val="left"/>
      <w:pPr>
        <w:ind w:left="360" w:hanging="360"/>
      </w:pPr>
    </w:lvl>
    <w:lvl w:ilvl="1" w:tplc="125A4D12" w:tentative="1">
      <w:start w:val="1"/>
      <w:numFmt w:val="lowerLetter"/>
      <w:lvlText w:val="%2."/>
      <w:lvlJc w:val="left"/>
      <w:pPr>
        <w:ind w:left="1080" w:hanging="360"/>
      </w:pPr>
    </w:lvl>
    <w:lvl w:ilvl="2" w:tplc="23B064D2" w:tentative="1">
      <w:start w:val="1"/>
      <w:numFmt w:val="lowerRoman"/>
      <w:lvlText w:val="%3."/>
      <w:lvlJc w:val="right"/>
      <w:pPr>
        <w:ind w:left="1800" w:hanging="180"/>
      </w:pPr>
    </w:lvl>
    <w:lvl w:ilvl="3" w:tplc="34922A74" w:tentative="1">
      <w:start w:val="1"/>
      <w:numFmt w:val="decimal"/>
      <w:lvlText w:val="%4."/>
      <w:lvlJc w:val="left"/>
      <w:pPr>
        <w:ind w:left="2520" w:hanging="360"/>
      </w:pPr>
    </w:lvl>
    <w:lvl w:ilvl="4" w:tplc="20ACD34E" w:tentative="1">
      <w:start w:val="1"/>
      <w:numFmt w:val="lowerLetter"/>
      <w:lvlText w:val="%5."/>
      <w:lvlJc w:val="left"/>
      <w:pPr>
        <w:ind w:left="3240" w:hanging="360"/>
      </w:pPr>
    </w:lvl>
    <w:lvl w:ilvl="5" w:tplc="EB26A2A8" w:tentative="1">
      <w:start w:val="1"/>
      <w:numFmt w:val="lowerRoman"/>
      <w:lvlText w:val="%6."/>
      <w:lvlJc w:val="right"/>
      <w:pPr>
        <w:ind w:left="3960" w:hanging="180"/>
      </w:pPr>
    </w:lvl>
    <w:lvl w:ilvl="6" w:tplc="971206D0" w:tentative="1">
      <w:start w:val="1"/>
      <w:numFmt w:val="decimal"/>
      <w:lvlText w:val="%7."/>
      <w:lvlJc w:val="left"/>
      <w:pPr>
        <w:ind w:left="4680" w:hanging="360"/>
      </w:pPr>
    </w:lvl>
    <w:lvl w:ilvl="7" w:tplc="D80E1406" w:tentative="1">
      <w:start w:val="1"/>
      <w:numFmt w:val="lowerLetter"/>
      <w:lvlText w:val="%8."/>
      <w:lvlJc w:val="left"/>
      <w:pPr>
        <w:ind w:left="5400" w:hanging="360"/>
      </w:pPr>
    </w:lvl>
    <w:lvl w:ilvl="8" w:tplc="B1BAD51A" w:tentative="1">
      <w:start w:val="1"/>
      <w:numFmt w:val="lowerRoman"/>
      <w:lvlText w:val="%9."/>
      <w:lvlJc w:val="right"/>
      <w:pPr>
        <w:ind w:left="6120" w:hanging="180"/>
      </w:pPr>
    </w:lvl>
  </w:abstractNum>
  <w:abstractNum w:abstractNumId="58" w15:restartNumberingAfterBreak="0">
    <w:nsid w:val="64E858E4"/>
    <w:multiLevelType w:val="hybridMultilevel"/>
    <w:tmpl w:val="F900F5EE"/>
    <w:lvl w:ilvl="0" w:tplc="D7300BC4">
      <w:start w:val="1"/>
      <w:numFmt w:val="decimal"/>
      <w:lvlText w:val="%1."/>
      <w:lvlJc w:val="left"/>
      <w:pPr>
        <w:ind w:left="360" w:hanging="360"/>
      </w:pPr>
    </w:lvl>
    <w:lvl w:ilvl="1" w:tplc="9BDAA05E" w:tentative="1">
      <w:start w:val="1"/>
      <w:numFmt w:val="lowerLetter"/>
      <w:lvlText w:val="%2."/>
      <w:lvlJc w:val="left"/>
      <w:pPr>
        <w:ind w:left="1080" w:hanging="360"/>
      </w:pPr>
    </w:lvl>
    <w:lvl w:ilvl="2" w:tplc="A81A95BE" w:tentative="1">
      <w:start w:val="1"/>
      <w:numFmt w:val="lowerRoman"/>
      <w:lvlText w:val="%3."/>
      <w:lvlJc w:val="right"/>
      <w:pPr>
        <w:ind w:left="1800" w:hanging="180"/>
      </w:pPr>
    </w:lvl>
    <w:lvl w:ilvl="3" w:tplc="188874C0" w:tentative="1">
      <w:start w:val="1"/>
      <w:numFmt w:val="decimal"/>
      <w:lvlText w:val="%4."/>
      <w:lvlJc w:val="left"/>
      <w:pPr>
        <w:ind w:left="2520" w:hanging="360"/>
      </w:pPr>
    </w:lvl>
    <w:lvl w:ilvl="4" w:tplc="596CEA22" w:tentative="1">
      <w:start w:val="1"/>
      <w:numFmt w:val="lowerLetter"/>
      <w:lvlText w:val="%5."/>
      <w:lvlJc w:val="left"/>
      <w:pPr>
        <w:ind w:left="3240" w:hanging="360"/>
      </w:pPr>
    </w:lvl>
    <w:lvl w:ilvl="5" w:tplc="97A65110" w:tentative="1">
      <w:start w:val="1"/>
      <w:numFmt w:val="lowerRoman"/>
      <w:lvlText w:val="%6."/>
      <w:lvlJc w:val="right"/>
      <w:pPr>
        <w:ind w:left="3960" w:hanging="180"/>
      </w:pPr>
    </w:lvl>
    <w:lvl w:ilvl="6" w:tplc="2CAABCE2" w:tentative="1">
      <w:start w:val="1"/>
      <w:numFmt w:val="decimal"/>
      <w:lvlText w:val="%7."/>
      <w:lvlJc w:val="left"/>
      <w:pPr>
        <w:ind w:left="4680" w:hanging="360"/>
      </w:pPr>
    </w:lvl>
    <w:lvl w:ilvl="7" w:tplc="BC488D48" w:tentative="1">
      <w:start w:val="1"/>
      <w:numFmt w:val="lowerLetter"/>
      <w:lvlText w:val="%8."/>
      <w:lvlJc w:val="left"/>
      <w:pPr>
        <w:ind w:left="5400" w:hanging="360"/>
      </w:pPr>
    </w:lvl>
    <w:lvl w:ilvl="8" w:tplc="A80E89EC" w:tentative="1">
      <w:start w:val="1"/>
      <w:numFmt w:val="lowerRoman"/>
      <w:lvlText w:val="%9."/>
      <w:lvlJc w:val="right"/>
      <w:pPr>
        <w:ind w:left="6120" w:hanging="180"/>
      </w:pPr>
    </w:lvl>
  </w:abstractNum>
  <w:abstractNum w:abstractNumId="59" w15:restartNumberingAfterBreak="0">
    <w:nsid w:val="65B813AF"/>
    <w:multiLevelType w:val="hybridMultilevel"/>
    <w:tmpl w:val="B27E19E6"/>
    <w:lvl w:ilvl="0" w:tplc="30A20F3C">
      <w:start w:val="1"/>
      <w:numFmt w:val="lowerLetter"/>
      <w:lvlText w:val="%1."/>
      <w:lvlJc w:val="left"/>
      <w:pPr>
        <w:ind w:left="720" w:hanging="360"/>
      </w:pPr>
      <w:rPr>
        <w:rFonts w:hint="default"/>
      </w:rPr>
    </w:lvl>
    <w:lvl w:ilvl="1" w:tplc="BE06A2CA" w:tentative="1">
      <w:start w:val="1"/>
      <w:numFmt w:val="lowerLetter"/>
      <w:lvlText w:val="%2."/>
      <w:lvlJc w:val="left"/>
      <w:pPr>
        <w:ind w:left="1440" w:hanging="360"/>
      </w:pPr>
    </w:lvl>
    <w:lvl w:ilvl="2" w:tplc="876A5114" w:tentative="1">
      <w:start w:val="1"/>
      <w:numFmt w:val="lowerRoman"/>
      <w:lvlText w:val="%3."/>
      <w:lvlJc w:val="right"/>
      <w:pPr>
        <w:ind w:left="2160" w:hanging="180"/>
      </w:pPr>
    </w:lvl>
    <w:lvl w:ilvl="3" w:tplc="BF6E81B6" w:tentative="1">
      <w:start w:val="1"/>
      <w:numFmt w:val="decimal"/>
      <w:lvlText w:val="%4."/>
      <w:lvlJc w:val="left"/>
      <w:pPr>
        <w:ind w:left="2880" w:hanging="360"/>
      </w:pPr>
    </w:lvl>
    <w:lvl w:ilvl="4" w:tplc="99BEA396" w:tentative="1">
      <w:start w:val="1"/>
      <w:numFmt w:val="lowerLetter"/>
      <w:lvlText w:val="%5."/>
      <w:lvlJc w:val="left"/>
      <w:pPr>
        <w:ind w:left="3600" w:hanging="360"/>
      </w:pPr>
    </w:lvl>
    <w:lvl w:ilvl="5" w:tplc="61F45DC4" w:tentative="1">
      <w:start w:val="1"/>
      <w:numFmt w:val="lowerRoman"/>
      <w:lvlText w:val="%6."/>
      <w:lvlJc w:val="right"/>
      <w:pPr>
        <w:ind w:left="4320" w:hanging="180"/>
      </w:pPr>
    </w:lvl>
    <w:lvl w:ilvl="6" w:tplc="A530C1F6" w:tentative="1">
      <w:start w:val="1"/>
      <w:numFmt w:val="decimal"/>
      <w:lvlText w:val="%7."/>
      <w:lvlJc w:val="left"/>
      <w:pPr>
        <w:ind w:left="5040" w:hanging="360"/>
      </w:pPr>
    </w:lvl>
    <w:lvl w:ilvl="7" w:tplc="76565430" w:tentative="1">
      <w:start w:val="1"/>
      <w:numFmt w:val="lowerLetter"/>
      <w:lvlText w:val="%8."/>
      <w:lvlJc w:val="left"/>
      <w:pPr>
        <w:ind w:left="5760" w:hanging="360"/>
      </w:pPr>
    </w:lvl>
    <w:lvl w:ilvl="8" w:tplc="510A7736" w:tentative="1">
      <w:start w:val="1"/>
      <w:numFmt w:val="lowerRoman"/>
      <w:lvlText w:val="%9."/>
      <w:lvlJc w:val="right"/>
      <w:pPr>
        <w:ind w:left="6480" w:hanging="180"/>
      </w:pPr>
    </w:lvl>
  </w:abstractNum>
  <w:abstractNum w:abstractNumId="60" w15:restartNumberingAfterBreak="0">
    <w:nsid w:val="6C5B3927"/>
    <w:multiLevelType w:val="hybridMultilevel"/>
    <w:tmpl w:val="79807E22"/>
    <w:lvl w:ilvl="0" w:tplc="91F4A498">
      <w:start w:val="1"/>
      <w:numFmt w:val="bullet"/>
      <w:lvlText w:val=""/>
      <w:lvlJc w:val="left"/>
      <w:pPr>
        <w:ind w:left="720" w:firstLine="0"/>
      </w:pPr>
      <w:rPr>
        <w:rFonts w:ascii="Symbol" w:hAnsi="Symbol" w:hint="default"/>
        <w:b w:val="0"/>
        <w:color w:val="auto"/>
        <w:sz w:val="22"/>
        <w:szCs w:val="22"/>
      </w:rPr>
    </w:lvl>
    <w:lvl w:ilvl="1" w:tplc="C68C9350">
      <w:start w:val="1"/>
      <w:numFmt w:val="bullet"/>
      <w:lvlText w:val=""/>
      <w:lvlJc w:val="left"/>
      <w:pPr>
        <w:ind w:left="1170" w:hanging="360"/>
      </w:pPr>
      <w:rPr>
        <w:rFonts w:ascii="Symbol" w:hAnsi="Symbol" w:hint="default"/>
      </w:rPr>
    </w:lvl>
    <w:lvl w:ilvl="2" w:tplc="F37A53C2" w:tentative="1">
      <w:start w:val="1"/>
      <w:numFmt w:val="lowerRoman"/>
      <w:lvlText w:val="%3."/>
      <w:lvlJc w:val="right"/>
      <w:pPr>
        <w:ind w:left="2970" w:hanging="180"/>
      </w:pPr>
    </w:lvl>
    <w:lvl w:ilvl="3" w:tplc="B906B52E" w:tentative="1">
      <w:start w:val="1"/>
      <w:numFmt w:val="decimal"/>
      <w:lvlText w:val="%4."/>
      <w:lvlJc w:val="left"/>
      <w:pPr>
        <w:ind w:left="3690" w:hanging="360"/>
      </w:pPr>
    </w:lvl>
    <w:lvl w:ilvl="4" w:tplc="2B1AFFBE" w:tentative="1">
      <w:start w:val="1"/>
      <w:numFmt w:val="lowerLetter"/>
      <w:lvlText w:val="%5."/>
      <w:lvlJc w:val="left"/>
      <w:pPr>
        <w:ind w:left="4410" w:hanging="360"/>
      </w:pPr>
    </w:lvl>
    <w:lvl w:ilvl="5" w:tplc="BFCECE9E" w:tentative="1">
      <w:start w:val="1"/>
      <w:numFmt w:val="lowerRoman"/>
      <w:lvlText w:val="%6."/>
      <w:lvlJc w:val="right"/>
      <w:pPr>
        <w:ind w:left="5130" w:hanging="180"/>
      </w:pPr>
    </w:lvl>
    <w:lvl w:ilvl="6" w:tplc="393AC802" w:tentative="1">
      <w:start w:val="1"/>
      <w:numFmt w:val="decimal"/>
      <w:lvlText w:val="%7."/>
      <w:lvlJc w:val="left"/>
      <w:pPr>
        <w:ind w:left="5850" w:hanging="360"/>
      </w:pPr>
    </w:lvl>
    <w:lvl w:ilvl="7" w:tplc="AD901F18" w:tentative="1">
      <w:start w:val="1"/>
      <w:numFmt w:val="lowerLetter"/>
      <w:lvlText w:val="%8."/>
      <w:lvlJc w:val="left"/>
      <w:pPr>
        <w:ind w:left="6570" w:hanging="360"/>
      </w:pPr>
    </w:lvl>
    <w:lvl w:ilvl="8" w:tplc="1D54722A" w:tentative="1">
      <w:start w:val="1"/>
      <w:numFmt w:val="lowerRoman"/>
      <w:lvlText w:val="%9."/>
      <w:lvlJc w:val="right"/>
      <w:pPr>
        <w:ind w:left="7290" w:hanging="180"/>
      </w:pPr>
    </w:lvl>
  </w:abstractNum>
  <w:abstractNum w:abstractNumId="61" w15:restartNumberingAfterBreak="0">
    <w:nsid w:val="6CB23FB6"/>
    <w:multiLevelType w:val="hybridMultilevel"/>
    <w:tmpl w:val="DB7CAB1A"/>
    <w:lvl w:ilvl="0" w:tplc="472A6548">
      <w:start w:val="1"/>
      <w:numFmt w:val="lowerLetter"/>
      <w:lvlText w:val="%1."/>
      <w:lvlJc w:val="left"/>
      <w:pPr>
        <w:ind w:left="1080" w:hanging="360"/>
      </w:pPr>
      <w:rPr>
        <w:rFonts w:hint="default"/>
        <w:b w:val="0"/>
        <w:color w:val="auto"/>
        <w:sz w:val="22"/>
        <w:szCs w:val="22"/>
      </w:rPr>
    </w:lvl>
    <w:lvl w:ilvl="1" w:tplc="070807D2">
      <w:start w:val="1"/>
      <w:numFmt w:val="bullet"/>
      <w:lvlText w:val=""/>
      <w:lvlJc w:val="left"/>
      <w:pPr>
        <w:ind w:left="1800" w:hanging="360"/>
      </w:pPr>
      <w:rPr>
        <w:rFonts w:ascii="Symbol" w:hAnsi="Symbol" w:hint="default"/>
        <w:sz w:val="22"/>
        <w:szCs w:val="22"/>
      </w:rPr>
    </w:lvl>
    <w:lvl w:ilvl="2" w:tplc="669E28D6">
      <w:start w:val="1"/>
      <w:numFmt w:val="lowerRoman"/>
      <w:lvlText w:val="%3."/>
      <w:lvlJc w:val="right"/>
      <w:pPr>
        <w:ind w:left="1256" w:hanging="180"/>
      </w:pPr>
      <w:rPr>
        <w:b w:val="0"/>
        <w:i w:val="0"/>
      </w:rPr>
    </w:lvl>
    <w:lvl w:ilvl="3" w:tplc="F2D45FF0">
      <w:start w:val="1"/>
      <w:numFmt w:val="bullet"/>
      <w:lvlText w:val=""/>
      <w:lvlJc w:val="left"/>
      <w:pPr>
        <w:ind w:left="1346" w:hanging="360"/>
      </w:pPr>
      <w:rPr>
        <w:rFonts w:ascii="Symbol" w:hAnsi="Symbol" w:hint="default"/>
        <w:b w:val="0"/>
      </w:rPr>
    </w:lvl>
    <w:lvl w:ilvl="4" w:tplc="D42E7998">
      <w:start w:val="1"/>
      <w:numFmt w:val="bullet"/>
      <w:lvlText w:val=""/>
      <w:lvlJc w:val="left"/>
      <w:pPr>
        <w:ind w:left="1530" w:hanging="360"/>
      </w:pPr>
      <w:rPr>
        <w:rFonts w:ascii="Symbol" w:hAnsi="Symbol" w:hint="default"/>
      </w:rPr>
    </w:lvl>
    <w:lvl w:ilvl="5" w:tplc="20360BA2">
      <w:start w:val="1"/>
      <w:numFmt w:val="bullet"/>
      <w:lvlText w:val="o"/>
      <w:lvlJc w:val="left"/>
      <w:pPr>
        <w:ind w:left="2426" w:hanging="180"/>
      </w:pPr>
      <w:rPr>
        <w:rFonts w:ascii="Courier New" w:hAnsi="Courier New" w:cs="Courier New" w:hint="default"/>
      </w:rPr>
    </w:lvl>
    <w:lvl w:ilvl="6" w:tplc="9DF89A06" w:tentative="1">
      <w:start w:val="1"/>
      <w:numFmt w:val="decimal"/>
      <w:lvlText w:val="%7."/>
      <w:lvlJc w:val="left"/>
      <w:pPr>
        <w:ind w:left="5306" w:hanging="360"/>
      </w:pPr>
    </w:lvl>
    <w:lvl w:ilvl="7" w:tplc="7088ABC4" w:tentative="1">
      <w:start w:val="1"/>
      <w:numFmt w:val="lowerLetter"/>
      <w:lvlText w:val="%8."/>
      <w:lvlJc w:val="left"/>
      <w:pPr>
        <w:ind w:left="6026" w:hanging="360"/>
      </w:pPr>
    </w:lvl>
    <w:lvl w:ilvl="8" w:tplc="ED186F06" w:tentative="1">
      <w:start w:val="1"/>
      <w:numFmt w:val="lowerRoman"/>
      <w:lvlText w:val="%9."/>
      <w:lvlJc w:val="right"/>
      <w:pPr>
        <w:ind w:left="6746" w:hanging="180"/>
      </w:pPr>
    </w:lvl>
  </w:abstractNum>
  <w:abstractNum w:abstractNumId="62" w15:restartNumberingAfterBreak="0">
    <w:nsid w:val="6D327517"/>
    <w:multiLevelType w:val="hybridMultilevel"/>
    <w:tmpl w:val="D19846F2"/>
    <w:lvl w:ilvl="0" w:tplc="3D58E730">
      <w:start w:val="1"/>
      <w:numFmt w:val="decimal"/>
      <w:lvlText w:val="%1."/>
      <w:lvlJc w:val="left"/>
      <w:pPr>
        <w:ind w:left="360" w:hanging="360"/>
      </w:pPr>
    </w:lvl>
    <w:lvl w:ilvl="1" w:tplc="A010F4E2" w:tentative="1">
      <w:start w:val="1"/>
      <w:numFmt w:val="lowerLetter"/>
      <w:lvlText w:val="%2."/>
      <w:lvlJc w:val="left"/>
      <w:pPr>
        <w:ind w:left="1080" w:hanging="360"/>
      </w:pPr>
    </w:lvl>
    <w:lvl w:ilvl="2" w:tplc="40C2B54E" w:tentative="1">
      <w:start w:val="1"/>
      <w:numFmt w:val="lowerRoman"/>
      <w:lvlText w:val="%3."/>
      <w:lvlJc w:val="right"/>
      <w:pPr>
        <w:ind w:left="1800" w:hanging="180"/>
      </w:pPr>
    </w:lvl>
    <w:lvl w:ilvl="3" w:tplc="1F1E4C30" w:tentative="1">
      <w:start w:val="1"/>
      <w:numFmt w:val="decimal"/>
      <w:lvlText w:val="%4."/>
      <w:lvlJc w:val="left"/>
      <w:pPr>
        <w:ind w:left="2520" w:hanging="360"/>
      </w:pPr>
    </w:lvl>
    <w:lvl w:ilvl="4" w:tplc="1C3811CA" w:tentative="1">
      <w:start w:val="1"/>
      <w:numFmt w:val="lowerLetter"/>
      <w:lvlText w:val="%5."/>
      <w:lvlJc w:val="left"/>
      <w:pPr>
        <w:ind w:left="3240" w:hanging="360"/>
      </w:pPr>
    </w:lvl>
    <w:lvl w:ilvl="5" w:tplc="C526E99C" w:tentative="1">
      <w:start w:val="1"/>
      <w:numFmt w:val="lowerRoman"/>
      <w:lvlText w:val="%6."/>
      <w:lvlJc w:val="right"/>
      <w:pPr>
        <w:ind w:left="3960" w:hanging="180"/>
      </w:pPr>
    </w:lvl>
    <w:lvl w:ilvl="6" w:tplc="8A742472" w:tentative="1">
      <w:start w:val="1"/>
      <w:numFmt w:val="decimal"/>
      <w:lvlText w:val="%7."/>
      <w:lvlJc w:val="left"/>
      <w:pPr>
        <w:ind w:left="4680" w:hanging="360"/>
      </w:pPr>
    </w:lvl>
    <w:lvl w:ilvl="7" w:tplc="B3E4B748" w:tentative="1">
      <w:start w:val="1"/>
      <w:numFmt w:val="lowerLetter"/>
      <w:lvlText w:val="%8."/>
      <w:lvlJc w:val="left"/>
      <w:pPr>
        <w:ind w:left="5400" w:hanging="360"/>
      </w:pPr>
    </w:lvl>
    <w:lvl w:ilvl="8" w:tplc="D792737C" w:tentative="1">
      <w:start w:val="1"/>
      <w:numFmt w:val="lowerRoman"/>
      <w:lvlText w:val="%9."/>
      <w:lvlJc w:val="right"/>
      <w:pPr>
        <w:ind w:left="6120" w:hanging="180"/>
      </w:pPr>
    </w:lvl>
  </w:abstractNum>
  <w:abstractNum w:abstractNumId="63" w15:restartNumberingAfterBreak="0">
    <w:nsid w:val="71E935D1"/>
    <w:multiLevelType w:val="hybridMultilevel"/>
    <w:tmpl w:val="96720C86"/>
    <w:lvl w:ilvl="0" w:tplc="AAAACE60">
      <w:start w:val="1"/>
      <w:numFmt w:val="bullet"/>
      <w:lvlText w:val=""/>
      <w:lvlJc w:val="left"/>
      <w:pPr>
        <w:ind w:left="3240" w:hanging="360"/>
      </w:pPr>
      <w:rPr>
        <w:rFonts w:ascii="Symbol" w:hAnsi="Symbol" w:hint="default"/>
      </w:rPr>
    </w:lvl>
    <w:lvl w:ilvl="1" w:tplc="CCE4D446" w:tentative="1">
      <w:start w:val="1"/>
      <w:numFmt w:val="bullet"/>
      <w:lvlText w:val="o"/>
      <w:lvlJc w:val="left"/>
      <w:pPr>
        <w:ind w:left="3960" w:hanging="360"/>
      </w:pPr>
      <w:rPr>
        <w:rFonts w:ascii="Courier New" w:hAnsi="Courier New" w:cs="Courier New" w:hint="default"/>
      </w:rPr>
    </w:lvl>
    <w:lvl w:ilvl="2" w:tplc="2766FE0C" w:tentative="1">
      <w:start w:val="1"/>
      <w:numFmt w:val="bullet"/>
      <w:lvlText w:val=""/>
      <w:lvlJc w:val="left"/>
      <w:pPr>
        <w:ind w:left="4680" w:hanging="360"/>
      </w:pPr>
      <w:rPr>
        <w:rFonts w:ascii="Wingdings" w:hAnsi="Wingdings" w:hint="default"/>
      </w:rPr>
    </w:lvl>
    <w:lvl w:ilvl="3" w:tplc="DDF453CE" w:tentative="1">
      <w:start w:val="1"/>
      <w:numFmt w:val="bullet"/>
      <w:lvlText w:val=""/>
      <w:lvlJc w:val="left"/>
      <w:pPr>
        <w:ind w:left="5400" w:hanging="360"/>
      </w:pPr>
      <w:rPr>
        <w:rFonts w:ascii="Symbol" w:hAnsi="Symbol" w:hint="default"/>
      </w:rPr>
    </w:lvl>
    <w:lvl w:ilvl="4" w:tplc="6EB206CE" w:tentative="1">
      <w:start w:val="1"/>
      <w:numFmt w:val="bullet"/>
      <w:lvlText w:val="o"/>
      <w:lvlJc w:val="left"/>
      <w:pPr>
        <w:ind w:left="6120" w:hanging="360"/>
      </w:pPr>
      <w:rPr>
        <w:rFonts w:ascii="Courier New" w:hAnsi="Courier New" w:cs="Courier New" w:hint="default"/>
      </w:rPr>
    </w:lvl>
    <w:lvl w:ilvl="5" w:tplc="58D8D5CC" w:tentative="1">
      <w:start w:val="1"/>
      <w:numFmt w:val="bullet"/>
      <w:lvlText w:val=""/>
      <w:lvlJc w:val="left"/>
      <w:pPr>
        <w:ind w:left="6840" w:hanging="360"/>
      </w:pPr>
      <w:rPr>
        <w:rFonts w:ascii="Wingdings" w:hAnsi="Wingdings" w:hint="default"/>
      </w:rPr>
    </w:lvl>
    <w:lvl w:ilvl="6" w:tplc="9E2C88AC" w:tentative="1">
      <w:start w:val="1"/>
      <w:numFmt w:val="bullet"/>
      <w:lvlText w:val=""/>
      <w:lvlJc w:val="left"/>
      <w:pPr>
        <w:ind w:left="7560" w:hanging="360"/>
      </w:pPr>
      <w:rPr>
        <w:rFonts w:ascii="Symbol" w:hAnsi="Symbol" w:hint="default"/>
      </w:rPr>
    </w:lvl>
    <w:lvl w:ilvl="7" w:tplc="A498F6B4" w:tentative="1">
      <w:start w:val="1"/>
      <w:numFmt w:val="bullet"/>
      <w:lvlText w:val="o"/>
      <w:lvlJc w:val="left"/>
      <w:pPr>
        <w:ind w:left="8280" w:hanging="360"/>
      </w:pPr>
      <w:rPr>
        <w:rFonts w:ascii="Courier New" w:hAnsi="Courier New" w:cs="Courier New" w:hint="default"/>
      </w:rPr>
    </w:lvl>
    <w:lvl w:ilvl="8" w:tplc="F72A9BD2" w:tentative="1">
      <w:start w:val="1"/>
      <w:numFmt w:val="bullet"/>
      <w:lvlText w:val=""/>
      <w:lvlJc w:val="left"/>
      <w:pPr>
        <w:ind w:left="9000" w:hanging="360"/>
      </w:pPr>
      <w:rPr>
        <w:rFonts w:ascii="Wingdings" w:hAnsi="Wingdings" w:hint="default"/>
      </w:rPr>
    </w:lvl>
  </w:abstractNum>
  <w:abstractNum w:abstractNumId="64" w15:restartNumberingAfterBreak="0">
    <w:nsid w:val="723C3FAB"/>
    <w:multiLevelType w:val="hybridMultilevel"/>
    <w:tmpl w:val="30CA18FE"/>
    <w:lvl w:ilvl="0" w:tplc="4DCAAC88">
      <w:start w:val="1"/>
      <w:numFmt w:val="lowerRoman"/>
      <w:lvlText w:val="(%1)"/>
      <w:lvlJc w:val="left"/>
      <w:pPr>
        <w:ind w:left="720" w:hanging="360"/>
      </w:pPr>
      <w:rPr>
        <w:rFonts w:asciiTheme="minorHAnsi" w:hAnsiTheme="minorHAnsi" w:cstheme="minorHAnsi" w:hint="default"/>
        <w:b w:val="0"/>
      </w:rPr>
    </w:lvl>
    <w:lvl w:ilvl="1" w:tplc="4B64B990">
      <w:start w:val="1"/>
      <w:numFmt w:val="lowerLetter"/>
      <w:lvlText w:val="%2."/>
      <w:lvlJc w:val="left"/>
      <w:pPr>
        <w:ind w:left="1440" w:hanging="360"/>
      </w:pPr>
    </w:lvl>
    <w:lvl w:ilvl="2" w:tplc="47F60424" w:tentative="1">
      <w:start w:val="1"/>
      <w:numFmt w:val="lowerRoman"/>
      <w:lvlText w:val="%3."/>
      <w:lvlJc w:val="right"/>
      <w:pPr>
        <w:ind w:left="2160" w:hanging="180"/>
      </w:pPr>
    </w:lvl>
    <w:lvl w:ilvl="3" w:tplc="55FABF76" w:tentative="1">
      <w:start w:val="1"/>
      <w:numFmt w:val="decimal"/>
      <w:lvlText w:val="%4."/>
      <w:lvlJc w:val="left"/>
      <w:pPr>
        <w:ind w:left="2880" w:hanging="360"/>
      </w:pPr>
    </w:lvl>
    <w:lvl w:ilvl="4" w:tplc="96E4533A" w:tentative="1">
      <w:start w:val="1"/>
      <w:numFmt w:val="lowerLetter"/>
      <w:lvlText w:val="%5."/>
      <w:lvlJc w:val="left"/>
      <w:pPr>
        <w:ind w:left="3600" w:hanging="360"/>
      </w:pPr>
    </w:lvl>
    <w:lvl w:ilvl="5" w:tplc="50AEA238" w:tentative="1">
      <w:start w:val="1"/>
      <w:numFmt w:val="lowerRoman"/>
      <w:lvlText w:val="%6."/>
      <w:lvlJc w:val="right"/>
      <w:pPr>
        <w:ind w:left="4320" w:hanging="180"/>
      </w:pPr>
    </w:lvl>
    <w:lvl w:ilvl="6" w:tplc="D07825C4" w:tentative="1">
      <w:start w:val="1"/>
      <w:numFmt w:val="decimal"/>
      <w:lvlText w:val="%7."/>
      <w:lvlJc w:val="left"/>
      <w:pPr>
        <w:ind w:left="5040" w:hanging="360"/>
      </w:pPr>
    </w:lvl>
    <w:lvl w:ilvl="7" w:tplc="188E568A" w:tentative="1">
      <w:start w:val="1"/>
      <w:numFmt w:val="lowerLetter"/>
      <w:lvlText w:val="%8."/>
      <w:lvlJc w:val="left"/>
      <w:pPr>
        <w:ind w:left="5760" w:hanging="360"/>
      </w:pPr>
    </w:lvl>
    <w:lvl w:ilvl="8" w:tplc="749ACA12" w:tentative="1">
      <w:start w:val="1"/>
      <w:numFmt w:val="lowerRoman"/>
      <w:lvlText w:val="%9."/>
      <w:lvlJc w:val="right"/>
      <w:pPr>
        <w:ind w:left="6480" w:hanging="180"/>
      </w:pPr>
    </w:lvl>
  </w:abstractNum>
  <w:abstractNum w:abstractNumId="65" w15:restartNumberingAfterBreak="0">
    <w:nsid w:val="726D1630"/>
    <w:multiLevelType w:val="hybridMultilevel"/>
    <w:tmpl w:val="EADEEAD6"/>
    <w:lvl w:ilvl="0" w:tplc="A7DE67D6">
      <w:start w:val="1"/>
      <w:numFmt w:val="bullet"/>
      <w:lvlText w:val=""/>
      <w:lvlJc w:val="left"/>
      <w:pPr>
        <w:ind w:left="720" w:hanging="360"/>
      </w:pPr>
      <w:rPr>
        <w:rFonts w:ascii="Symbol" w:hAnsi="Symbol" w:hint="default"/>
      </w:rPr>
    </w:lvl>
    <w:lvl w:ilvl="1" w:tplc="0EA66DDC" w:tentative="1">
      <w:start w:val="1"/>
      <w:numFmt w:val="bullet"/>
      <w:lvlText w:val="o"/>
      <w:lvlJc w:val="left"/>
      <w:pPr>
        <w:ind w:left="1440" w:hanging="360"/>
      </w:pPr>
      <w:rPr>
        <w:rFonts w:ascii="Courier New" w:hAnsi="Courier New" w:cs="Courier New" w:hint="default"/>
      </w:rPr>
    </w:lvl>
    <w:lvl w:ilvl="2" w:tplc="1AFC988C" w:tentative="1">
      <w:start w:val="1"/>
      <w:numFmt w:val="bullet"/>
      <w:lvlText w:val=""/>
      <w:lvlJc w:val="left"/>
      <w:pPr>
        <w:ind w:left="2160" w:hanging="360"/>
      </w:pPr>
      <w:rPr>
        <w:rFonts w:ascii="Wingdings" w:hAnsi="Wingdings" w:hint="default"/>
      </w:rPr>
    </w:lvl>
    <w:lvl w:ilvl="3" w:tplc="C57CBAFE" w:tentative="1">
      <w:start w:val="1"/>
      <w:numFmt w:val="bullet"/>
      <w:lvlText w:val=""/>
      <w:lvlJc w:val="left"/>
      <w:pPr>
        <w:ind w:left="2880" w:hanging="360"/>
      </w:pPr>
      <w:rPr>
        <w:rFonts w:ascii="Symbol" w:hAnsi="Symbol" w:hint="default"/>
      </w:rPr>
    </w:lvl>
    <w:lvl w:ilvl="4" w:tplc="2FF66490" w:tentative="1">
      <w:start w:val="1"/>
      <w:numFmt w:val="bullet"/>
      <w:lvlText w:val="o"/>
      <w:lvlJc w:val="left"/>
      <w:pPr>
        <w:ind w:left="3600" w:hanging="360"/>
      </w:pPr>
      <w:rPr>
        <w:rFonts w:ascii="Courier New" w:hAnsi="Courier New" w:cs="Courier New" w:hint="default"/>
      </w:rPr>
    </w:lvl>
    <w:lvl w:ilvl="5" w:tplc="4182A3AE" w:tentative="1">
      <w:start w:val="1"/>
      <w:numFmt w:val="bullet"/>
      <w:lvlText w:val=""/>
      <w:lvlJc w:val="left"/>
      <w:pPr>
        <w:ind w:left="4320" w:hanging="360"/>
      </w:pPr>
      <w:rPr>
        <w:rFonts w:ascii="Wingdings" w:hAnsi="Wingdings" w:hint="default"/>
      </w:rPr>
    </w:lvl>
    <w:lvl w:ilvl="6" w:tplc="B1EE8D48" w:tentative="1">
      <w:start w:val="1"/>
      <w:numFmt w:val="bullet"/>
      <w:lvlText w:val=""/>
      <w:lvlJc w:val="left"/>
      <w:pPr>
        <w:ind w:left="5040" w:hanging="360"/>
      </w:pPr>
      <w:rPr>
        <w:rFonts w:ascii="Symbol" w:hAnsi="Symbol" w:hint="default"/>
      </w:rPr>
    </w:lvl>
    <w:lvl w:ilvl="7" w:tplc="AF444B64" w:tentative="1">
      <w:start w:val="1"/>
      <w:numFmt w:val="bullet"/>
      <w:lvlText w:val="o"/>
      <w:lvlJc w:val="left"/>
      <w:pPr>
        <w:ind w:left="5760" w:hanging="360"/>
      </w:pPr>
      <w:rPr>
        <w:rFonts w:ascii="Courier New" w:hAnsi="Courier New" w:cs="Courier New" w:hint="default"/>
      </w:rPr>
    </w:lvl>
    <w:lvl w:ilvl="8" w:tplc="D0CCD6AA" w:tentative="1">
      <w:start w:val="1"/>
      <w:numFmt w:val="bullet"/>
      <w:lvlText w:val=""/>
      <w:lvlJc w:val="left"/>
      <w:pPr>
        <w:ind w:left="6480" w:hanging="360"/>
      </w:pPr>
      <w:rPr>
        <w:rFonts w:ascii="Wingdings" w:hAnsi="Wingdings" w:hint="default"/>
      </w:rPr>
    </w:lvl>
  </w:abstractNum>
  <w:abstractNum w:abstractNumId="66" w15:restartNumberingAfterBreak="0">
    <w:nsid w:val="73A256A8"/>
    <w:multiLevelType w:val="hybridMultilevel"/>
    <w:tmpl w:val="06F4FA56"/>
    <w:lvl w:ilvl="0" w:tplc="7B2A7742">
      <w:start w:val="1"/>
      <w:numFmt w:val="decimal"/>
      <w:lvlText w:val="%1."/>
      <w:lvlJc w:val="left"/>
      <w:pPr>
        <w:ind w:left="450" w:hanging="360"/>
      </w:pPr>
    </w:lvl>
    <w:lvl w:ilvl="1" w:tplc="BEFC7850" w:tentative="1">
      <w:start w:val="1"/>
      <w:numFmt w:val="lowerLetter"/>
      <w:lvlText w:val="%2."/>
      <w:lvlJc w:val="left"/>
      <w:pPr>
        <w:ind w:left="1170" w:hanging="360"/>
      </w:pPr>
    </w:lvl>
    <w:lvl w:ilvl="2" w:tplc="FF646A46" w:tentative="1">
      <w:start w:val="1"/>
      <w:numFmt w:val="lowerRoman"/>
      <w:lvlText w:val="%3."/>
      <w:lvlJc w:val="right"/>
      <w:pPr>
        <w:ind w:left="1890" w:hanging="180"/>
      </w:pPr>
    </w:lvl>
    <w:lvl w:ilvl="3" w:tplc="8ABE3396" w:tentative="1">
      <w:start w:val="1"/>
      <w:numFmt w:val="decimal"/>
      <w:lvlText w:val="%4."/>
      <w:lvlJc w:val="left"/>
      <w:pPr>
        <w:ind w:left="2610" w:hanging="360"/>
      </w:pPr>
    </w:lvl>
    <w:lvl w:ilvl="4" w:tplc="6E984276" w:tentative="1">
      <w:start w:val="1"/>
      <w:numFmt w:val="lowerLetter"/>
      <w:lvlText w:val="%5."/>
      <w:lvlJc w:val="left"/>
      <w:pPr>
        <w:ind w:left="3330" w:hanging="360"/>
      </w:pPr>
    </w:lvl>
    <w:lvl w:ilvl="5" w:tplc="F7EE2900" w:tentative="1">
      <w:start w:val="1"/>
      <w:numFmt w:val="lowerRoman"/>
      <w:lvlText w:val="%6."/>
      <w:lvlJc w:val="right"/>
      <w:pPr>
        <w:ind w:left="4050" w:hanging="180"/>
      </w:pPr>
    </w:lvl>
    <w:lvl w:ilvl="6" w:tplc="717C2E7C" w:tentative="1">
      <w:start w:val="1"/>
      <w:numFmt w:val="decimal"/>
      <w:lvlText w:val="%7."/>
      <w:lvlJc w:val="left"/>
      <w:pPr>
        <w:ind w:left="4770" w:hanging="360"/>
      </w:pPr>
    </w:lvl>
    <w:lvl w:ilvl="7" w:tplc="9B44E9AA" w:tentative="1">
      <w:start w:val="1"/>
      <w:numFmt w:val="lowerLetter"/>
      <w:lvlText w:val="%8."/>
      <w:lvlJc w:val="left"/>
      <w:pPr>
        <w:ind w:left="5490" w:hanging="360"/>
      </w:pPr>
    </w:lvl>
    <w:lvl w:ilvl="8" w:tplc="B07276A2" w:tentative="1">
      <w:start w:val="1"/>
      <w:numFmt w:val="lowerRoman"/>
      <w:lvlText w:val="%9."/>
      <w:lvlJc w:val="right"/>
      <w:pPr>
        <w:ind w:left="6210" w:hanging="180"/>
      </w:pPr>
    </w:lvl>
  </w:abstractNum>
  <w:abstractNum w:abstractNumId="67" w15:restartNumberingAfterBreak="0">
    <w:nsid w:val="7636474B"/>
    <w:multiLevelType w:val="hybridMultilevel"/>
    <w:tmpl w:val="AA9822AC"/>
    <w:lvl w:ilvl="0" w:tplc="34FC1848">
      <w:start w:val="1"/>
      <w:numFmt w:val="bullet"/>
      <w:lvlText w:val=""/>
      <w:lvlJc w:val="left"/>
      <w:pPr>
        <w:ind w:left="1800" w:hanging="360"/>
      </w:pPr>
      <w:rPr>
        <w:rFonts w:ascii="Symbol" w:hAnsi="Symbol" w:hint="default"/>
      </w:rPr>
    </w:lvl>
    <w:lvl w:ilvl="1" w:tplc="FEC808EE" w:tentative="1">
      <w:start w:val="1"/>
      <w:numFmt w:val="bullet"/>
      <w:lvlText w:val="o"/>
      <w:lvlJc w:val="left"/>
      <w:pPr>
        <w:ind w:left="2520" w:hanging="360"/>
      </w:pPr>
      <w:rPr>
        <w:rFonts w:ascii="Courier New" w:hAnsi="Courier New" w:cs="Courier New" w:hint="default"/>
      </w:rPr>
    </w:lvl>
    <w:lvl w:ilvl="2" w:tplc="09623858" w:tentative="1">
      <w:start w:val="1"/>
      <w:numFmt w:val="bullet"/>
      <w:lvlText w:val=""/>
      <w:lvlJc w:val="left"/>
      <w:pPr>
        <w:ind w:left="3240" w:hanging="360"/>
      </w:pPr>
      <w:rPr>
        <w:rFonts w:ascii="Wingdings" w:hAnsi="Wingdings" w:hint="default"/>
      </w:rPr>
    </w:lvl>
    <w:lvl w:ilvl="3" w:tplc="E256ACDE" w:tentative="1">
      <w:start w:val="1"/>
      <w:numFmt w:val="bullet"/>
      <w:lvlText w:val=""/>
      <w:lvlJc w:val="left"/>
      <w:pPr>
        <w:ind w:left="3960" w:hanging="360"/>
      </w:pPr>
      <w:rPr>
        <w:rFonts w:ascii="Symbol" w:hAnsi="Symbol" w:hint="default"/>
      </w:rPr>
    </w:lvl>
    <w:lvl w:ilvl="4" w:tplc="5B287364" w:tentative="1">
      <w:start w:val="1"/>
      <w:numFmt w:val="bullet"/>
      <w:lvlText w:val="o"/>
      <w:lvlJc w:val="left"/>
      <w:pPr>
        <w:ind w:left="4680" w:hanging="360"/>
      </w:pPr>
      <w:rPr>
        <w:rFonts w:ascii="Courier New" w:hAnsi="Courier New" w:cs="Courier New" w:hint="default"/>
      </w:rPr>
    </w:lvl>
    <w:lvl w:ilvl="5" w:tplc="49BABB0E" w:tentative="1">
      <w:start w:val="1"/>
      <w:numFmt w:val="bullet"/>
      <w:lvlText w:val=""/>
      <w:lvlJc w:val="left"/>
      <w:pPr>
        <w:ind w:left="5400" w:hanging="360"/>
      </w:pPr>
      <w:rPr>
        <w:rFonts w:ascii="Wingdings" w:hAnsi="Wingdings" w:hint="default"/>
      </w:rPr>
    </w:lvl>
    <w:lvl w:ilvl="6" w:tplc="7FBCE642" w:tentative="1">
      <w:start w:val="1"/>
      <w:numFmt w:val="bullet"/>
      <w:lvlText w:val=""/>
      <w:lvlJc w:val="left"/>
      <w:pPr>
        <w:ind w:left="6120" w:hanging="360"/>
      </w:pPr>
      <w:rPr>
        <w:rFonts w:ascii="Symbol" w:hAnsi="Symbol" w:hint="default"/>
      </w:rPr>
    </w:lvl>
    <w:lvl w:ilvl="7" w:tplc="34B694B6" w:tentative="1">
      <w:start w:val="1"/>
      <w:numFmt w:val="bullet"/>
      <w:lvlText w:val="o"/>
      <w:lvlJc w:val="left"/>
      <w:pPr>
        <w:ind w:left="6840" w:hanging="360"/>
      </w:pPr>
      <w:rPr>
        <w:rFonts w:ascii="Courier New" w:hAnsi="Courier New" w:cs="Courier New" w:hint="default"/>
      </w:rPr>
    </w:lvl>
    <w:lvl w:ilvl="8" w:tplc="900C80D6" w:tentative="1">
      <w:start w:val="1"/>
      <w:numFmt w:val="bullet"/>
      <w:lvlText w:val=""/>
      <w:lvlJc w:val="left"/>
      <w:pPr>
        <w:ind w:left="7560" w:hanging="360"/>
      </w:pPr>
      <w:rPr>
        <w:rFonts w:ascii="Wingdings" w:hAnsi="Wingdings" w:hint="default"/>
      </w:rPr>
    </w:lvl>
  </w:abstractNum>
  <w:abstractNum w:abstractNumId="68" w15:restartNumberingAfterBreak="0">
    <w:nsid w:val="76CE1A60"/>
    <w:multiLevelType w:val="hybridMultilevel"/>
    <w:tmpl w:val="D19846F2"/>
    <w:lvl w:ilvl="0" w:tplc="2020D8B6">
      <w:start w:val="1"/>
      <w:numFmt w:val="decimal"/>
      <w:lvlText w:val="%1."/>
      <w:lvlJc w:val="left"/>
      <w:pPr>
        <w:ind w:left="360" w:hanging="360"/>
      </w:pPr>
    </w:lvl>
    <w:lvl w:ilvl="1" w:tplc="5C8E3CFA" w:tentative="1">
      <w:start w:val="1"/>
      <w:numFmt w:val="lowerLetter"/>
      <w:lvlText w:val="%2."/>
      <w:lvlJc w:val="left"/>
      <w:pPr>
        <w:ind w:left="1080" w:hanging="360"/>
      </w:pPr>
    </w:lvl>
    <w:lvl w:ilvl="2" w:tplc="A4CEE582" w:tentative="1">
      <w:start w:val="1"/>
      <w:numFmt w:val="lowerRoman"/>
      <w:lvlText w:val="%3."/>
      <w:lvlJc w:val="right"/>
      <w:pPr>
        <w:ind w:left="1800" w:hanging="180"/>
      </w:pPr>
    </w:lvl>
    <w:lvl w:ilvl="3" w:tplc="2BF01E02" w:tentative="1">
      <w:start w:val="1"/>
      <w:numFmt w:val="decimal"/>
      <w:lvlText w:val="%4."/>
      <w:lvlJc w:val="left"/>
      <w:pPr>
        <w:ind w:left="2520" w:hanging="360"/>
      </w:pPr>
    </w:lvl>
    <w:lvl w:ilvl="4" w:tplc="A7DC1528" w:tentative="1">
      <w:start w:val="1"/>
      <w:numFmt w:val="lowerLetter"/>
      <w:lvlText w:val="%5."/>
      <w:lvlJc w:val="left"/>
      <w:pPr>
        <w:ind w:left="3240" w:hanging="360"/>
      </w:pPr>
    </w:lvl>
    <w:lvl w:ilvl="5" w:tplc="268E9CBC" w:tentative="1">
      <w:start w:val="1"/>
      <w:numFmt w:val="lowerRoman"/>
      <w:lvlText w:val="%6."/>
      <w:lvlJc w:val="right"/>
      <w:pPr>
        <w:ind w:left="3960" w:hanging="180"/>
      </w:pPr>
    </w:lvl>
    <w:lvl w:ilvl="6" w:tplc="4C2A56BC" w:tentative="1">
      <w:start w:val="1"/>
      <w:numFmt w:val="decimal"/>
      <w:lvlText w:val="%7."/>
      <w:lvlJc w:val="left"/>
      <w:pPr>
        <w:ind w:left="4680" w:hanging="360"/>
      </w:pPr>
    </w:lvl>
    <w:lvl w:ilvl="7" w:tplc="FE9C5272" w:tentative="1">
      <w:start w:val="1"/>
      <w:numFmt w:val="lowerLetter"/>
      <w:lvlText w:val="%8."/>
      <w:lvlJc w:val="left"/>
      <w:pPr>
        <w:ind w:left="5400" w:hanging="360"/>
      </w:pPr>
    </w:lvl>
    <w:lvl w:ilvl="8" w:tplc="40B864FC" w:tentative="1">
      <w:start w:val="1"/>
      <w:numFmt w:val="lowerRoman"/>
      <w:lvlText w:val="%9."/>
      <w:lvlJc w:val="right"/>
      <w:pPr>
        <w:ind w:left="6120" w:hanging="180"/>
      </w:pPr>
    </w:lvl>
  </w:abstractNum>
  <w:abstractNum w:abstractNumId="69" w15:restartNumberingAfterBreak="1">
    <w:nsid w:val="77ED010C"/>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1">
    <w:nsid w:val="77ED010D"/>
    <w:multiLevelType w:val="multilevel"/>
    <w:tmpl w:val="77ED01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1">
    <w:nsid w:val="77ED010E"/>
    <w:multiLevelType w:val="multilevel"/>
    <w:tmpl w:val="77ED01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1">
    <w:nsid w:val="77ED010F"/>
    <w:multiLevelType w:val="multilevel"/>
    <w:tmpl w:val="77ED01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1">
    <w:nsid w:val="77ED0110"/>
    <w:multiLevelType w:val="multilevel"/>
    <w:tmpl w:val="77ED0110"/>
    <w:lvl w:ilvl="0">
      <w:start w:val="1"/>
      <w:numFmt w:val="decimal"/>
      <w:lvlText w:val="%1."/>
      <w:lvlJc w:val="left"/>
      <w:pPr>
        <w:ind w:left="720" w:hanging="360"/>
      </w:pPr>
    </w:lvl>
    <w:lvl w:ilvl="1">
      <w:start w:val="1"/>
      <w:numFmt w:val="lowerLetter"/>
      <w:lvlText w:val="%2."/>
      <w:lvlJc w:val="left"/>
      <w:pPr>
        <w:tabs>
          <w:tab w:val="num" w:pos="810"/>
        </w:tabs>
        <w:ind w:left="81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C3F5B28"/>
    <w:multiLevelType w:val="hybridMultilevel"/>
    <w:tmpl w:val="FF2283BA"/>
    <w:lvl w:ilvl="0" w:tplc="0A385E36">
      <w:start w:val="1"/>
      <w:numFmt w:val="lowerRoman"/>
      <w:lvlText w:val="(%1)"/>
      <w:lvlJc w:val="left"/>
      <w:pPr>
        <w:ind w:left="720" w:hanging="360"/>
      </w:pPr>
      <w:rPr>
        <w:rFonts w:asciiTheme="minorHAnsi" w:hAnsiTheme="minorHAnsi" w:cstheme="minorHAnsi" w:hint="default"/>
        <w:b w:val="0"/>
      </w:rPr>
    </w:lvl>
    <w:lvl w:ilvl="1" w:tplc="AA48060C">
      <w:start w:val="1"/>
      <w:numFmt w:val="lowerLetter"/>
      <w:lvlText w:val="%2."/>
      <w:lvlJc w:val="left"/>
      <w:pPr>
        <w:ind w:left="1440" w:hanging="360"/>
      </w:pPr>
    </w:lvl>
    <w:lvl w:ilvl="2" w:tplc="5F607010" w:tentative="1">
      <w:start w:val="1"/>
      <w:numFmt w:val="lowerRoman"/>
      <w:lvlText w:val="%3."/>
      <w:lvlJc w:val="right"/>
      <w:pPr>
        <w:ind w:left="2160" w:hanging="180"/>
      </w:pPr>
    </w:lvl>
    <w:lvl w:ilvl="3" w:tplc="850482CA" w:tentative="1">
      <w:start w:val="1"/>
      <w:numFmt w:val="decimal"/>
      <w:lvlText w:val="%4."/>
      <w:lvlJc w:val="left"/>
      <w:pPr>
        <w:ind w:left="2880" w:hanging="360"/>
      </w:pPr>
    </w:lvl>
    <w:lvl w:ilvl="4" w:tplc="0A1E8A4E" w:tentative="1">
      <w:start w:val="1"/>
      <w:numFmt w:val="lowerLetter"/>
      <w:lvlText w:val="%5."/>
      <w:lvlJc w:val="left"/>
      <w:pPr>
        <w:ind w:left="3600" w:hanging="360"/>
      </w:pPr>
    </w:lvl>
    <w:lvl w:ilvl="5" w:tplc="7B9ECEC2" w:tentative="1">
      <w:start w:val="1"/>
      <w:numFmt w:val="lowerRoman"/>
      <w:lvlText w:val="%6."/>
      <w:lvlJc w:val="right"/>
      <w:pPr>
        <w:ind w:left="4320" w:hanging="180"/>
      </w:pPr>
    </w:lvl>
    <w:lvl w:ilvl="6" w:tplc="8A9E3BA0" w:tentative="1">
      <w:start w:val="1"/>
      <w:numFmt w:val="decimal"/>
      <w:lvlText w:val="%7."/>
      <w:lvlJc w:val="left"/>
      <w:pPr>
        <w:ind w:left="5040" w:hanging="360"/>
      </w:pPr>
    </w:lvl>
    <w:lvl w:ilvl="7" w:tplc="E0E425D2" w:tentative="1">
      <w:start w:val="1"/>
      <w:numFmt w:val="lowerLetter"/>
      <w:lvlText w:val="%8."/>
      <w:lvlJc w:val="left"/>
      <w:pPr>
        <w:ind w:left="5760" w:hanging="360"/>
      </w:pPr>
    </w:lvl>
    <w:lvl w:ilvl="8" w:tplc="3A706734" w:tentative="1">
      <w:start w:val="1"/>
      <w:numFmt w:val="lowerRoman"/>
      <w:lvlText w:val="%9."/>
      <w:lvlJc w:val="right"/>
      <w:pPr>
        <w:ind w:left="6480" w:hanging="180"/>
      </w:pPr>
    </w:lvl>
  </w:abstractNum>
  <w:abstractNum w:abstractNumId="75" w15:restartNumberingAfterBreak="0">
    <w:nsid w:val="7DF871C1"/>
    <w:multiLevelType w:val="hybridMultilevel"/>
    <w:tmpl w:val="A784E0AC"/>
    <w:lvl w:ilvl="0" w:tplc="568475CC">
      <w:start w:val="1"/>
      <w:numFmt w:val="bullet"/>
      <w:lvlText w:val=""/>
      <w:lvlJc w:val="left"/>
      <w:pPr>
        <w:ind w:left="1260" w:hanging="360"/>
      </w:pPr>
      <w:rPr>
        <w:rFonts w:ascii="Symbol" w:hAnsi="Symbol" w:hint="default"/>
      </w:rPr>
    </w:lvl>
    <w:lvl w:ilvl="1" w:tplc="7F78AFAA" w:tentative="1">
      <w:start w:val="1"/>
      <w:numFmt w:val="bullet"/>
      <w:lvlText w:val="o"/>
      <w:lvlJc w:val="left"/>
      <w:pPr>
        <w:ind w:left="1980" w:hanging="360"/>
      </w:pPr>
      <w:rPr>
        <w:rFonts w:ascii="Courier New" w:hAnsi="Courier New" w:cs="Courier New" w:hint="default"/>
      </w:rPr>
    </w:lvl>
    <w:lvl w:ilvl="2" w:tplc="A4F85742" w:tentative="1">
      <w:start w:val="1"/>
      <w:numFmt w:val="bullet"/>
      <w:lvlText w:val=""/>
      <w:lvlJc w:val="left"/>
      <w:pPr>
        <w:ind w:left="2700" w:hanging="360"/>
      </w:pPr>
      <w:rPr>
        <w:rFonts w:ascii="Wingdings" w:hAnsi="Wingdings" w:hint="default"/>
      </w:rPr>
    </w:lvl>
    <w:lvl w:ilvl="3" w:tplc="F5241CC2" w:tentative="1">
      <w:start w:val="1"/>
      <w:numFmt w:val="bullet"/>
      <w:lvlText w:val=""/>
      <w:lvlJc w:val="left"/>
      <w:pPr>
        <w:ind w:left="3420" w:hanging="360"/>
      </w:pPr>
      <w:rPr>
        <w:rFonts w:ascii="Symbol" w:hAnsi="Symbol" w:hint="default"/>
      </w:rPr>
    </w:lvl>
    <w:lvl w:ilvl="4" w:tplc="B29E0CF2" w:tentative="1">
      <w:start w:val="1"/>
      <w:numFmt w:val="bullet"/>
      <w:lvlText w:val="o"/>
      <w:lvlJc w:val="left"/>
      <w:pPr>
        <w:ind w:left="4140" w:hanging="360"/>
      </w:pPr>
      <w:rPr>
        <w:rFonts w:ascii="Courier New" w:hAnsi="Courier New" w:cs="Courier New" w:hint="default"/>
      </w:rPr>
    </w:lvl>
    <w:lvl w:ilvl="5" w:tplc="055AD160" w:tentative="1">
      <w:start w:val="1"/>
      <w:numFmt w:val="bullet"/>
      <w:lvlText w:val=""/>
      <w:lvlJc w:val="left"/>
      <w:pPr>
        <w:ind w:left="4860" w:hanging="360"/>
      </w:pPr>
      <w:rPr>
        <w:rFonts w:ascii="Wingdings" w:hAnsi="Wingdings" w:hint="default"/>
      </w:rPr>
    </w:lvl>
    <w:lvl w:ilvl="6" w:tplc="10FC0172" w:tentative="1">
      <w:start w:val="1"/>
      <w:numFmt w:val="bullet"/>
      <w:lvlText w:val=""/>
      <w:lvlJc w:val="left"/>
      <w:pPr>
        <w:ind w:left="5580" w:hanging="360"/>
      </w:pPr>
      <w:rPr>
        <w:rFonts w:ascii="Symbol" w:hAnsi="Symbol" w:hint="default"/>
      </w:rPr>
    </w:lvl>
    <w:lvl w:ilvl="7" w:tplc="C084F8B0" w:tentative="1">
      <w:start w:val="1"/>
      <w:numFmt w:val="bullet"/>
      <w:lvlText w:val="o"/>
      <w:lvlJc w:val="left"/>
      <w:pPr>
        <w:ind w:left="6300" w:hanging="360"/>
      </w:pPr>
      <w:rPr>
        <w:rFonts w:ascii="Courier New" w:hAnsi="Courier New" w:cs="Courier New" w:hint="default"/>
      </w:rPr>
    </w:lvl>
    <w:lvl w:ilvl="8" w:tplc="1A4E6234" w:tentative="1">
      <w:start w:val="1"/>
      <w:numFmt w:val="bullet"/>
      <w:lvlText w:val=""/>
      <w:lvlJc w:val="left"/>
      <w:pPr>
        <w:ind w:left="7020" w:hanging="360"/>
      </w:pPr>
      <w:rPr>
        <w:rFonts w:ascii="Wingdings" w:hAnsi="Wingdings" w:hint="default"/>
      </w:rPr>
    </w:lvl>
  </w:abstractNum>
  <w:abstractNum w:abstractNumId="76" w15:restartNumberingAfterBreak="1">
    <w:nsid w:val="7EAABB0B"/>
    <w:multiLevelType w:val="multilevel"/>
    <w:tmpl w:val="77ED01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3"/>
  </w:num>
  <w:num w:numId="2">
    <w:abstractNumId w:val="11"/>
  </w:num>
  <w:num w:numId="3">
    <w:abstractNumId w:val="70"/>
  </w:num>
  <w:num w:numId="4">
    <w:abstractNumId w:val="71"/>
  </w:num>
  <w:num w:numId="5">
    <w:abstractNumId w:val="72"/>
  </w:num>
  <w:num w:numId="6">
    <w:abstractNumId w:val="73"/>
  </w:num>
  <w:num w:numId="7">
    <w:abstractNumId w:val="51"/>
  </w:num>
  <w:num w:numId="8">
    <w:abstractNumId w:val="50"/>
  </w:num>
  <w:num w:numId="9">
    <w:abstractNumId w:val="45"/>
  </w:num>
  <w:num w:numId="10">
    <w:abstractNumId w:val="41"/>
  </w:num>
  <w:num w:numId="11">
    <w:abstractNumId w:val="61"/>
  </w:num>
  <w:num w:numId="12">
    <w:abstractNumId w:val="32"/>
  </w:num>
  <w:num w:numId="13">
    <w:abstractNumId w:val="24"/>
  </w:num>
  <w:num w:numId="14">
    <w:abstractNumId w:val="49"/>
  </w:num>
  <w:num w:numId="15">
    <w:abstractNumId w:val="63"/>
  </w:num>
  <w:num w:numId="16">
    <w:abstractNumId w:val="10"/>
  </w:num>
  <w:num w:numId="17">
    <w:abstractNumId w:val="59"/>
  </w:num>
  <w:num w:numId="18">
    <w:abstractNumId w:val="5"/>
  </w:num>
  <w:num w:numId="19">
    <w:abstractNumId w:val="52"/>
  </w:num>
  <w:num w:numId="20">
    <w:abstractNumId w:val="37"/>
  </w:num>
  <w:num w:numId="21">
    <w:abstractNumId w:val="33"/>
  </w:num>
  <w:num w:numId="22">
    <w:abstractNumId w:val="46"/>
  </w:num>
  <w:num w:numId="23">
    <w:abstractNumId w:val="13"/>
  </w:num>
  <w:num w:numId="24">
    <w:abstractNumId w:val="21"/>
  </w:num>
  <w:num w:numId="25">
    <w:abstractNumId w:val="22"/>
  </w:num>
  <w:num w:numId="26">
    <w:abstractNumId w:val="40"/>
  </w:num>
  <w:num w:numId="27">
    <w:abstractNumId w:val="1"/>
  </w:num>
  <w:num w:numId="28">
    <w:abstractNumId w:val="39"/>
  </w:num>
  <w:num w:numId="29">
    <w:abstractNumId w:val="16"/>
  </w:num>
  <w:num w:numId="30">
    <w:abstractNumId w:val="17"/>
  </w:num>
  <w:num w:numId="31">
    <w:abstractNumId w:val="44"/>
  </w:num>
  <w:num w:numId="32">
    <w:abstractNumId w:val="6"/>
  </w:num>
  <w:num w:numId="33">
    <w:abstractNumId w:val="25"/>
  </w:num>
  <w:num w:numId="34">
    <w:abstractNumId w:val="23"/>
  </w:num>
  <w:num w:numId="35">
    <w:abstractNumId w:val="4"/>
  </w:num>
  <w:num w:numId="36">
    <w:abstractNumId w:val="14"/>
  </w:num>
  <w:num w:numId="37">
    <w:abstractNumId w:val="31"/>
  </w:num>
  <w:num w:numId="38">
    <w:abstractNumId w:val="0"/>
  </w:num>
  <w:num w:numId="39">
    <w:abstractNumId w:val="48"/>
  </w:num>
  <w:num w:numId="40">
    <w:abstractNumId w:val="2"/>
  </w:num>
  <w:num w:numId="41">
    <w:abstractNumId w:val="67"/>
  </w:num>
  <w:num w:numId="42">
    <w:abstractNumId w:val="9"/>
  </w:num>
  <w:num w:numId="43">
    <w:abstractNumId w:val="64"/>
  </w:num>
  <w:num w:numId="44">
    <w:abstractNumId w:val="56"/>
  </w:num>
  <w:num w:numId="45">
    <w:abstractNumId w:val="19"/>
  </w:num>
  <w:num w:numId="46">
    <w:abstractNumId w:val="74"/>
  </w:num>
  <w:num w:numId="47">
    <w:abstractNumId w:val="43"/>
  </w:num>
  <w:num w:numId="48">
    <w:abstractNumId w:val="65"/>
  </w:num>
  <w:num w:numId="49">
    <w:abstractNumId w:val="68"/>
  </w:num>
  <w:num w:numId="50">
    <w:abstractNumId w:val="75"/>
  </w:num>
  <w:num w:numId="51">
    <w:abstractNumId w:val="26"/>
  </w:num>
  <w:num w:numId="52">
    <w:abstractNumId w:val="18"/>
  </w:num>
  <w:num w:numId="53">
    <w:abstractNumId w:val="36"/>
  </w:num>
  <w:num w:numId="54">
    <w:abstractNumId w:val="58"/>
  </w:num>
  <w:num w:numId="55">
    <w:abstractNumId w:val="15"/>
  </w:num>
  <w:num w:numId="56">
    <w:abstractNumId w:val="57"/>
  </w:num>
  <w:num w:numId="57">
    <w:abstractNumId w:val="55"/>
  </w:num>
  <w:num w:numId="58">
    <w:abstractNumId w:val="35"/>
  </w:num>
  <w:num w:numId="59">
    <w:abstractNumId w:val="42"/>
  </w:num>
  <w:num w:numId="60">
    <w:abstractNumId w:val="7"/>
  </w:num>
  <w:num w:numId="61">
    <w:abstractNumId w:val="3"/>
  </w:num>
  <w:num w:numId="62">
    <w:abstractNumId w:val="47"/>
  </w:num>
  <w:num w:numId="63">
    <w:abstractNumId w:val="66"/>
  </w:num>
  <w:num w:numId="64">
    <w:abstractNumId w:val="28"/>
  </w:num>
  <w:num w:numId="65">
    <w:abstractNumId w:val="12"/>
  </w:num>
  <w:num w:numId="66">
    <w:abstractNumId w:val="34"/>
  </w:num>
  <w:num w:numId="67">
    <w:abstractNumId w:val="60"/>
  </w:num>
  <w:num w:numId="68">
    <w:abstractNumId w:val="29"/>
  </w:num>
  <w:num w:numId="69">
    <w:abstractNumId w:val="62"/>
  </w:num>
  <w:num w:numId="70">
    <w:abstractNumId w:val="27"/>
  </w:num>
  <w:num w:numId="71">
    <w:abstractNumId w:val="76"/>
  </w:num>
  <w:num w:numId="72">
    <w:abstractNumId w:val="54"/>
  </w:num>
  <w:num w:numId="73">
    <w:abstractNumId w:val="69"/>
  </w:num>
  <w:num w:numId="74">
    <w:abstractNumId w:val="8"/>
  </w:num>
  <w:num w:numId="75">
    <w:abstractNumId w:val="20"/>
  </w:num>
  <w:num w:numId="76">
    <w:abstractNumId w:val="30"/>
  </w:num>
  <w:num w:numId="77">
    <w:abstractNumId w:val="3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il Dundar">
    <w15:presenceInfo w15:providerId="AD" w15:userId="S::hdundar@worldbank.org::f531d251-e74f-4e25-94dd-161120a2bb48"/>
  </w15:person>
  <w15:person w15:author="Janet Omobolanle Adebo">
    <w15:presenceInfo w15:providerId="AD" w15:userId="S::jadebo@worldbank.org::a6c84d28-6cd5-46fb-a525-519937e26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099"/>
    <o:shapelayout v:ext="edit">
      <o:idmap v:ext="edit" data="2,3"/>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page" w:val="0,1,2,3,5,6,7,8,10,11"/>
    <w:docVar w:name="docversion" w:val="apr_4.0"/>
    <w:docVar w:name="lastsection" w:val="11"/>
    <w:docVar w:name="MPAFlag" w:val="N"/>
  </w:docVars>
  <w:rsids>
    <w:rsidRoot w:val="001E1BD2"/>
    <w:rsid w:val="00000839"/>
    <w:rsid w:val="00000903"/>
    <w:rsid w:val="00000D62"/>
    <w:rsid w:val="00001622"/>
    <w:rsid w:val="000017B3"/>
    <w:rsid w:val="00001A4D"/>
    <w:rsid w:val="000020F1"/>
    <w:rsid w:val="00002231"/>
    <w:rsid w:val="00002A89"/>
    <w:rsid w:val="00003526"/>
    <w:rsid w:val="000037F9"/>
    <w:rsid w:val="0000390A"/>
    <w:rsid w:val="0000394F"/>
    <w:rsid w:val="000041CE"/>
    <w:rsid w:val="00004489"/>
    <w:rsid w:val="0000462B"/>
    <w:rsid w:val="000052F1"/>
    <w:rsid w:val="00005A83"/>
    <w:rsid w:val="00005F5F"/>
    <w:rsid w:val="00006082"/>
    <w:rsid w:val="000060CB"/>
    <w:rsid w:val="0000681F"/>
    <w:rsid w:val="00006AFA"/>
    <w:rsid w:val="00006DDE"/>
    <w:rsid w:val="00007585"/>
    <w:rsid w:val="0000763B"/>
    <w:rsid w:val="000079E5"/>
    <w:rsid w:val="00010672"/>
    <w:rsid w:val="00010995"/>
    <w:rsid w:val="00010B1E"/>
    <w:rsid w:val="00010CC6"/>
    <w:rsid w:val="000123CF"/>
    <w:rsid w:val="00012577"/>
    <w:rsid w:val="000128C1"/>
    <w:rsid w:val="00012A04"/>
    <w:rsid w:val="00012CA3"/>
    <w:rsid w:val="00012CB0"/>
    <w:rsid w:val="00012D13"/>
    <w:rsid w:val="00013047"/>
    <w:rsid w:val="000131A2"/>
    <w:rsid w:val="00013281"/>
    <w:rsid w:val="00013597"/>
    <w:rsid w:val="0001362D"/>
    <w:rsid w:val="00013AD7"/>
    <w:rsid w:val="000147FF"/>
    <w:rsid w:val="00014B08"/>
    <w:rsid w:val="00014D5C"/>
    <w:rsid w:val="00015BAC"/>
    <w:rsid w:val="00015FF9"/>
    <w:rsid w:val="00016370"/>
    <w:rsid w:val="000163C6"/>
    <w:rsid w:val="0001661A"/>
    <w:rsid w:val="000172D1"/>
    <w:rsid w:val="000177FA"/>
    <w:rsid w:val="00017915"/>
    <w:rsid w:val="00017BE5"/>
    <w:rsid w:val="000202C2"/>
    <w:rsid w:val="0002035D"/>
    <w:rsid w:val="00020664"/>
    <w:rsid w:val="00020691"/>
    <w:rsid w:val="000207B4"/>
    <w:rsid w:val="00020A47"/>
    <w:rsid w:val="00020AF3"/>
    <w:rsid w:val="00020D6A"/>
    <w:rsid w:val="000212AC"/>
    <w:rsid w:val="000214CF"/>
    <w:rsid w:val="00021896"/>
    <w:rsid w:val="0002192E"/>
    <w:rsid w:val="00021B1B"/>
    <w:rsid w:val="00021B65"/>
    <w:rsid w:val="00021D0D"/>
    <w:rsid w:val="000226B6"/>
    <w:rsid w:val="0002299D"/>
    <w:rsid w:val="00022FE0"/>
    <w:rsid w:val="00023600"/>
    <w:rsid w:val="00023EF8"/>
    <w:rsid w:val="00024970"/>
    <w:rsid w:val="00024976"/>
    <w:rsid w:val="000249DF"/>
    <w:rsid w:val="00024DC6"/>
    <w:rsid w:val="00025C54"/>
    <w:rsid w:val="00026097"/>
    <w:rsid w:val="000261F1"/>
    <w:rsid w:val="00026F53"/>
    <w:rsid w:val="0002750C"/>
    <w:rsid w:val="0002760E"/>
    <w:rsid w:val="00027DBE"/>
    <w:rsid w:val="00030494"/>
    <w:rsid w:val="0003091D"/>
    <w:rsid w:val="00030989"/>
    <w:rsid w:val="00030AFA"/>
    <w:rsid w:val="00030D9B"/>
    <w:rsid w:val="000314E2"/>
    <w:rsid w:val="00031795"/>
    <w:rsid w:val="00031893"/>
    <w:rsid w:val="00031A87"/>
    <w:rsid w:val="000320FA"/>
    <w:rsid w:val="00032250"/>
    <w:rsid w:val="000323E4"/>
    <w:rsid w:val="00034596"/>
    <w:rsid w:val="00034833"/>
    <w:rsid w:val="00034837"/>
    <w:rsid w:val="00035094"/>
    <w:rsid w:val="000350B6"/>
    <w:rsid w:val="000358E0"/>
    <w:rsid w:val="00036008"/>
    <w:rsid w:val="000364E9"/>
    <w:rsid w:val="00036712"/>
    <w:rsid w:val="00037340"/>
    <w:rsid w:val="0003751D"/>
    <w:rsid w:val="0003783B"/>
    <w:rsid w:val="00037AC7"/>
    <w:rsid w:val="00040133"/>
    <w:rsid w:val="00040361"/>
    <w:rsid w:val="00040566"/>
    <w:rsid w:val="00040764"/>
    <w:rsid w:val="00040E6C"/>
    <w:rsid w:val="000415E8"/>
    <w:rsid w:val="00042025"/>
    <w:rsid w:val="00042848"/>
    <w:rsid w:val="00042AC6"/>
    <w:rsid w:val="00042ECC"/>
    <w:rsid w:val="00043000"/>
    <w:rsid w:val="00043034"/>
    <w:rsid w:val="0004328A"/>
    <w:rsid w:val="00043D71"/>
    <w:rsid w:val="00043FC1"/>
    <w:rsid w:val="000440C0"/>
    <w:rsid w:val="00044683"/>
    <w:rsid w:val="000449E7"/>
    <w:rsid w:val="00044C8C"/>
    <w:rsid w:val="00044D1C"/>
    <w:rsid w:val="0004517C"/>
    <w:rsid w:val="0004594D"/>
    <w:rsid w:val="00045C78"/>
    <w:rsid w:val="000469AA"/>
    <w:rsid w:val="00046C2D"/>
    <w:rsid w:val="00046FA5"/>
    <w:rsid w:val="000473BA"/>
    <w:rsid w:val="00047626"/>
    <w:rsid w:val="00047E6F"/>
    <w:rsid w:val="0005019F"/>
    <w:rsid w:val="00050BAE"/>
    <w:rsid w:val="0005114E"/>
    <w:rsid w:val="00051A60"/>
    <w:rsid w:val="00051C76"/>
    <w:rsid w:val="00051FBE"/>
    <w:rsid w:val="00052072"/>
    <w:rsid w:val="000520C3"/>
    <w:rsid w:val="000520DB"/>
    <w:rsid w:val="000521EF"/>
    <w:rsid w:val="0005262A"/>
    <w:rsid w:val="00052AC2"/>
    <w:rsid w:val="00053425"/>
    <w:rsid w:val="00053F5E"/>
    <w:rsid w:val="000540DF"/>
    <w:rsid w:val="000543CD"/>
    <w:rsid w:val="000545E0"/>
    <w:rsid w:val="000546A7"/>
    <w:rsid w:val="00055793"/>
    <w:rsid w:val="000560A6"/>
    <w:rsid w:val="000566DC"/>
    <w:rsid w:val="00056E62"/>
    <w:rsid w:val="00056E68"/>
    <w:rsid w:val="0005708E"/>
    <w:rsid w:val="00057258"/>
    <w:rsid w:val="00057901"/>
    <w:rsid w:val="00057AC7"/>
    <w:rsid w:val="00057CD8"/>
    <w:rsid w:val="000609A7"/>
    <w:rsid w:val="00060B6F"/>
    <w:rsid w:val="00060D05"/>
    <w:rsid w:val="00060D5E"/>
    <w:rsid w:val="000613CD"/>
    <w:rsid w:val="00061E99"/>
    <w:rsid w:val="00062130"/>
    <w:rsid w:val="0006299D"/>
    <w:rsid w:val="00062A8A"/>
    <w:rsid w:val="00062D1B"/>
    <w:rsid w:val="000634FB"/>
    <w:rsid w:val="00063F08"/>
    <w:rsid w:val="00064380"/>
    <w:rsid w:val="00064AB7"/>
    <w:rsid w:val="00064BFD"/>
    <w:rsid w:val="00064C8A"/>
    <w:rsid w:val="00065290"/>
    <w:rsid w:val="000654A1"/>
    <w:rsid w:val="000655D2"/>
    <w:rsid w:val="00065C30"/>
    <w:rsid w:val="000661AE"/>
    <w:rsid w:val="00066DBA"/>
    <w:rsid w:val="00067858"/>
    <w:rsid w:val="000678CD"/>
    <w:rsid w:val="000700F0"/>
    <w:rsid w:val="0007071B"/>
    <w:rsid w:val="00070969"/>
    <w:rsid w:val="00070D34"/>
    <w:rsid w:val="0007124C"/>
    <w:rsid w:val="00072436"/>
    <w:rsid w:val="000724CE"/>
    <w:rsid w:val="00072B0B"/>
    <w:rsid w:val="00073FAB"/>
    <w:rsid w:val="0007446F"/>
    <w:rsid w:val="0007497F"/>
    <w:rsid w:val="000749EA"/>
    <w:rsid w:val="00074E2A"/>
    <w:rsid w:val="00075E75"/>
    <w:rsid w:val="00075F2D"/>
    <w:rsid w:val="0007661A"/>
    <w:rsid w:val="00076BA8"/>
    <w:rsid w:val="00076E85"/>
    <w:rsid w:val="00077059"/>
    <w:rsid w:val="000771F0"/>
    <w:rsid w:val="000802F2"/>
    <w:rsid w:val="00080379"/>
    <w:rsid w:val="000803E4"/>
    <w:rsid w:val="000805D9"/>
    <w:rsid w:val="0008094E"/>
    <w:rsid w:val="00080F6A"/>
    <w:rsid w:val="00081312"/>
    <w:rsid w:val="00081325"/>
    <w:rsid w:val="000814A4"/>
    <w:rsid w:val="00082071"/>
    <w:rsid w:val="000820B3"/>
    <w:rsid w:val="0008213B"/>
    <w:rsid w:val="0008213D"/>
    <w:rsid w:val="0008276F"/>
    <w:rsid w:val="00082896"/>
    <w:rsid w:val="000829ED"/>
    <w:rsid w:val="000843DA"/>
    <w:rsid w:val="000847BD"/>
    <w:rsid w:val="00084F89"/>
    <w:rsid w:val="000854F2"/>
    <w:rsid w:val="00085734"/>
    <w:rsid w:val="00085C46"/>
    <w:rsid w:val="00085D06"/>
    <w:rsid w:val="000869C0"/>
    <w:rsid w:val="00086BC5"/>
    <w:rsid w:val="00086F21"/>
    <w:rsid w:val="000875BD"/>
    <w:rsid w:val="00087973"/>
    <w:rsid w:val="00090BC4"/>
    <w:rsid w:val="00090CE4"/>
    <w:rsid w:val="00091142"/>
    <w:rsid w:val="0009168D"/>
    <w:rsid w:val="00091CC7"/>
    <w:rsid w:val="00091CD5"/>
    <w:rsid w:val="00092070"/>
    <w:rsid w:val="000923B8"/>
    <w:rsid w:val="0009281B"/>
    <w:rsid w:val="00092A47"/>
    <w:rsid w:val="00092F38"/>
    <w:rsid w:val="000934F0"/>
    <w:rsid w:val="00093F23"/>
    <w:rsid w:val="00094138"/>
    <w:rsid w:val="0009452A"/>
    <w:rsid w:val="00094599"/>
    <w:rsid w:val="00094621"/>
    <w:rsid w:val="00094CE3"/>
    <w:rsid w:val="00094ECE"/>
    <w:rsid w:val="00095882"/>
    <w:rsid w:val="0009613D"/>
    <w:rsid w:val="00096A42"/>
    <w:rsid w:val="00096CCE"/>
    <w:rsid w:val="00096F61"/>
    <w:rsid w:val="000A01AD"/>
    <w:rsid w:val="000A01B8"/>
    <w:rsid w:val="000A0315"/>
    <w:rsid w:val="000A03C5"/>
    <w:rsid w:val="000A09E3"/>
    <w:rsid w:val="000A0A3F"/>
    <w:rsid w:val="000A0D5F"/>
    <w:rsid w:val="000A12E3"/>
    <w:rsid w:val="000A17CC"/>
    <w:rsid w:val="000A19D1"/>
    <w:rsid w:val="000A2662"/>
    <w:rsid w:val="000A274C"/>
    <w:rsid w:val="000A2E9C"/>
    <w:rsid w:val="000A3315"/>
    <w:rsid w:val="000A47BF"/>
    <w:rsid w:val="000A4BB5"/>
    <w:rsid w:val="000A4CD9"/>
    <w:rsid w:val="000A4D78"/>
    <w:rsid w:val="000A5971"/>
    <w:rsid w:val="000A5D7D"/>
    <w:rsid w:val="000A5DA3"/>
    <w:rsid w:val="000A5F85"/>
    <w:rsid w:val="000A5F8F"/>
    <w:rsid w:val="000A6DCD"/>
    <w:rsid w:val="000A71A8"/>
    <w:rsid w:val="000A7E8D"/>
    <w:rsid w:val="000B0A60"/>
    <w:rsid w:val="000B0DB0"/>
    <w:rsid w:val="000B107B"/>
    <w:rsid w:val="000B130F"/>
    <w:rsid w:val="000B234F"/>
    <w:rsid w:val="000B23A3"/>
    <w:rsid w:val="000B2690"/>
    <w:rsid w:val="000B27BB"/>
    <w:rsid w:val="000B2ED9"/>
    <w:rsid w:val="000B3366"/>
    <w:rsid w:val="000B3890"/>
    <w:rsid w:val="000B3BAB"/>
    <w:rsid w:val="000B41BC"/>
    <w:rsid w:val="000B4320"/>
    <w:rsid w:val="000B498D"/>
    <w:rsid w:val="000B5063"/>
    <w:rsid w:val="000B5077"/>
    <w:rsid w:val="000B53D2"/>
    <w:rsid w:val="000B5704"/>
    <w:rsid w:val="000B57C8"/>
    <w:rsid w:val="000B5E33"/>
    <w:rsid w:val="000B67F1"/>
    <w:rsid w:val="000B6802"/>
    <w:rsid w:val="000B7010"/>
    <w:rsid w:val="000B723F"/>
    <w:rsid w:val="000B75A4"/>
    <w:rsid w:val="000B766F"/>
    <w:rsid w:val="000C095C"/>
    <w:rsid w:val="000C0DCE"/>
    <w:rsid w:val="000C125B"/>
    <w:rsid w:val="000C12E3"/>
    <w:rsid w:val="000C1C02"/>
    <w:rsid w:val="000C2285"/>
    <w:rsid w:val="000C245A"/>
    <w:rsid w:val="000C2623"/>
    <w:rsid w:val="000C2737"/>
    <w:rsid w:val="000C28B6"/>
    <w:rsid w:val="000C3721"/>
    <w:rsid w:val="000C3959"/>
    <w:rsid w:val="000C4249"/>
    <w:rsid w:val="000C4313"/>
    <w:rsid w:val="000C46A6"/>
    <w:rsid w:val="000C475D"/>
    <w:rsid w:val="000C4966"/>
    <w:rsid w:val="000C4DA5"/>
    <w:rsid w:val="000C4E4D"/>
    <w:rsid w:val="000C51BD"/>
    <w:rsid w:val="000C5398"/>
    <w:rsid w:val="000C56B9"/>
    <w:rsid w:val="000C579E"/>
    <w:rsid w:val="000C5903"/>
    <w:rsid w:val="000C5A48"/>
    <w:rsid w:val="000C5BE6"/>
    <w:rsid w:val="000C5FC7"/>
    <w:rsid w:val="000C7419"/>
    <w:rsid w:val="000C783F"/>
    <w:rsid w:val="000C798D"/>
    <w:rsid w:val="000C7A80"/>
    <w:rsid w:val="000C7C3D"/>
    <w:rsid w:val="000D0188"/>
    <w:rsid w:val="000D1CAE"/>
    <w:rsid w:val="000D25AE"/>
    <w:rsid w:val="000D2743"/>
    <w:rsid w:val="000D35B0"/>
    <w:rsid w:val="000D3734"/>
    <w:rsid w:val="000D385F"/>
    <w:rsid w:val="000D3E1D"/>
    <w:rsid w:val="000D4398"/>
    <w:rsid w:val="000D473F"/>
    <w:rsid w:val="000D4B96"/>
    <w:rsid w:val="000D4DEF"/>
    <w:rsid w:val="000D4FEF"/>
    <w:rsid w:val="000D5EB2"/>
    <w:rsid w:val="000D68F4"/>
    <w:rsid w:val="000D6FB3"/>
    <w:rsid w:val="000D7175"/>
    <w:rsid w:val="000D718D"/>
    <w:rsid w:val="000D7746"/>
    <w:rsid w:val="000D7870"/>
    <w:rsid w:val="000D7C36"/>
    <w:rsid w:val="000D7F2E"/>
    <w:rsid w:val="000E0540"/>
    <w:rsid w:val="000E08DA"/>
    <w:rsid w:val="000E0BF7"/>
    <w:rsid w:val="000E0D68"/>
    <w:rsid w:val="000E16C4"/>
    <w:rsid w:val="000E1C51"/>
    <w:rsid w:val="000E22C4"/>
    <w:rsid w:val="000E2725"/>
    <w:rsid w:val="000E348A"/>
    <w:rsid w:val="000E40EB"/>
    <w:rsid w:val="000E49D5"/>
    <w:rsid w:val="000E4C23"/>
    <w:rsid w:val="000E4CEF"/>
    <w:rsid w:val="000E4EE5"/>
    <w:rsid w:val="000E4FED"/>
    <w:rsid w:val="000E5023"/>
    <w:rsid w:val="000E53FF"/>
    <w:rsid w:val="000E5632"/>
    <w:rsid w:val="000E5D01"/>
    <w:rsid w:val="000E5F73"/>
    <w:rsid w:val="000E6175"/>
    <w:rsid w:val="000E66B6"/>
    <w:rsid w:val="000E6B2C"/>
    <w:rsid w:val="000E6BC2"/>
    <w:rsid w:val="000E6C2B"/>
    <w:rsid w:val="000E6D2A"/>
    <w:rsid w:val="000E73E3"/>
    <w:rsid w:val="000E778D"/>
    <w:rsid w:val="000E7AF6"/>
    <w:rsid w:val="000E7F1C"/>
    <w:rsid w:val="000F015A"/>
    <w:rsid w:val="000F0218"/>
    <w:rsid w:val="000F0959"/>
    <w:rsid w:val="000F0DB9"/>
    <w:rsid w:val="000F1588"/>
    <w:rsid w:val="000F15D2"/>
    <w:rsid w:val="000F1C5B"/>
    <w:rsid w:val="000F2118"/>
    <w:rsid w:val="000F2451"/>
    <w:rsid w:val="000F27B2"/>
    <w:rsid w:val="000F2E1F"/>
    <w:rsid w:val="000F30EC"/>
    <w:rsid w:val="000F384B"/>
    <w:rsid w:val="000F40DB"/>
    <w:rsid w:val="000F4735"/>
    <w:rsid w:val="000F5423"/>
    <w:rsid w:val="000F56FD"/>
    <w:rsid w:val="000F5849"/>
    <w:rsid w:val="000F5857"/>
    <w:rsid w:val="000F5D53"/>
    <w:rsid w:val="000F680A"/>
    <w:rsid w:val="000F6D1A"/>
    <w:rsid w:val="000F6DC2"/>
    <w:rsid w:val="000F6E7D"/>
    <w:rsid w:val="000F7FBB"/>
    <w:rsid w:val="001006B6"/>
    <w:rsid w:val="00100759"/>
    <w:rsid w:val="00100ED4"/>
    <w:rsid w:val="00101C25"/>
    <w:rsid w:val="00101EAE"/>
    <w:rsid w:val="00102670"/>
    <w:rsid w:val="001026B2"/>
    <w:rsid w:val="00103358"/>
    <w:rsid w:val="0010420C"/>
    <w:rsid w:val="001050B5"/>
    <w:rsid w:val="00105315"/>
    <w:rsid w:val="001053F1"/>
    <w:rsid w:val="00105CB2"/>
    <w:rsid w:val="00105FBB"/>
    <w:rsid w:val="001062DF"/>
    <w:rsid w:val="00106D85"/>
    <w:rsid w:val="00106D97"/>
    <w:rsid w:val="00106EB7"/>
    <w:rsid w:val="00107654"/>
    <w:rsid w:val="001076E7"/>
    <w:rsid w:val="00107AF0"/>
    <w:rsid w:val="00110099"/>
    <w:rsid w:val="00110820"/>
    <w:rsid w:val="00110B16"/>
    <w:rsid w:val="00110BA4"/>
    <w:rsid w:val="00110F23"/>
    <w:rsid w:val="001114EA"/>
    <w:rsid w:val="001118F8"/>
    <w:rsid w:val="00111ACA"/>
    <w:rsid w:val="00111DB7"/>
    <w:rsid w:val="0011238E"/>
    <w:rsid w:val="00112BBE"/>
    <w:rsid w:val="00113474"/>
    <w:rsid w:val="001139BC"/>
    <w:rsid w:val="00113AE4"/>
    <w:rsid w:val="00113C61"/>
    <w:rsid w:val="00113CAE"/>
    <w:rsid w:val="00114884"/>
    <w:rsid w:val="00114C28"/>
    <w:rsid w:val="00114F8A"/>
    <w:rsid w:val="001151ED"/>
    <w:rsid w:val="00115400"/>
    <w:rsid w:val="00116423"/>
    <w:rsid w:val="0011752A"/>
    <w:rsid w:val="00117C08"/>
    <w:rsid w:val="00117EAF"/>
    <w:rsid w:val="00120222"/>
    <w:rsid w:val="001209CD"/>
    <w:rsid w:val="00120D1B"/>
    <w:rsid w:val="00121023"/>
    <w:rsid w:val="00121073"/>
    <w:rsid w:val="00121C7D"/>
    <w:rsid w:val="001226EB"/>
    <w:rsid w:val="001229EB"/>
    <w:rsid w:val="00122B0A"/>
    <w:rsid w:val="00122F3B"/>
    <w:rsid w:val="001240B2"/>
    <w:rsid w:val="001245DE"/>
    <w:rsid w:val="001247FD"/>
    <w:rsid w:val="001249E1"/>
    <w:rsid w:val="00124BB7"/>
    <w:rsid w:val="00124CC1"/>
    <w:rsid w:val="001252FA"/>
    <w:rsid w:val="001255EB"/>
    <w:rsid w:val="00126707"/>
    <w:rsid w:val="00126CD2"/>
    <w:rsid w:val="00126E87"/>
    <w:rsid w:val="0012747A"/>
    <w:rsid w:val="00127624"/>
    <w:rsid w:val="00127655"/>
    <w:rsid w:val="00127774"/>
    <w:rsid w:val="00127D1C"/>
    <w:rsid w:val="00127E39"/>
    <w:rsid w:val="00130367"/>
    <w:rsid w:val="00130840"/>
    <w:rsid w:val="0013090A"/>
    <w:rsid w:val="00131252"/>
    <w:rsid w:val="001319E5"/>
    <w:rsid w:val="00132585"/>
    <w:rsid w:val="001334DD"/>
    <w:rsid w:val="001336DB"/>
    <w:rsid w:val="0013373B"/>
    <w:rsid w:val="001337C4"/>
    <w:rsid w:val="00133887"/>
    <w:rsid w:val="001343CA"/>
    <w:rsid w:val="0013452B"/>
    <w:rsid w:val="00134D76"/>
    <w:rsid w:val="00135B8F"/>
    <w:rsid w:val="001368C5"/>
    <w:rsid w:val="00136D88"/>
    <w:rsid w:val="00137011"/>
    <w:rsid w:val="001372C7"/>
    <w:rsid w:val="00137522"/>
    <w:rsid w:val="00137A7E"/>
    <w:rsid w:val="00137B1C"/>
    <w:rsid w:val="00137E58"/>
    <w:rsid w:val="0014004B"/>
    <w:rsid w:val="001400F3"/>
    <w:rsid w:val="0014060C"/>
    <w:rsid w:val="00140975"/>
    <w:rsid w:val="00140F22"/>
    <w:rsid w:val="0014207C"/>
    <w:rsid w:val="0014219C"/>
    <w:rsid w:val="00142D5B"/>
    <w:rsid w:val="0014366D"/>
    <w:rsid w:val="001441C1"/>
    <w:rsid w:val="00145C4E"/>
    <w:rsid w:val="0014611F"/>
    <w:rsid w:val="0014612C"/>
    <w:rsid w:val="00146315"/>
    <w:rsid w:val="00146A0E"/>
    <w:rsid w:val="00146D6C"/>
    <w:rsid w:val="00146D91"/>
    <w:rsid w:val="00147001"/>
    <w:rsid w:val="001477AD"/>
    <w:rsid w:val="00147B05"/>
    <w:rsid w:val="00147D23"/>
    <w:rsid w:val="00150181"/>
    <w:rsid w:val="001503E9"/>
    <w:rsid w:val="00150725"/>
    <w:rsid w:val="00150A8C"/>
    <w:rsid w:val="00151409"/>
    <w:rsid w:val="001521C1"/>
    <w:rsid w:val="001528BF"/>
    <w:rsid w:val="00152A8E"/>
    <w:rsid w:val="00152CCB"/>
    <w:rsid w:val="001530BB"/>
    <w:rsid w:val="00153352"/>
    <w:rsid w:val="001533E5"/>
    <w:rsid w:val="001535DA"/>
    <w:rsid w:val="00153F00"/>
    <w:rsid w:val="00153F9C"/>
    <w:rsid w:val="00154186"/>
    <w:rsid w:val="00154B72"/>
    <w:rsid w:val="00154BBF"/>
    <w:rsid w:val="0015592A"/>
    <w:rsid w:val="00155CCD"/>
    <w:rsid w:val="00156026"/>
    <w:rsid w:val="001561C7"/>
    <w:rsid w:val="00156273"/>
    <w:rsid w:val="001564EA"/>
    <w:rsid w:val="00156BDC"/>
    <w:rsid w:val="00156FF4"/>
    <w:rsid w:val="00157840"/>
    <w:rsid w:val="001578C3"/>
    <w:rsid w:val="00160005"/>
    <w:rsid w:val="0016010C"/>
    <w:rsid w:val="00160252"/>
    <w:rsid w:val="00160905"/>
    <w:rsid w:val="00160BC0"/>
    <w:rsid w:val="00161154"/>
    <w:rsid w:val="0016266B"/>
    <w:rsid w:val="00162AA4"/>
    <w:rsid w:val="00162B48"/>
    <w:rsid w:val="00163489"/>
    <w:rsid w:val="001637D8"/>
    <w:rsid w:val="001639B1"/>
    <w:rsid w:val="00163ED9"/>
    <w:rsid w:val="0016488D"/>
    <w:rsid w:val="0016491F"/>
    <w:rsid w:val="00164BAF"/>
    <w:rsid w:val="001662FC"/>
    <w:rsid w:val="0016697F"/>
    <w:rsid w:val="00166BB7"/>
    <w:rsid w:val="001673D2"/>
    <w:rsid w:val="001674E4"/>
    <w:rsid w:val="00167A85"/>
    <w:rsid w:val="00167DD2"/>
    <w:rsid w:val="001704A9"/>
    <w:rsid w:val="001708C2"/>
    <w:rsid w:val="00170BDD"/>
    <w:rsid w:val="00171216"/>
    <w:rsid w:val="001713BC"/>
    <w:rsid w:val="0017185E"/>
    <w:rsid w:val="00171B4D"/>
    <w:rsid w:val="00171FEE"/>
    <w:rsid w:val="001724D3"/>
    <w:rsid w:val="001724F0"/>
    <w:rsid w:val="001729D9"/>
    <w:rsid w:val="00172D22"/>
    <w:rsid w:val="00172DA3"/>
    <w:rsid w:val="00172E06"/>
    <w:rsid w:val="00172F5D"/>
    <w:rsid w:val="00173678"/>
    <w:rsid w:val="00173769"/>
    <w:rsid w:val="0017495B"/>
    <w:rsid w:val="00175BFB"/>
    <w:rsid w:val="0017663E"/>
    <w:rsid w:val="001768AA"/>
    <w:rsid w:val="00177073"/>
    <w:rsid w:val="001770ED"/>
    <w:rsid w:val="0017762F"/>
    <w:rsid w:val="00177A07"/>
    <w:rsid w:val="00180849"/>
    <w:rsid w:val="00180BE0"/>
    <w:rsid w:val="00180EDD"/>
    <w:rsid w:val="001815CF"/>
    <w:rsid w:val="0018224C"/>
    <w:rsid w:val="00182611"/>
    <w:rsid w:val="00182699"/>
    <w:rsid w:val="00182771"/>
    <w:rsid w:val="001829FD"/>
    <w:rsid w:val="0018464A"/>
    <w:rsid w:val="001848F7"/>
    <w:rsid w:val="00184ECB"/>
    <w:rsid w:val="00184FA8"/>
    <w:rsid w:val="00185845"/>
    <w:rsid w:val="00186CE8"/>
    <w:rsid w:val="00186D9F"/>
    <w:rsid w:val="0018755B"/>
    <w:rsid w:val="00187D37"/>
    <w:rsid w:val="00190509"/>
    <w:rsid w:val="00190CB7"/>
    <w:rsid w:val="00191314"/>
    <w:rsid w:val="001913FA"/>
    <w:rsid w:val="001915D2"/>
    <w:rsid w:val="00191A05"/>
    <w:rsid w:val="00191A91"/>
    <w:rsid w:val="00191B44"/>
    <w:rsid w:val="00191C64"/>
    <w:rsid w:val="001923F8"/>
    <w:rsid w:val="001929D1"/>
    <w:rsid w:val="001932E7"/>
    <w:rsid w:val="00194B83"/>
    <w:rsid w:val="00194C66"/>
    <w:rsid w:val="00195603"/>
    <w:rsid w:val="00195D6D"/>
    <w:rsid w:val="00196093"/>
    <w:rsid w:val="00197DBF"/>
    <w:rsid w:val="00197EDE"/>
    <w:rsid w:val="00197EF8"/>
    <w:rsid w:val="00197EF9"/>
    <w:rsid w:val="00197FB8"/>
    <w:rsid w:val="001A01BE"/>
    <w:rsid w:val="001A044B"/>
    <w:rsid w:val="001A0547"/>
    <w:rsid w:val="001A10E7"/>
    <w:rsid w:val="001A124C"/>
    <w:rsid w:val="001A1853"/>
    <w:rsid w:val="001A1D2D"/>
    <w:rsid w:val="001A1E1B"/>
    <w:rsid w:val="001A24AF"/>
    <w:rsid w:val="001A2BE0"/>
    <w:rsid w:val="001A2DE3"/>
    <w:rsid w:val="001A31D8"/>
    <w:rsid w:val="001A321D"/>
    <w:rsid w:val="001A3435"/>
    <w:rsid w:val="001A35E5"/>
    <w:rsid w:val="001A3614"/>
    <w:rsid w:val="001A38C7"/>
    <w:rsid w:val="001A43E0"/>
    <w:rsid w:val="001A44B4"/>
    <w:rsid w:val="001A4760"/>
    <w:rsid w:val="001A49C6"/>
    <w:rsid w:val="001A4DC4"/>
    <w:rsid w:val="001A4E28"/>
    <w:rsid w:val="001A52A4"/>
    <w:rsid w:val="001A5648"/>
    <w:rsid w:val="001A5C94"/>
    <w:rsid w:val="001A5FE7"/>
    <w:rsid w:val="001A6568"/>
    <w:rsid w:val="001A6805"/>
    <w:rsid w:val="001A7107"/>
    <w:rsid w:val="001A7FEC"/>
    <w:rsid w:val="001B0585"/>
    <w:rsid w:val="001B0775"/>
    <w:rsid w:val="001B0FEF"/>
    <w:rsid w:val="001B10CB"/>
    <w:rsid w:val="001B14D7"/>
    <w:rsid w:val="001B177D"/>
    <w:rsid w:val="001B17EA"/>
    <w:rsid w:val="001B1802"/>
    <w:rsid w:val="001B1FFD"/>
    <w:rsid w:val="001B201A"/>
    <w:rsid w:val="001B299C"/>
    <w:rsid w:val="001B304A"/>
    <w:rsid w:val="001B3BF1"/>
    <w:rsid w:val="001B3D1C"/>
    <w:rsid w:val="001B4397"/>
    <w:rsid w:val="001B43FC"/>
    <w:rsid w:val="001B467E"/>
    <w:rsid w:val="001B4693"/>
    <w:rsid w:val="001B4737"/>
    <w:rsid w:val="001B4762"/>
    <w:rsid w:val="001B4C51"/>
    <w:rsid w:val="001B4C5C"/>
    <w:rsid w:val="001B4FDC"/>
    <w:rsid w:val="001B51D0"/>
    <w:rsid w:val="001B5209"/>
    <w:rsid w:val="001B5A26"/>
    <w:rsid w:val="001B5B4D"/>
    <w:rsid w:val="001B63FB"/>
    <w:rsid w:val="001B6537"/>
    <w:rsid w:val="001B66B5"/>
    <w:rsid w:val="001B6A86"/>
    <w:rsid w:val="001B6B4B"/>
    <w:rsid w:val="001B734A"/>
    <w:rsid w:val="001B7462"/>
    <w:rsid w:val="001B7565"/>
    <w:rsid w:val="001B7A2A"/>
    <w:rsid w:val="001B7D2E"/>
    <w:rsid w:val="001B7D5F"/>
    <w:rsid w:val="001B7FAA"/>
    <w:rsid w:val="001C0173"/>
    <w:rsid w:val="001C058F"/>
    <w:rsid w:val="001C100B"/>
    <w:rsid w:val="001C13F9"/>
    <w:rsid w:val="001C169F"/>
    <w:rsid w:val="001C1DA9"/>
    <w:rsid w:val="001C1F36"/>
    <w:rsid w:val="001C22B5"/>
    <w:rsid w:val="001C2391"/>
    <w:rsid w:val="001C2764"/>
    <w:rsid w:val="001C28C8"/>
    <w:rsid w:val="001C31D5"/>
    <w:rsid w:val="001C3250"/>
    <w:rsid w:val="001C331C"/>
    <w:rsid w:val="001C33E7"/>
    <w:rsid w:val="001C3A9D"/>
    <w:rsid w:val="001C3D35"/>
    <w:rsid w:val="001C4129"/>
    <w:rsid w:val="001C4803"/>
    <w:rsid w:val="001C4E5D"/>
    <w:rsid w:val="001C5F3E"/>
    <w:rsid w:val="001C60B8"/>
    <w:rsid w:val="001C6889"/>
    <w:rsid w:val="001C7CA6"/>
    <w:rsid w:val="001C7D46"/>
    <w:rsid w:val="001D094F"/>
    <w:rsid w:val="001D0AFF"/>
    <w:rsid w:val="001D0FBD"/>
    <w:rsid w:val="001D1044"/>
    <w:rsid w:val="001D12D7"/>
    <w:rsid w:val="001D267F"/>
    <w:rsid w:val="001D36F0"/>
    <w:rsid w:val="001D39A3"/>
    <w:rsid w:val="001D3C9D"/>
    <w:rsid w:val="001D41DE"/>
    <w:rsid w:val="001D4261"/>
    <w:rsid w:val="001D4790"/>
    <w:rsid w:val="001D5117"/>
    <w:rsid w:val="001D53AE"/>
    <w:rsid w:val="001D606B"/>
    <w:rsid w:val="001D60CF"/>
    <w:rsid w:val="001D6F13"/>
    <w:rsid w:val="001D73BB"/>
    <w:rsid w:val="001D74FD"/>
    <w:rsid w:val="001D7696"/>
    <w:rsid w:val="001D77C4"/>
    <w:rsid w:val="001E006D"/>
    <w:rsid w:val="001E0198"/>
    <w:rsid w:val="001E1BD2"/>
    <w:rsid w:val="001E206D"/>
    <w:rsid w:val="001E276D"/>
    <w:rsid w:val="001E3155"/>
    <w:rsid w:val="001E3F98"/>
    <w:rsid w:val="001E43BA"/>
    <w:rsid w:val="001E5083"/>
    <w:rsid w:val="001E574D"/>
    <w:rsid w:val="001E58DF"/>
    <w:rsid w:val="001E58FE"/>
    <w:rsid w:val="001E5C34"/>
    <w:rsid w:val="001E6659"/>
    <w:rsid w:val="001E68FF"/>
    <w:rsid w:val="001E6EDD"/>
    <w:rsid w:val="001E7261"/>
    <w:rsid w:val="001E73D8"/>
    <w:rsid w:val="001E7498"/>
    <w:rsid w:val="001E7BAB"/>
    <w:rsid w:val="001F0765"/>
    <w:rsid w:val="001F0E76"/>
    <w:rsid w:val="001F0F94"/>
    <w:rsid w:val="001F192A"/>
    <w:rsid w:val="001F232E"/>
    <w:rsid w:val="001F2F10"/>
    <w:rsid w:val="001F2F7F"/>
    <w:rsid w:val="001F2F8E"/>
    <w:rsid w:val="001F485C"/>
    <w:rsid w:val="001F4AEF"/>
    <w:rsid w:val="001F4C8D"/>
    <w:rsid w:val="001F598D"/>
    <w:rsid w:val="001F5BFC"/>
    <w:rsid w:val="001F5FC5"/>
    <w:rsid w:val="001F6006"/>
    <w:rsid w:val="001F600B"/>
    <w:rsid w:val="001F6487"/>
    <w:rsid w:val="001F65BE"/>
    <w:rsid w:val="001F6AD3"/>
    <w:rsid w:val="001F70B8"/>
    <w:rsid w:val="001F71FC"/>
    <w:rsid w:val="001F7FA3"/>
    <w:rsid w:val="0020058E"/>
    <w:rsid w:val="00200BBB"/>
    <w:rsid w:val="0020123D"/>
    <w:rsid w:val="00201566"/>
    <w:rsid w:val="002016EA"/>
    <w:rsid w:val="002016EE"/>
    <w:rsid w:val="002019D4"/>
    <w:rsid w:val="002028CE"/>
    <w:rsid w:val="00202F0B"/>
    <w:rsid w:val="002030BD"/>
    <w:rsid w:val="00203271"/>
    <w:rsid w:val="0020349F"/>
    <w:rsid w:val="00203922"/>
    <w:rsid w:val="00203BB4"/>
    <w:rsid w:val="00203C6E"/>
    <w:rsid w:val="00203D91"/>
    <w:rsid w:val="0020441A"/>
    <w:rsid w:val="002047B9"/>
    <w:rsid w:val="00205431"/>
    <w:rsid w:val="002054F4"/>
    <w:rsid w:val="0020572E"/>
    <w:rsid w:val="00205A58"/>
    <w:rsid w:val="00205DDB"/>
    <w:rsid w:val="002062E7"/>
    <w:rsid w:val="002064A1"/>
    <w:rsid w:val="0020672B"/>
    <w:rsid w:val="0020675A"/>
    <w:rsid w:val="00206B3E"/>
    <w:rsid w:val="00207258"/>
    <w:rsid w:val="00210126"/>
    <w:rsid w:val="00210912"/>
    <w:rsid w:val="0021096D"/>
    <w:rsid w:val="00210AFB"/>
    <w:rsid w:val="00210D79"/>
    <w:rsid w:val="00211221"/>
    <w:rsid w:val="00211227"/>
    <w:rsid w:val="002117D1"/>
    <w:rsid w:val="002117EB"/>
    <w:rsid w:val="00211B67"/>
    <w:rsid w:val="00212222"/>
    <w:rsid w:val="002123A1"/>
    <w:rsid w:val="002134F1"/>
    <w:rsid w:val="00213A7A"/>
    <w:rsid w:val="00213DEE"/>
    <w:rsid w:val="00213FB7"/>
    <w:rsid w:val="00214251"/>
    <w:rsid w:val="0021478A"/>
    <w:rsid w:val="00214884"/>
    <w:rsid w:val="00215075"/>
    <w:rsid w:val="002150B1"/>
    <w:rsid w:val="0021513E"/>
    <w:rsid w:val="0021520E"/>
    <w:rsid w:val="00215489"/>
    <w:rsid w:val="00215AD7"/>
    <w:rsid w:val="00215D2A"/>
    <w:rsid w:val="00216E64"/>
    <w:rsid w:val="00216FB3"/>
    <w:rsid w:val="00217034"/>
    <w:rsid w:val="002171FC"/>
    <w:rsid w:val="0021722A"/>
    <w:rsid w:val="00217B6C"/>
    <w:rsid w:val="0022092E"/>
    <w:rsid w:val="002215F2"/>
    <w:rsid w:val="0022168F"/>
    <w:rsid w:val="00221D00"/>
    <w:rsid w:val="002222AE"/>
    <w:rsid w:val="00222957"/>
    <w:rsid w:val="00222B3C"/>
    <w:rsid w:val="00222BD4"/>
    <w:rsid w:val="00223553"/>
    <w:rsid w:val="0022359E"/>
    <w:rsid w:val="002236B1"/>
    <w:rsid w:val="00223AC9"/>
    <w:rsid w:val="00223C6F"/>
    <w:rsid w:val="0022452A"/>
    <w:rsid w:val="002249DD"/>
    <w:rsid w:val="00224CCC"/>
    <w:rsid w:val="00224F4C"/>
    <w:rsid w:val="0022552B"/>
    <w:rsid w:val="00225692"/>
    <w:rsid w:val="00225695"/>
    <w:rsid w:val="0022603A"/>
    <w:rsid w:val="002267E8"/>
    <w:rsid w:val="00227B5F"/>
    <w:rsid w:val="00227DFB"/>
    <w:rsid w:val="00230580"/>
    <w:rsid w:val="00230A69"/>
    <w:rsid w:val="002311A2"/>
    <w:rsid w:val="002311F3"/>
    <w:rsid w:val="002313C2"/>
    <w:rsid w:val="002313F7"/>
    <w:rsid w:val="00231B85"/>
    <w:rsid w:val="00231BB1"/>
    <w:rsid w:val="00231F11"/>
    <w:rsid w:val="00232449"/>
    <w:rsid w:val="002329A5"/>
    <w:rsid w:val="00232AB4"/>
    <w:rsid w:val="00232CA7"/>
    <w:rsid w:val="00232CB0"/>
    <w:rsid w:val="00234253"/>
    <w:rsid w:val="00234CB0"/>
    <w:rsid w:val="00235063"/>
    <w:rsid w:val="00235364"/>
    <w:rsid w:val="00235729"/>
    <w:rsid w:val="002360E4"/>
    <w:rsid w:val="002362C2"/>
    <w:rsid w:val="00236624"/>
    <w:rsid w:val="00236765"/>
    <w:rsid w:val="0023696D"/>
    <w:rsid w:val="00236DAE"/>
    <w:rsid w:val="002370B3"/>
    <w:rsid w:val="00237457"/>
    <w:rsid w:val="002376AE"/>
    <w:rsid w:val="00237D3D"/>
    <w:rsid w:val="00240171"/>
    <w:rsid w:val="002408DB"/>
    <w:rsid w:val="00240A75"/>
    <w:rsid w:val="00240AE9"/>
    <w:rsid w:val="00240D7B"/>
    <w:rsid w:val="00241CBE"/>
    <w:rsid w:val="002420F1"/>
    <w:rsid w:val="002426C9"/>
    <w:rsid w:val="002428BD"/>
    <w:rsid w:val="00242971"/>
    <w:rsid w:val="00242E75"/>
    <w:rsid w:val="002432DC"/>
    <w:rsid w:val="00243593"/>
    <w:rsid w:val="0024396C"/>
    <w:rsid w:val="00243CE9"/>
    <w:rsid w:val="00243FC8"/>
    <w:rsid w:val="00244523"/>
    <w:rsid w:val="00244AEF"/>
    <w:rsid w:val="00244BC7"/>
    <w:rsid w:val="00245710"/>
    <w:rsid w:val="00245C5C"/>
    <w:rsid w:val="00245DD1"/>
    <w:rsid w:val="0024653B"/>
    <w:rsid w:val="002466AF"/>
    <w:rsid w:val="00246AFB"/>
    <w:rsid w:val="002478FB"/>
    <w:rsid w:val="002479B2"/>
    <w:rsid w:val="0025003F"/>
    <w:rsid w:val="00250A13"/>
    <w:rsid w:val="00250D6A"/>
    <w:rsid w:val="00251565"/>
    <w:rsid w:val="002515A3"/>
    <w:rsid w:val="00251A03"/>
    <w:rsid w:val="00251A22"/>
    <w:rsid w:val="0025237D"/>
    <w:rsid w:val="002523BC"/>
    <w:rsid w:val="00252501"/>
    <w:rsid w:val="002528BE"/>
    <w:rsid w:val="00252C83"/>
    <w:rsid w:val="00253068"/>
    <w:rsid w:val="002532E7"/>
    <w:rsid w:val="00253728"/>
    <w:rsid w:val="002537E2"/>
    <w:rsid w:val="00253E04"/>
    <w:rsid w:val="00254409"/>
    <w:rsid w:val="00254906"/>
    <w:rsid w:val="00254FD1"/>
    <w:rsid w:val="002555F8"/>
    <w:rsid w:val="00255B14"/>
    <w:rsid w:val="00255DB5"/>
    <w:rsid w:val="00255F37"/>
    <w:rsid w:val="0025621B"/>
    <w:rsid w:val="0025644C"/>
    <w:rsid w:val="00256EEA"/>
    <w:rsid w:val="00257580"/>
    <w:rsid w:val="00257AB0"/>
    <w:rsid w:val="00257EEC"/>
    <w:rsid w:val="0026070F"/>
    <w:rsid w:val="00260B25"/>
    <w:rsid w:val="00260CF2"/>
    <w:rsid w:val="002613C6"/>
    <w:rsid w:val="00261504"/>
    <w:rsid w:val="00261DF3"/>
    <w:rsid w:val="00262EAA"/>
    <w:rsid w:val="00263960"/>
    <w:rsid w:val="00263A6C"/>
    <w:rsid w:val="00263D9A"/>
    <w:rsid w:val="002642A7"/>
    <w:rsid w:val="00264C37"/>
    <w:rsid w:val="00264DBD"/>
    <w:rsid w:val="00264EC8"/>
    <w:rsid w:val="00265414"/>
    <w:rsid w:val="0026582C"/>
    <w:rsid w:val="00265D0D"/>
    <w:rsid w:val="00265D80"/>
    <w:rsid w:val="00265DF7"/>
    <w:rsid w:val="002661C0"/>
    <w:rsid w:val="00266614"/>
    <w:rsid w:val="00267C38"/>
    <w:rsid w:val="00267CB4"/>
    <w:rsid w:val="00267ECF"/>
    <w:rsid w:val="002701B3"/>
    <w:rsid w:val="002702D0"/>
    <w:rsid w:val="0027055B"/>
    <w:rsid w:val="002705F5"/>
    <w:rsid w:val="00271904"/>
    <w:rsid w:val="00271A89"/>
    <w:rsid w:val="00271BAA"/>
    <w:rsid w:val="002726C6"/>
    <w:rsid w:val="002727CA"/>
    <w:rsid w:val="00272A9B"/>
    <w:rsid w:val="00272DC8"/>
    <w:rsid w:val="00272EFE"/>
    <w:rsid w:val="002730A1"/>
    <w:rsid w:val="00273255"/>
    <w:rsid w:val="002733F8"/>
    <w:rsid w:val="0027376A"/>
    <w:rsid w:val="002737B3"/>
    <w:rsid w:val="00273887"/>
    <w:rsid w:val="002746CC"/>
    <w:rsid w:val="00274BEF"/>
    <w:rsid w:val="00274C12"/>
    <w:rsid w:val="00274D4F"/>
    <w:rsid w:val="00274F23"/>
    <w:rsid w:val="00275933"/>
    <w:rsid w:val="00275FC7"/>
    <w:rsid w:val="00276068"/>
    <w:rsid w:val="00276E8D"/>
    <w:rsid w:val="002776FF"/>
    <w:rsid w:val="0028033B"/>
    <w:rsid w:val="002807D7"/>
    <w:rsid w:val="002816DE"/>
    <w:rsid w:val="00282A4B"/>
    <w:rsid w:val="00282AE7"/>
    <w:rsid w:val="002838B7"/>
    <w:rsid w:val="00284796"/>
    <w:rsid w:val="00284A2C"/>
    <w:rsid w:val="0028528B"/>
    <w:rsid w:val="00285FAA"/>
    <w:rsid w:val="00285FFB"/>
    <w:rsid w:val="002862BD"/>
    <w:rsid w:val="00286E18"/>
    <w:rsid w:val="00286F90"/>
    <w:rsid w:val="00287459"/>
    <w:rsid w:val="00287514"/>
    <w:rsid w:val="00287791"/>
    <w:rsid w:val="00287A7E"/>
    <w:rsid w:val="00287CD0"/>
    <w:rsid w:val="00290A56"/>
    <w:rsid w:val="00290E36"/>
    <w:rsid w:val="00291552"/>
    <w:rsid w:val="002935B3"/>
    <w:rsid w:val="00293631"/>
    <w:rsid w:val="002937CD"/>
    <w:rsid w:val="00293C6A"/>
    <w:rsid w:val="00294377"/>
    <w:rsid w:val="00294A72"/>
    <w:rsid w:val="00294CE8"/>
    <w:rsid w:val="002950EE"/>
    <w:rsid w:val="00295286"/>
    <w:rsid w:val="0029584C"/>
    <w:rsid w:val="0029593C"/>
    <w:rsid w:val="00295ED2"/>
    <w:rsid w:val="002963AF"/>
    <w:rsid w:val="00297036"/>
    <w:rsid w:val="0029778B"/>
    <w:rsid w:val="0029779A"/>
    <w:rsid w:val="002979B5"/>
    <w:rsid w:val="002A0396"/>
    <w:rsid w:val="002A081F"/>
    <w:rsid w:val="002A099B"/>
    <w:rsid w:val="002A12B6"/>
    <w:rsid w:val="002A16A4"/>
    <w:rsid w:val="002A1DBD"/>
    <w:rsid w:val="002A20A9"/>
    <w:rsid w:val="002A239C"/>
    <w:rsid w:val="002A3993"/>
    <w:rsid w:val="002A3F30"/>
    <w:rsid w:val="002A4606"/>
    <w:rsid w:val="002A484A"/>
    <w:rsid w:val="002A510F"/>
    <w:rsid w:val="002A5977"/>
    <w:rsid w:val="002A767E"/>
    <w:rsid w:val="002A7967"/>
    <w:rsid w:val="002A7C00"/>
    <w:rsid w:val="002B083D"/>
    <w:rsid w:val="002B0E58"/>
    <w:rsid w:val="002B1203"/>
    <w:rsid w:val="002B12FC"/>
    <w:rsid w:val="002B1D00"/>
    <w:rsid w:val="002B2103"/>
    <w:rsid w:val="002B233F"/>
    <w:rsid w:val="002B258A"/>
    <w:rsid w:val="002B29DF"/>
    <w:rsid w:val="002B29FE"/>
    <w:rsid w:val="002B2EE0"/>
    <w:rsid w:val="002B2FD9"/>
    <w:rsid w:val="002B3145"/>
    <w:rsid w:val="002B33F7"/>
    <w:rsid w:val="002B45D3"/>
    <w:rsid w:val="002B4B76"/>
    <w:rsid w:val="002B51CE"/>
    <w:rsid w:val="002B55BC"/>
    <w:rsid w:val="002B5601"/>
    <w:rsid w:val="002B5D49"/>
    <w:rsid w:val="002B60A4"/>
    <w:rsid w:val="002B6464"/>
    <w:rsid w:val="002B6E99"/>
    <w:rsid w:val="002B6EFA"/>
    <w:rsid w:val="002B7045"/>
    <w:rsid w:val="002B74FD"/>
    <w:rsid w:val="002B756E"/>
    <w:rsid w:val="002B7A90"/>
    <w:rsid w:val="002B7B78"/>
    <w:rsid w:val="002B7DFD"/>
    <w:rsid w:val="002C02CE"/>
    <w:rsid w:val="002C03F8"/>
    <w:rsid w:val="002C04CA"/>
    <w:rsid w:val="002C0B2A"/>
    <w:rsid w:val="002C0FCA"/>
    <w:rsid w:val="002C103A"/>
    <w:rsid w:val="002C13EF"/>
    <w:rsid w:val="002C14E7"/>
    <w:rsid w:val="002C1810"/>
    <w:rsid w:val="002C1CBD"/>
    <w:rsid w:val="002C1D26"/>
    <w:rsid w:val="002C23B2"/>
    <w:rsid w:val="002C3210"/>
    <w:rsid w:val="002C321F"/>
    <w:rsid w:val="002C3275"/>
    <w:rsid w:val="002C3B51"/>
    <w:rsid w:val="002C3C44"/>
    <w:rsid w:val="002C3C67"/>
    <w:rsid w:val="002C3D86"/>
    <w:rsid w:val="002C3D9A"/>
    <w:rsid w:val="002C41DC"/>
    <w:rsid w:val="002C43C6"/>
    <w:rsid w:val="002C4709"/>
    <w:rsid w:val="002C4E93"/>
    <w:rsid w:val="002C4EC7"/>
    <w:rsid w:val="002C4F8B"/>
    <w:rsid w:val="002C54FB"/>
    <w:rsid w:val="002C5577"/>
    <w:rsid w:val="002C5AC2"/>
    <w:rsid w:val="002C5B98"/>
    <w:rsid w:val="002C5DD1"/>
    <w:rsid w:val="002C6736"/>
    <w:rsid w:val="002C6A8A"/>
    <w:rsid w:val="002C71D3"/>
    <w:rsid w:val="002C7210"/>
    <w:rsid w:val="002C7703"/>
    <w:rsid w:val="002C7BC2"/>
    <w:rsid w:val="002C7E6D"/>
    <w:rsid w:val="002D0088"/>
    <w:rsid w:val="002D0091"/>
    <w:rsid w:val="002D04FE"/>
    <w:rsid w:val="002D09C0"/>
    <w:rsid w:val="002D0EE9"/>
    <w:rsid w:val="002D16B3"/>
    <w:rsid w:val="002D18F7"/>
    <w:rsid w:val="002D1EB3"/>
    <w:rsid w:val="002D1F95"/>
    <w:rsid w:val="002D2A76"/>
    <w:rsid w:val="002D30B2"/>
    <w:rsid w:val="002D30FB"/>
    <w:rsid w:val="002D3386"/>
    <w:rsid w:val="002D38CA"/>
    <w:rsid w:val="002D4430"/>
    <w:rsid w:val="002D5EDB"/>
    <w:rsid w:val="002D5F19"/>
    <w:rsid w:val="002D64F1"/>
    <w:rsid w:val="002D6AD3"/>
    <w:rsid w:val="002D6CEE"/>
    <w:rsid w:val="002D6F52"/>
    <w:rsid w:val="002D753C"/>
    <w:rsid w:val="002D7967"/>
    <w:rsid w:val="002D7FE4"/>
    <w:rsid w:val="002E0382"/>
    <w:rsid w:val="002E12BE"/>
    <w:rsid w:val="002E1557"/>
    <w:rsid w:val="002E19D0"/>
    <w:rsid w:val="002E1A3F"/>
    <w:rsid w:val="002E1BE6"/>
    <w:rsid w:val="002E1E15"/>
    <w:rsid w:val="002E2240"/>
    <w:rsid w:val="002E2EBE"/>
    <w:rsid w:val="002E2EF0"/>
    <w:rsid w:val="002E3130"/>
    <w:rsid w:val="002E319D"/>
    <w:rsid w:val="002E3432"/>
    <w:rsid w:val="002E4705"/>
    <w:rsid w:val="002E4DC6"/>
    <w:rsid w:val="002E530E"/>
    <w:rsid w:val="002E578B"/>
    <w:rsid w:val="002E5EBC"/>
    <w:rsid w:val="002E6167"/>
    <w:rsid w:val="002E616F"/>
    <w:rsid w:val="002E633C"/>
    <w:rsid w:val="002E677F"/>
    <w:rsid w:val="002E6E84"/>
    <w:rsid w:val="002E7146"/>
    <w:rsid w:val="002E7266"/>
    <w:rsid w:val="002E7F4C"/>
    <w:rsid w:val="002E7FCD"/>
    <w:rsid w:val="002F0359"/>
    <w:rsid w:val="002F0371"/>
    <w:rsid w:val="002F0551"/>
    <w:rsid w:val="002F07B0"/>
    <w:rsid w:val="002F0A36"/>
    <w:rsid w:val="002F0CBB"/>
    <w:rsid w:val="002F1758"/>
    <w:rsid w:val="002F18BC"/>
    <w:rsid w:val="002F18C9"/>
    <w:rsid w:val="002F20DE"/>
    <w:rsid w:val="002F2651"/>
    <w:rsid w:val="002F2B57"/>
    <w:rsid w:val="002F3262"/>
    <w:rsid w:val="002F4CB0"/>
    <w:rsid w:val="002F50D7"/>
    <w:rsid w:val="002F524B"/>
    <w:rsid w:val="002F5840"/>
    <w:rsid w:val="002F609A"/>
    <w:rsid w:val="002F626E"/>
    <w:rsid w:val="002F64E8"/>
    <w:rsid w:val="002F66CF"/>
    <w:rsid w:val="002F720A"/>
    <w:rsid w:val="002F79C7"/>
    <w:rsid w:val="002F7BAF"/>
    <w:rsid w:val="00300123"/>
    <w:rsid w:val="00301065"/>
    <w:rsid w:val="00301CA4"/>
    <w:rsid w:val="00302F18"/>
    <w:rsid w:val="00303D93"/>
    <w:rsid w:val="00304089"/>
    <w:rsid w:val="003053A6"/>
    <w:rsid w:val="00306199"/>
    <w:rsid w:val="00306226"/>
    <w:rsid w:val="003065AE"/>
    <w:rsid w:val="003068FC"/>
    <w:rsid w:val="003070C0"/>
    <w:rsid w:val="003078BC"/>
    <w:rsid w:val="00307A21"/>
    <w:rsid w:val="00307B9B"/>
    <w:rsid w:val="00307EF8"/>
    <w:rsid w:val="00307F1B"/>
    <w:rsid w:val="00310B2E"/>
    <w:rsid w:val="00311379"/>
    <w:rsid w:val="00311C91"/>
    <w:rsid w:val="00312126"/>
    <w:rsid w:val="0031221E"/>
    <w:rsid w:val="003123EA"/>
    <w:rsid w:val="003128D6"/>
    <w:rsid w:val="003129EA"/>
    <w:rsid w:val="00312C2A"/>
    <w:rsid w:val="00312DB1"/>
    <w:rsid w:val="0031321F"/>
    <w:rsid w:val="003134FB"/>
    <w:rsid w:val="00313754"/>
    <w:rsid w:val="00313A03"/>
    <w:rsid w:val="00313E21"/>
    <w:rsid w:val="00313EC0"/>
    <w:rsid w:val="0031417F"/>
    <w:rsid w:val="0031478A"/>
    <w:rsid w:val="00314897"/>
    <w:rsid w:val="00314DD2"/>
    <w:rsid w:val="0031506D"/>
    <w:rsid w:val="0031563D"/>
    <w:rsid w:val="00315A1C"/>
    <w:rsid w:val="00315E87"/>
    <w:rsid w:val="00316577"/>
    <w:rsid w:val="003169E7"/>
    <w:rsid w:val="00316DFD"/>
    <w:rsid w:val="00316E76"/>
    <w:rsid w:val="00317630"/>
    <w:rsid w:val="00317B77"/>
    <w:rsid w:val="00317BE3"/>
    <w:rsid w:val="0032111C"/>
    <w:rsid w:val="00321133"/>
    <w:rsid w:val="00321261"/>
    <w:rsid w:val="00321526"/>
    <w:rsid w:val="00321D3F"/>
    <w:rsid w:val="0032230B"/>
    <w:rsid w:val="00322418"/>
    <w:rsid w:val="003227C6"/>
    <w:rsid w:val="00322E72"/>
    <w:rsid w:val="00323921"/>
    <w:rsid w:val="003247A0"/>
    <w:rsid w:val="00325673"/>
    <w:rsid w:val="0032592B"/>
    <w:rsid w:val="00325A5E"/>
    <w:rsid w:val="00326057"/>
    <w:rsid w:val="003260B3"/>
    <w:rsid w:val="00326432"/>
    <w:rsid w:val="0032671B"/>
    <w:rsid w:val="00326A61"/>
    <w:rsid w:val="00327072"/>
    <w:rsid w:val="00330325"/>
    <w:rsid w:val="00330705"/>
    <w:rsid w:val="00330EE8"/>
    <w:rsid w:val="00330F1E"/>
    <w:rsid w:val="003311A1"/>
    <w:rsid w:val="00331269"/>
    <w:rsid w:val="0033140E"/>
    <w:rsid w:val="0033168A"/>
    <w:rsid w:val="003317D6"/>
    <w:rsid w:val="00331F79"/>
    <w:rsid w:val="003324C2"/>
    <w:rsid w:val="003324E6"/>
    <w:rsid w:val="003325CC"/>
    <w:rsid w:val="00332989"/>
    <w:rsid w:val="003340E4"/>
    <w:rsid w:val="0033458D"/>
    <w:rsid w:val="00334C9F"/>
    <w:rsid w:val="003354B4"/>
    <w:rsid w:val="0033635F"/>
    <w:rsid w:val="0033655B"/>
    <w:rsid w:val="00336A55"/>
    <w:rsid w:val="00336BDD"/>
    <w:rsid w:val="003372D0"/>
    <w:rsid w:val="0033732F"/>
    <w:rsid w:val="0033743F"/>
    <w:rsid w:val="00340994"/>
    <w:rsid w:val="003413D2"/>
    <w:rsid w:val="0034178B"/>
    <w:rsid w:val="00341C31"/>
    <w:rsid w:val="00341EC8"/>
    <w:rsid w:val="00342318"/>
    <w:rsid w:val="00342720"/>
    <w:rsid w:val="003427B2"/>
    <w:rsid w:val="00342D1B"/>
    <w:rsid w:val="00343635"/>
    <w:rsid w:val="0034416C"/>
    <w:rsid w:val="00344412"/>
    <w:rsid w:val="003444E1"/>
    <w:rsid w:val="003455A3"/>
    <w:rsid w:val="0034581F"/>
    <w:rsid w:val="00345CFE"/>
    <w:rsid w:val="003463E2"/>
    <w:rsid w:val="0034737B"/>
    <w:rsid w:val="0034741A"/>
    <w:rsid w:val="00347D10"/>
    <w:rsid w:val="00347FF5"/>
    <w:rsid w:val="0035004D"/>
    <w:rsid w:val="00350253"/>
    <w:rsid w:val="003504CA"/>
    <w:rsid w:val="00350516"/>
    <w:rsid w:val="00350B51"/>
    <w:rsid w:val="0035129F"/>
    <w:rsid w:val="00351541"/>
    <w:rsid w:val="00351629"/>
    <w:rsid w:val="0035169D"/>
    <w:rsid w:val="00351A7D"/>
    <w:rsid w:val="00351BFA"/>
    <w:rsid w:val="00352BAE"/>
    <w:rsid w:val="00353B5C"/>
    <w:rsid w:val="00353CFE"/>
    <w:rsid w:val="00353F86"/>
    <w:rsid w:val="0035474D"/>
    <w:rsid w:val="00354A69"/>
    <w:rsid w:val="00355528"/>
    <w:rsid w:val="0035552A"/>
    <w:rsid w:val="003559C4"/>
    <w:rsid w:val="00355DBE"/>
    <w:rsid w:val="00355F29"/>
    <w:rsid w:val="003562C1"/>
    <w:rsid w:val="003562E2"/>
    <w:rsid w:val="00356629"/>
    <w:rsid w:val="00356EA9"/>
    <w:rsid w:val="003572F3"/>
    <w:rsid w:val="00357DA0"/>
    <w:rsid w:val="00360578"/>
    <w:rsid w:val="00360E04"/>
    <w:rsid w:val="00361058"/>
    <w:rsid w:val="003615CB"/>
    <w:rsid w:val="0036162C"/>
    <w:rsid w:val="00361D27"/>
    <w:rsid w:val="0036204F"/>
    <w:rsid w:val="00362239"/>
    <w:rsid w:val="003636AB"/>
    <w:rsid w:val="0036390B"/>
    <w:rsid w:val="00363B5C"/>
    <w:rsid w:val="003651BD"/>
    <w:rsid w:val="0036537D"/>
    <w:rsid w:val="0036553A"/>
    <w:rsid w:val="00365885"/>
    <w:rsid w:val="0036646F"/>
    <w:rsid w:val="00367171"/>
    <w:rsid w:val="00367198"/>
    <w:rsid w:val="00367640"/>
    <w:rsid w:val="003677E6"/>
    <w:rsid w:val="00370155"/>
    <w:rsid w:val="0037022F"/>
    <w:rsid w:val="00370635"/>
    <w:rsid w:val="00370EB6"/>
    <w:rsid w:val="003713E5"/>
    <w:rsid w:val="00371946"/>
    <w:rsid w:val="00371A77"/>
    <w:rsid w:val="00372010"/>
    <w:rsid w:val="00373146"/>
    <w:rsid w:val="0037397E"/>
    <w:rsid w:val="00373DB2"/>
    <w:rsid w:val="00373EAC"/>
    <w:rsid w:val="00373FD8"/>
    <w:rsid w:val="003740AD"/>
    <w:rsid w:val="00374214"/>
    <w:rsid w:val="0037443A"/>
    <w:rsid w:val="00374660"/>
    <w:rsid w:val="003747AA"/>
    <w:rsid w:val="00374CFA"/>
    <w:rsid w:val="0037578F"/>
    <w:rsid w:val="00375958"/>
    <w:rsid w:val="00375F20"/>
    <w:rsid w:val="00375F7E"/>
    <w:rsid w:val="0037671F"/>
    <w:rsid w:val="00376CDD"/>
    <w:rsid w:val="0037713F"/>
    <w:rsid w:val="003772C6"/>
    <w:rsid w:val="003773CF"/>
    <w:rsid w:val="00377D7A"/>
    <w:rsid w:val="00380124"/>
    <w:rsid w:val="003801B8"/>
    <w:rsid w:val="003802D2"/>
    <w:rsid w:val="00380408"/>
    <w:rsid w:val="003805FD"/>
    <w:rsid w:val="003806CF"/>
    <w:rsid w:val="00380A23"/>
    <w:rsid w:val="003812ED"/>
    <w:rsid w:val="0038154E"/>
    <w:rsid w:val="00381959"/>
    <w:rsid w:val="00381C79"/>
    <w:rsid w:val="003820CB"/>
    <w:rsid w:val="0038217D"/>
    <w:rsid w:val="0038228D"/>
    <w:rsid w:val="00382A52"/>
    <w:rsid w:val="00382A9F"/>
    <w:rsid w:val="00382D4A"/>
    <w:rsid w:val="0038349A"/>
    <w:rsid w:val="003834D6"/>
    <w:rsid w:val="003835A0"/>
    <w:rsid w:val="00383F5B"/>
    <w:rsid w:val="00384532"/>
    <w:rsid w:val="003845EB"/>
    <w:rsid w:val="00384B94"/>
    <w:rsid w:val="00384DF6"/>
    <w:rsid w:val="00385261"/>
    <w:rsid w:val="00385B07"/>
    <w:rsid w:val="003860A7"/>
    <w:rsid w:val="00386542"/>
    <w:rsid w:val="0038658A"/>
    <w:rsid w:val="00386A1A"/>
    <w:rsid w:val="00386F06"/>
    <w:rsid w:val="00391C71"/>
    <w:rsid w:val="0039200E"/>
    <w:rsid w:val="003924DA"/>
    <w:rsid w:val="00392AF2"/>
    <w:rsid w:val="00393182"/>
    <w:rsid w:val="0039329C"/>
    <w:rsid w:val="00393816"/>
    <w:rsid w:val="0039382B"/>
    <w:rsid w:val="003939DF"/>
    <w:rsid w:val="00393F90"/>
    <w:rsid w:val="00394192"/>
    <w:rsid w:val="00394294"/>
    <w:rsid w:val="0039595E"/>
    <w:rsid w:val="00395BB1"/>
    <w:rsid w:val="0039606C"/>
    <w:rsid w:val="003964DA"/>
    <w:rsid w:val="00397E4C"/>
    <w:rsid w:val="003A03E1"/>
    <w:rsid w:val="003A0C7F"/>
    <w:rsid w:val="003A1907"/>
    <w:rsid w:val="003A19FF"/>
    <w:rsid w:val="003A1E35"/>
    <w:rsid w:val="003A1F25"/>
    <w:rsid w:val="003A204C"/>
    <w:rsid w:val="003A2651"/>
    <w:rsid w:val="003A3C9C"/>
    <w:rsid w:val="003A4022"/>
    <w:rsid w:val="003A41F9"/>
    <w:rsid w:val="003A4496"/>
    <w:rsid w:val="003A535F"/>
    <w:rsid w:val="003A5366"/>
    <w:rsid w:val="003A5BAA"/>
    <w:rsid w:val="003A5CC8"/>
    <w:rsid w:val="003A5FD5"/>
    <w:rsid w:val="003A6D8D"/>
    <w:rsid w:val="003A7048"/>
    <w:rsid w:val="003A74CA"/>
    <w:rsid w:val="003A760A"/>
    <w:rsid w:val="003A76DE"/>
    <w:rsid w:val="003A784F"/>
    <w:rsid w:val="003A78BE"/>
    <w:rsid w:val="003A7A7E"/>
    <w:rsid w:val="003A7B11"/>
    <w:rsid w:val="003A7CBF"/>
    <w:rsid w:val="003A7DD4"/>
    <w:rsid w:val="003A7F52"/>
    <w:rsid w:val="003B0247"/>
    <w:rsid w:val="003B06A1"/>
    <w:rsid w:val="003B0846"/>
    <w:rsid w:val="003B0C66"/>
    <w:rsid w:val="003B0EA2"/>
    <w:rsid w:val="003B103E"/>
    <w:rsid w:val="003B1199"/>
    <w:rsid w:val="003B143F"/>
    <w:rsid w:val="003B167D"/>
    <w:rsid w:val="003B1D21"/>
    <w:rsid w:val="003B1E80"/>
    <w:rsid w:val="003B21B7"/>
    <w:rsid w:val="003B2566"/>
    <w:rsid w:val="003B258C"/>
    <w:rsid w:val="003B2AF8"/>
    <w:rsid w:val="003B2FF0"/>
    <w:rsid w:val="003B442F"/>
    <w:rsid w:val="003B4A7E"/>
    <w:rsid w:val="003B5453"/>
    <w:rsid w:val="003B5580"/>
    <w:rsid w:val="003B58DA"/>
    <w:rsid w:val="003B5D55"/>
    <w:rsid w:val="003B5DFE"/>
    <w:rsid w:val="003B5F64"/>
    <w:rsid w:val="003B636D"/>
    <w:rsid w:val="003B6B23"/>
    <w:rsid w:val="003B6C62"/>
    <w:rsid w:val="003B705E"/>
    <w:rsid w:val="003B7248"/>
    <w:rsid w:val="003B7B95"/>
    <w:rsid w:val="003C00B3"/>
    <w:rsid w:val="003C0658"/>
    <w:rsid w:val="003C0B75"/>
    <w:rsid w:val="003C0BE9"/>
    <w:rsid w:val="003C0C45"/>
    <w:rsid w:val="003C1A06"/>
    <w:rsid w:val="003C1F26"/>
    <w:rsid w:val="003C2008"/>
    <w:rsid w:val="003C217B"/>
    <w:rsid w:val="003C2717"/>
    <w:rsid w:val="003C2D02"/>
    <w:rsid w:val="003C2D20"/>
    <w:rsid w:val="003C2E2F"/>
    <w:rsid w:val="003C2FC5"/>
    <w:rsid w:val="003C37D5"/>
    <w:rsid w:val="003C3AF6"/>
    <w:rsid w:val="003C3D1D"/>
    <w:rsid w:val="003C54A5"/>
    <w:rsid w:val="003C666F"/>
    <w:rsid w:val="003C6E20"/>
    <w:rsid w:val="003C7612"/>
    <w:rsid w:val="003C7D1F"/>
    <w:rsid w:val="003D08FC"/>
    <w:rsid w:val="003D1C53"/>
    <w:rsid w:val="003D237C"/>
    <w:rsid w:val="003D2735"/>
    <w:rsid w:val="003D2BDD"/>
    <w:rsid w:val="003D318E"/>
    <w:rsid w:val="003D31B0"/>
    <w:rsid w:val="003D4270"/>
    <w:rsid w:val="003D454A"/>
    <w:rsid w:val="003D468F"/>
    <w:rsid w:val="003D4D8E"/>
    <w:rsid w:val="003D5731"/>
    <w:rsid w:val="003D58D2"/>
    <w:rsid w:val="003D5C4D"/>
    <w:rsid w:val="003D6192"/>
    <w:rsid w:val="003D645E"/>
    <w:rsid w:val="003D65CF"/>
    <w:rsid w:val="003D66E9"/>
    <w:rsid w:val="003D74CF"/>
    <w:rsid w:val="003D7B04"/>
    <w:rsid w:val="003E0CBD"/>
    <w:rsid w:val="003E142E"/>
    <w:rsid w:val="003E1541"/>
    <w:rsid w:val="003E17BB"/>
    <w:rsid w:val="003E25BA"/>
    <w:rsid w:val="003E27F6"/>
    <w:rsid w:val="003E2ECC"/>
    <w:rsid w:val="003E32C9"/>
    <w:rsid w:val="003E3920"/>
    <w:rsid w:val="003E3E7E"/>
    <w:rsid w:val="003E42DC"/>
    <w:rsid w:val="003E491D"/>
    <w:rsid w:val="003E4ABD"/>
    <w:rsid w:val="003E4FFD"/>
    <w:rsid w:val="003E57AB"/>
    <w:rsid w:val="003E5933"/>
    <w:rsid w:val="003E5D71"/>
    <w:rsid w:val="003E5FB7"/>
    <w:rsid w:val="003E606F"/>
    <w:rsid w:val="003E6329"/>
    <w:rsid w:val="003E6399"/>
    <w:rsid w:val="003E66A9"/>
    <w:rsid w:val="003E681E"/>
    <w:rsid w:val="003E6823"/>
    <w:rsid w:val="003E6B1C"/>
    <w:rsid w:val="003E6CC4"/>
    <w:rsid w:val="003E6F01"/>
    <w:rsid w:val="003E74C9"/>
    <w:rsid w:val="003E7C7B"/>
    <w:rsid w:val="003E7D2B"/>
    <w:rsid w:val="003E7F45"/>
    <w:rsid w:val="003F012A"/>
    <w:rsid w:val="003F0435"/>
    <w:rsid w:val="003F074E"/>
    <w:rsid w:val="003F0AA8"/>
    <w:rsid w:val="003F127A"/>
    <w:rsid w:val="003F12D1"/>
    <w:rsid w:val="003F1CDD"/>
    <w:rsid w:val="003F2049"/>
    <w:rsid w:val="003F2240"/>
    <w:rsid w:val="003F2408"/>
    <w:rsid w:val="003F2719"/>
    <w:rsid w:val="003F2B28"/>
    <w:rsid w:val="003F2DFC"/>
    <w:rsid w:val="003F2E89"/>
    <w:rsid w:val="003F3A8C"/>
    <w:rsid w:val="003F3EAD"/>
    <w:rsid w:val="003F42DE"/>
    <w:rsid w:val="003F4B5C"/>
    <w:rsid w:val="003F4E58"/>
    <w:rsid w:val="003F5917"/>
    <w:rsid w:val="003F68ED"/>
    <w:rsid w:val="003F6B97"/>
    <w:rsid w:val="003F6CBA"/>
    <w:rsid w:val="003F6F6E"/>
    <w:rsid w:val="003F7847"/>
    <w:rsid w:val="003F79AF"/>
    <w:rsid w:val="003F7AEA"/>
    <w:rsid w:val="003F7AFD"/>
    <w:rsid w:val="003F7B04"/>
    <w:rsid w:val="003F7F6B"/>
    <w:rsid w:val="00400287"/>
    <w:rsid w:val="004006EE"/>
    <w:rsid w:val="00400BE6"/>
    <w:rsid w:val="00401981"/>
    <w:rsid w:val="00401C94"/>
    <w:rsid w:val="004029B7"/>
    <w:rsid w:val="00402A6E"/>
    <w:rsid w:val="00403E74"/>
    <w:rsid w:val="0040407A"/>
    <w:rsid w:val="00404347"/>
    <w:rsid w:val="00404873"/>
    <w:rsid w:val="00404AB6"/>
    <w:rsid w:val="00404CC7"/>
    <w:rsid w:val="00404D02"/>
    <w:rsid w:val="00404ECF"/>
    <w:rsid w:val="00404F5D"/>
    <w:rsid w:val="004052B3"/>
    <w:rsid w:val="004056AF"/>
    <w:rsid w:val="0040596B"/>
    <w:rsid w:val="00405F98"/>
    <w:rsid w:val="004061F1"/>
    <w:rsid w:val="0040623A"/>
    <w:rsid w:val="00406E20"/>
    <w:rsid w:val="00406FB8"/>
    <w:rsid w:val="004072B9"/>
    <w:rsid w:val="00407D6C"/>
    <w:rsid w:val="00410CB5"/>
    <w:rsid w:val="00410CCC"/>
    <w:rsid w:val="00412151"/>
    <w:rsid w:val="00412214"/>
    <w:rsid w:val="004128A8"/>
    <w:rsid w:val="00412B1B"/>
    <w:rsid w:val="004138DB"/>
    <w:rsid w:val="00413BC4"/>
    <w:rsid w:val="00413E89"/>
    <w:rsid w:val="0041407C"/>
    <w:rsid w:val="00414729"/>
    <w:rsid w:val="00414783"/>
    <w:rsid w:val="00414BD8"/>
    <w:rsid w:val="00414D15"/>
    <w:rsid w:val="00415317"/>
    <w:rsid w:val="00415372"/>
    <w:rsid w:val="00415985"/>
    <w:rsid w:val="00416038"/>
    <w:rsid w:val="004167E7"/>
    <w:rsid w:val="0041697D"/>
    <w:rsid w:val="004169B9"/>
    <w:rsid w:val="00416D21"/>
    <w:rsid w:val="00417EC3"/>
    <w:rsid w:val="004203E6"/>
    <w:rsid w:val="0042058E"/>
    <w:rsid w:val="00420D59"/>
    <w:rsid w:val="00420F7C"/>
    <w:rsid w:val="004212A2"/>
    <w:rsid w:val="004214B8"/>
    <w:rsid w:val="004214F2"/>
    <w:rsid w:val="00421818"/>
    <w:rsid w:val="00421A8A"/>
    <w:rsid w:val="00421C88"/>
    <w:rsid w:val="00421DB6"/>
    <w:rsid w:val="004222D8"/>
    <w:rsid w:val="00422BC1"/>
    <w:rsid w:val="00423589"/>
    <w:rsid w:val="00423A2E"/>
    <w:rsid w:val="00423ED0"/>
    <w:rsid w:val="004240EB"/>
    <w:rsid w:val="004244FC"/>
    <w:rsid w:val="0042451D"/>
    <w:rsid w:val="004249EE"/>
    <w:rsid w:val="0042513E"/>
    <w:rsid w:val="00425D35"/>
    <w:rsid w:val="00425F8E"/>
    <w:rsid w:val="00425FAC"/>
    <w:rsid w:val="00426175"/>
    <w:rsid w:val="004264A7"/>
    <w:rsid w:val="00426B1B"/>
    <w:rsid w:val="00426BD4"/>
    <w:rsid w:val="004271E9"/>
    <w:rsid w:val="004271F7"/>
    <w:rsid w:val="004272E1"/>
    <w:rsid w:val="0042751F"/>
    <w:rsid w:val="004278ED"/>
    <w:rsid w:val="00427E18"/>
    <w:rsid w:val="0043016B"/>
    <w:rsid w:val="00430735"/>
    <w:rsid w:val="00430E9F"/>
    <w:rsid w:val="004311E2"/>
    <w:rsid w:val="00431230"/>
    <w:rsid w:val="00432429"/>
    <w:rsid w:val="00432CAA"/>
    <w:rsid w:val="00433080"/>
    <w:rsid w:val="00433C40"/>
    <w:rsid w:val="004343AF"/>
    <w:rsid w:val="004350D8"/>
    <w:rsid w:val="00435409"/>
    <w:rsid w:val="00435A0F"/>
    <w:rsid w:val="00435D2F"/>
    <w:rsid w:val="00436B27"/>
    <w:rsid w:val="00436CE5"/>
    <w:rsid w:val="00436FC1"/>
    <w:rsid w:val="00437160"/>
    <w:rsid w:val="00437261"/>
    <w:rsid w:val="00437723"/>
    <w:rsid w:val="00440C8B"/>
    <w:rsid w:val="0044171C"/>
    <w:rsid w:val="004417AF"/>
    <w:rsid w:val="004417EA"/>
    <w:rsid w:val="004418CD"/>
    <w:rsid w:val="004421FE"/>
    <w:rsid w:val="0044265C"/>
    <w:rsid w:val="00443584"/>
    <w:rsid w:val="00444043"/>
    <w:rsid w:val="004441B8"/>
    <w:rsid w:val="004442E3"/>
    <w:rsid w:val="00444875"/>
    <w:rsid w:val="00445BFF"/>
    <w:rsid w:val="00445D2E"/>
    <w:rsid w:val="004465EA"/>
    <w:rsid w:val="0044669A"/>
    <w:rsid w:val="004469E3"/>
    <w:rsid w:val="00446A71"/>
    <w:rsid w:val="00446C51"/>
    <w:rsid w:val="00446FB2"/>
    <w:rsid w:val="00447056"/>
    <w:rsid w:val="0044730E"/>
    <w:rsid w:val="00447327"/>
    <w:rsid w:val="00447D4D"/>
    <w:rsid w:val="00447D68"/>
    <w:rsid w:val="00447EDD"/>
    <w:rsid w:val="004507AF"/>
    <w:rsid w:val="0045093A"/>
    <w:rsid w:val="00450F9B"/>
    <w:rsid w:val="004518F0"/>
    <w:rsid w:val="00451EC7"/>
    <w:rsid w:val="00452A3D"/>
    <w:rsid w:val="00452A95"/>
    <w:rsid w:val="00452F0B"/>
    <w:rsid w:val="0045310F"/>
    <w:rsid w:val="00453475"/>
    <w:rsid w:val="00453C63"/>
    <w:rsid w:val="0045423F"/>
    <w:rsid w:val="00454490"/>
    <w:rsid w:val="00454C91"/>
    <w:rsid w:val="004550E7"/>
    <w:rsid w:val="00455A05"/>
    <w:rsid w:val="00455FEE"/>
    <w:rsid w:val="00456198"/>
    <w:rsid w:val="0045666E"/>
    <w:rsid w:val="00456BD5"/>
    <w:rsid w:val="00457053"/>
    <w:rsid w:val="004574E4"/>
    <w:rsid w:val="004600EC"/>
    <w:rsid w:val="00460458"/>
    <w:rsid w:val="00460C22"/>
    <w:rsid w:val="00462807"/>
    <w:rsid w:val="0046287C"/>
    <w:rsid w:val="00462D5C"/>
    <w:rsid w:val="00463058"/>
    <w:rsid w:val="0046383E"/>
    <w:rsid w:val="00463A12"/>
    <w:rsid w:val="004641A1"/>
    <w:rsid w:val="00465098"/>
    <w:rsid w:val="0046534E"/>
    <w:rsid w:val="004656C4"/>
    <w:rsid w:val="00466DA8"/>
    <w:rsid w:val="00466EA9"/>
    <w:rsid w:val="00467296"/>
    <w:rsid w:val="004672D6"/>
    <w:rsid w:val="0046759B"/>
    <w:rsid w:val="0046784C"/>
    <w:rsid w:val="004678CF"/>
    <w:rsid w:val="00467F65"/>
    <w:rsid w:val="00470293"/>
    <w:rsid w:val="00470483"/>
    <w:rsid w:val="00470525"/>
    <w:rsid w:val="00470B1E"/>
    <w:rsid w:val="00470D74"/>
    <w:rsid w:val="00470F7E"/>
    <w:rsid w:val="0047101C"/>
    <w:rsid w:val="004713A8"/>
    <w:rsid w:val="00472706"/>
    <w:rsid w:val="00472A00"/>
    <w:rsid w:val="00473893"/>
    <w:rsid w:val="00473F6D"/>
    <w:rsid w:val="00474A63"/>
    <w:rsid w:val="00474CCD"/>
    <w:rsid w:val="00474FCE"/>
    <w:rsid w:val="00475182"/>
    <w:rsid w:val="00475CE9"/>
    <w:rsid w:val="00475D03"/>
    <w:rsid w:val="00475DB2"/>
    <w:rsid w:val="0047687C"/>
    <w:rsid w:val="004768AA"/>
    <w:rsid w:val="00476B56"/>
    <w:rsid w:val="00476F40"/>
    <w:rsid w:val="00477156"/>
    <w:rsid w:val="004772B3"/>
    <w:rsid w:val="00477DC1"/>
    <w:rsid w:val="00480588"/>
    <w:rsid w:val="00480A57"/>
    <w:rsid w:val="00481727"/>
    <w:rsid w:val="004823F1"/>
    <w:rsid w:val="004826C5"/>
    <w:rsid w:val="004827B4"/>
    <w:rsid w:val="00483024"/>
    <w:rsid w:val="004833F0"/>
    <w:rsid w:val="00483834"/>
    <w:rsid w:val="004838B8"/>
    <w:rsid w:val="00483934"/>
    <w:rsid w:val="004839DE"/>
    <w:rsid w:val="00483F25"/>
    <w:rsid w:val="0048445B"/>
    <w:rsid w:val="00484694"/>
    <w:rsid w:val="00484B3B"/>
    <w:rsid w:val="00485156"/>
    <w:rsid w:val="00485412"/>
    <w:rsid w:val="0048550C"/>
    <w:rsid w:val="004857C0"/>
    <w:rsid w:val="00485BF8"/>
    <w:rsid w:val="00485C7A"/>
    <w:rsid w:val="00485FB1"/>
    <w:rsid w:val="004865F7"/>
    <w:rsid w:val="00486AB7"/>
    <w:rsid w:val="00487080"/>
    <w:rsid w:val="004876F6"/>
    <w:rsid w:val="00487E28"/>
    <w:rsid w:val="0049099D"/>
    <w:rsid w:val="00490A18"/>
    <w:rsid w:val="00490D44"/>
    <w:rsid w:val="0049136B"/>
    <w:rsid w:val="004918EE"/>
    <w:rsid w:val="00491B9C"/>
    <w:rsid w:val="00491C3E"/>
    <w:rsid w:val="00492014"/>
    <w:rsid w:val="00492233"/>
    <w:rsid w:val="00492548"/>
    <w:rsid w:val="0049264D"/>
    <w:rsid w:val="004929F0"/>
    <w:rsid w:val="004930E0"/>
    <w:rsid w:val="0049362E"/>
    <w:rsid w:val="00493794"/>
    <w:rsid w:val="004938B8"/>
    <w:rsid w:val="00493949"/>
    <w:rsid w:val="004939F5"/>
    <w:rsid w:val="00493A46"/>
    <w:rsid w:val="00493F2C"/>
    <w:rsid w:val="00495507"/>
    <w:rsid w:val="0049607A"/>
    <w:rsid w:val="00496272"/>
    <w:rsid w:val="0049694A"/>
    <w:rsid w:val="00496A38"/>
    <w:rsid w:val="00497B05"/>
    <w:rsid w:val="00497B3C"/>
    <w:rsid w:val="00497D9E"/>
    <w:rsid w:val="00497DE5"/>
    <w:rsid w:val="004A01CD"/>
    <w:rsid w:val="004A0B6F"/>
    <w:rsid w:val="004A1424"/>
    <w:rsid w:val="004A23B4"/>
    <w:rsid w:val="004A2992"/>
    <w:rsid w:val="004A2D5E"/>
    <w:rsid w:val="004A32A6"/>
    <w:rsid w:val="004A3FEC"/>
    <w:rsid w:val="004A473D"/>
    <w:rsid w:val="004A474B"/>
    <w:rsid w:val="004A52A8"/>
    <w:rsid w:val="004A5840"/>
    <w:rsid w:val="004A5A47"/>
    <w:rsid w:val="004A6BFC"/>
    <w:rsid w:val="004A6E80"/>
    <w:rsid w:val="004A719B"/>
    <w:rsid w:val="004A7935"/>
    <w:rsid w:val="004A7BB3"/>
    <w:rsid w:val="004A7C9D"/>
    <w:rsid w:val="004A7FFB"/>
    <w:rsid w:val="004B078D"/>
    <w:rsid w:val="004B0D19"/>
    <w:rsid w:val="004B1535"/>
    <w:rsid w:val="004B1658"/>
    <w:rsid w:val="004B1BBC"/>
    <w:rsid w:val="004B1D83"/>
    <w:rsid w:val="004B22AB"/>
    <w:rsid w:val="004B291E"/>
    <w:rsid w:val="004B2AB1"/>
    <w:rsid w:val="004B2C95"/>
    <w:rsid w:val="004B2FED"/>
    <w:rsid w:val="004B37FC"/>
    <w:rsid w:val="004B39F1"/>
    <w:rsid w:val="004B3D71"/>
    <w:rsid w:val="004B3D9D"/>
    <w:rsid w:val="004B40A0"/>
    <w:rsid w:val="004B428F"/>
    <w:rsid w:val="004B451E"/>
    <w:rsid w:val="004B45C7"/>
    <w:rsid w:val="004B4978"/>
    <w:rsid w:val="004B5572"/>
    <w:rsid w:val="004B560D"/>
    <w:rsid w:val="004B5BA4"/>
    <w:rsid w:val="004B5C66"/>
    <w:rsid w:val="004B5D2D"/>
    <w:rsid w:val="004B6172"/>
    <w:rsid w:val="004B61CC"/>
    <w:rsid w:val="004B6554"/>
    <w:rsid w:val="004B70C6"/>
    <w:rsid w:val="004B79FC"/>
    <w:rsid w:val="004B7F14"/>
    <w:rsid w:val="004C0EFF"/>
    <w:rsid w:val="004C1825"/>
    <w:rsid w:val="004C1896"/>
    <w:rsid w:val="004C1FDF"/>
    <w:rsid w:val="004C22BB"/>
    <w:rsid w:val="004C289C"/>
    <w:rsid w:val="004C3091"/>
    <w:rsid w:val="004C386C"/>
    <w:rsid w:val="004C3F6D"/>
    <w:rsid w:val="004C44CF"/>
    <w:rsid w:val="004C45F7"/>
    <w:rsid w:val="004C484E"/>
    <w:rsid w:val="004C4869"/>
    <w:rsid w:val="004C4D2B"/>
    <w:rsid w:val="004C5072"/>
    <w:rsid w:val="004C5D04"/>
    <w:rsid w:val="004C6240"/>
    <w:rsid w:val="004C6709"/>
    <w:rsid w:val="004C6710"/>
    <w:rsid w:val="004C688D"/>
    <w:rsid w:val="004C6B8F"/>
    <w:rsid w:val="004C6B9B"/>
    <w:rsid w:val="004C6C1C"/>
    <w:rsid w:val="004C6C99"/>
    <w:rsid w:val="004C6DE1"/>
    <w:rsid w:val="004C7195"/>
    <w:rsid w:val="004C74C3"/>
    <w:rsid w:val="004C77DA"/>
    <w:rsid w:val="004C7D2B"/>
    <w:rsid w:val="004C7DC1"/>
    <w:rsid w:val="004D067E"/>
    <w:rsid w:val="004D0BE1"/>
    <w:rsid w:val="004D149E"/>
    <w:rsid w:val="004D1A99"/>
    <w:rsid w:val="004D1D42"/>
    <w:rsid w:val="004D322D"/>
    <w:rsid w:val="004D3D75"/>
    <w:rsid w:val="004D3FCD"/>
    <w:rsid w:val="004D409A"/>
    <w:rsid w:val="004D42AE"/>
    <w:rsid w:val="004D532E"/>
    <w:rsid w:val="004D584F"/>
    <w:rsid w:val="004D6688"/>
    <w:rsid w:val="004D6939"/>
    <w:rsid w:val="004D6E8E"/>
    <w:rsid w:val="004D6ED3"/>
    <w:rsid w:val="004D773F"/>
    <w:rsid w:val="004D7848"/>
    <w:rsid w:val="004D7B01"/>
    <w:rsid w:val="004E0497"/>
    <w:rsid w:val="004E0B7A"/>
    <w:rsid w:val="004E0DE3"/>
    <w:rsid w:val="004E0E9F"/>
    <w:rsid w:val="004E1426"/>
    <w:rsid w:val="004E1BEB"/>
    <w:rsid w:val="004E1C5A"/>
    <w:rsid w:val="004E2304"/>
    <w:rsid w:val="004E266B"/>
    <w:rsid w:val="004E2767"/>
    <w:rsid w:val="004E2874"/>
    <w:rsid w:val="004E2E0D"/>
    <w:rsid w:val="004E2EBF"/>
    <w:rsid w:val="004E3551"/>
    <w:rsid w:val="004E3B91"/>
    <w:rsid w:val="004E3D57"/>
    <w:rsid w:val="004E4CBB"/>
    <w:rsid w:val="004E53E0"/>
    <w:rsid w:val="004E5811"/>
    <w:rsid w:val="004E5D9F"/>
    <w:rsid w:val="004E5F69"/>
    <w:rsid w:val="004E6392"/>
    <w:rsid w:val="004E6549"/>
    <w:rsid w:val="004E677E"/>
    <w:rsid w:val="004E68F9"/>
    <w:rsid w:val="004E6C3C"/>
    <w:rsid w:val="004E7327"/>
    <w:rsid w:val="004E73C2"/>
    <w:rsid w:val="004F0673"/>
    <w:rsid w:val="004F0A0C"/>
    <w:rsid w:val="004F20F7"/>
    <w:rsid w:val="004F2FBB"/>
    <w:rsid w:val="004F34B1"/>
    <w:rsid w:val="004F3BB5"/>
    <w:rsid w:val="004F3C14"/>
    <w:rsid w:val="004F4671"/>
    <w:rsid w:val="004F47CB"/>
    <w:rsid w:val="004F4BC9"/>
    <w:rsid w:val="004F4D77"/>
    <w:rsid w:val="004F4E10"/>
    <w:rsid w:val="004F4F12"/>
    <w:rsid w:val="004F5215"/>
    <w:rsid w:val="004F524A"/>
    <w:rsid w:val="004F5483"/>
    <w:rsid w:val="004F5504"/>
    <w:rsid w:val="004F5A32"/>
    <w:rsid w:val="004F6B62"/>
    <w:rsid w:val="004F715A"/>
    <w:rsid w:val="004F7946"/>
    <w:rsid w:val="0050012F"/>
    <w:rsid w:val="00500143"/>
    <w:rsid w:val="0050020B"/>
    <w:rsid w:val="00500224"/>
    <w:rsid w:val="00500C96"/>
    <w:rsid w:val="00500F2E"/>
    <w:rsid w:val="005011A2"/>
    <w:rsid w:val="005015B9"/>
    <w:rsid w:val="00501672"/>
    <w:rsid w:val="00502053"/>
    <w:rsid w:val="005023C0"/>
    <w:rsid w:val="005024B4"/>
    <w:rsid w:val="00502937"/>
    <w:rsid w:val="005032F2"/>
    <w:rsid w:val="00503C66"/>
    <w:rsid w:val="00503CDB"/>
    <w:rsid w:val="00504154"/>
    <w:rsid w:val="00504280"/>
    <w:rsid w:val="00504513"/>
    <w:rsid w:val="00504712"/>
    <w:rsid w:val="005051FE"/>
    <w:rsid w:val="005053CF"/>
    <w:rsid w:val="005055F6"/>
    <w:rsid w:val="00505CE1"/>
    <w:rsid w:val="00505D82"/>
    <w:rsid w:val="005061FE"/>
    <w:rsid w:val="00506796"/>
    <w:rsid w:val="00507378"/>
    <w:rsid w:val="005074B8"/>
    <w:rsid w:val="00507787"/>
    <w:rsid w:val="005078F6"/>
    <w:rsid w:val="005100C7"/>
    <w:rsid w:val="00510147"/>
    <w:rsid w:val="00510346"/>
    <w:rsid w:val="00510473"/>
    <w:rsid w:val="00510526"/>
    <w:rsid w:val="005111B5"/>
    <w:rsid w:val="005114AC"/>
    <w:rsid w:val="0051189F"/>
    <w:rsid w:val="00511B5F"/>
    <w:rsid w:val="00511CD5"/>
    <w:rsid w:val="00511D84"/>
    <w:rsid w:val="00511DBD"/>
    <w:rsid w:val="0051221E"/>
    <w:rsid w:val="005124CD"/>
    <w:rsid w:val="00512541"/>
    <w:rsid w:val="0051285F"/>
    <w:rsid w:val="00512AFA"/>
    <w:rsid w:val="00512C9A"/>
    <w:rsid w:val="00513073"/>
    <w:rsid w:val="0051321C"/>
    <w:rsid w:val="005139F0"/>
    <w:rsid w:val="00513A84"/>
    <w:rsid w:val="00514068"/>
    <w:rsid w:val="005145B1"/>
    <w:rsid w:val="005145C4"/>
    <w:rsid w:val="0051471D"/>
    <w:rsid w:val="00514ED7"/>
    <w:rsid w:val="00514F3E"/>
    <w:rsid w:val="00515121"/>
    <w:rsid w:val="00515234"/>
    <w:rsid w:val="00516011"/>
    <w:rsid w:val="00516226"/>
    <w:rsid w:val="00517331"/>
    <w:rsid w:val="0051758E"/>
    <w:rsid w:val="00517AFE"/>
    <w:rsid w:val="00517ECB"/>
    <w:rsid w:val="005201A5"/>
    <w:rsid w:val="005202DD"/>
    <w:rsid w:val="00520565"/>
    <w:rsid w:val="00520FEF"/>
    <w:rsid w:val="005210C0"/>
    <w:rsid w:val="0052185E"/>
    <w:rsid w:val="005226FC"/>
    <w:rsid w:val="00522DA8"/>
    <w:rsid w:val="0052316B"/>
    <w:rsid w:val="00524801"/>
    <w:rsid w:val="00524F85"/>
    <w:rsid w:val="00525227"/>
    <w:rsid w:val="00525490"/>
    <w:rsid w:val="00525912"/>
    <w:rsid w:val="0052650B"/>
    <w:rsid w:val="00526D3F"/>
    <w:rsid w:val="005272B8"/>
    <w:rsid w:val="005273FD"/>
    <w:rsid w:val="00530CB8"/>
    <w:rsid w:val="00531A04"/>
    <w:rsid w:val="005332DC"/>
    <w:rsid w:val="005334D5"/>
    <w:rsid w:val="00533C1B"/>
    <w:rsid w:val="00533DA0"/>
    <w:rsid w:val="00534D3C"/>
    <w:rsid w:val="00535104"/>
    <w:rsid w:val="00535ADF"/>
    <w:rsid w:val="00536076"/>
    <w:rsid w:val="005368E3"/>
    <w:rsid w:val="005369F2"/>
    <w:rsid w:val="00536A83"/>
    <w:rsid w:val="005370E8"/>
    <w:rsid w:val="005371A5"/>
    <w:rsid w:val="005372E5"/>
    <w:rsid w:val="0053730E"/>
    <w:rsid w:val="00537DDF"/>
    <w:rsid w:val="00537E29"/>
    <w:rsid w:val="0054048B"/>
    <w:rsid w:val="00540588"/>
    <w:rsid w:val="00540AE7"/>
    <w:rsid w:val="00540FAD"/>
    <w:rsid w:val="0054180D"/>
    <w:rsid w:val="00541B49"/>
    <w:rsid w:val="00541E0D"/>
    <w:rsid w:val="00541F7A"/>
    <w:rsid w:val="005423A6"/>
    <w:rsid w:val="00542B9B"/>
    <w:rsid w:val="0054342B"/>
    <w:rsid w:val="005436D1"/>
    <w:rsid w:val="00543B40"/>
    <w:rsid w:val="005440D5"/>
    <w:rsid w:val="005444B9"/>
    <w:rsid w:val="00545161"/>
    <w:rsid w:val="00545177"/>
    <w:rsid w:val="005451E1"/>
    <w:rsid w:val="0054546B"/>
    <w:rsid w:val="00545708"/>
    <w:rsid w:val="00545AF9"/>
    <w:rsid w:val="00545DFA"/>
    <w:rsid w:val="00545E1E"/>
    <w:rsid w:val="00545F9F"/>
    <w:rsid w:val="005461B2"/>
    <w:rsid w:val="00546BFB"/>
    <w:rsid w:val="00546D2C"/>
    <w:rsid w:val="00546FDA"/>
    <w:rsid w:val="00547160"/>
    <w:rsid w:val="00547368"/>
    <w:rsid w:val="00550348"/>
    <w:rsid w:val="005504D6"/>
    <w:rsid w:val="00550B04"/>
    <w:rsid w:val="0055134E"/>
    <w:rsid w:val="00551B2E"/>
    <w:rsid w:val="00551CA8"/>
    <w:rsid w:val="005528B5"/>
    <w:rsid w:val="00552983"/>
    <w:rsid w:val="00552B96"/>
    <w:rsid w:val="0055306E"/>
    <w:rsid w:val="00553178"/>
    <w:rsid w:val="00553EBF"/>
    <w:rsid w:val="00554210"/>
    <w:rsid w:val="0055437C"/>
    <w:rsid w:val="0055492C"/>
    <w:rsid w:val="00554EDC"/>
    <w:rsid w:val="00554FFD"/>
    <w:rsid w:val="00555FC4"/>
    <w:rsid w:val="0055609F"/>
    <w:rsid w:val="005560F3"/>
    <w:rsid w:val="00556526"/>
    <w:rsid w:val="0055671C"/>
    <w:rsid w:val="005570E8"/>
    <w:rsid w:val="00557336"/>
    <w:rsid w:val="00557E7A"/>
    <w:rsid w:val="00557FB7"/>
    <w:rsid w:val="005602B0"/>
    <w:rsid w:val="00560A91"/>
    <w:rsid w:val="00561641"/>
    <w:rsid w:val="00561A2D"/>
    <w:rsid w:val="00561C3B"/>
    <w:rsid w:val="00562116"/>
    <w:rsid w:val="00562681"/>
    <w:rsid w:val="00562902"/>
    <w:rsid w:val="005633F2"/>
    <w:rsid w:val="00563D98"/>
    <w:rsid w:val="005641B3"/>
    <w:rsid w:val="0056427A"/>
    <w:rsid w:val="0056468E"/>
    <w:rsid w:val="00564FC4"/>
    <w:rsid w:val="005652A5"/>
    <w:rsid w:val="00565574"/>
    <w:rsid w:val="005668CF"/>
    <w:rsid w:val="0056743B"/>
    <w:rsid w:val="005675AF"/>
    <w:rsid w:val="00567D18"/>
    <w:rsid w:val="00567D1E"/>
    <w:rsid w:val="0057040B"/>
    <w:rsid w:val="00570C9E"/>
    <w:rsid w:val="00570CCE"/>
    <w:rsid w:val="005711EB"/>
    <w:rsid w:val="00571AB3"/>
    <w:rsid w:val="00571B03"/>
    <w:rsid w:val="00571E2D"/>
    <w:rsid w:val="00572668"/>
    <w:rsid w:val="00572D07"/>
    <w:rsid w:val="00572EAD"/>
    <w:rsid w:val="005735A6"/>
    <w:rsid w:val="005735D6"/>
    <w:rsid w:val="005739DB"/>
    <w:rsid w:val="00574996"/>
    <w:rsid w:val="00575115"/>
    <w:rsid w:val="00575442"/>
    <w:rsid w:val="00576BBB"/>
    <w:rsid w:val="00576FDF"/>
    <w:rsid w:val="0057782F"/>
    <w:rsid w:val="00580023"/>
    <w:rsid w:val="00580440"/>
    <w:rsid w:val="005804B0"/>
    <w:rsid w:val="00580855"/>
    <w:rsid w:val="00580A5B"/>
    <w:rsid w:val="00580FA2"/>
    <w:rsid w:val="0058173D"/>
    <w:rsid w:val="00581D90"/>
    <w:rsid w:val="00582008"/>
    <w:rsid w:val="00582653"/>
    <w:rsid w:val="00582ABF"/>
    <w:rsid w:val="00582FFF"/>
    <w:rsid w:val="00583310"/>
    <w:rsid w:val="00583780"/>
    <w:rsid w:val="00583B7F"/>
    <w:rsid w:val="0058401F"/>
    <w:rsid w:val="0058565F"/>
    <w:rsid w:val="00585693"/>
    <w:rsid w:val="00585E07"/>
    <w:rsid w:val="0058641A"/>
    <w:rsid w:val="005864DD"/>
    <w:rsid w:val="00586CD3"/>
    <w:rsid w:val="00587569"/>
    <w:rsid w:val="005879C1"/>
    <w:rsid w:val="00587CE0"/>
    <w:rsid w:val="00587D4D"/>
    <w:rsid w:val="0059024B"/>
    <w:rsid w:val="00590898"/>
    <w:rsid w:val="00590AC5"/>
    <w:rsid w:val="0059129A"/>
    <w:rsid w:val="005914F9"/>
    <w:rsid w:val="00591691"/>
    <w:rsid w:val="00591722"/>
    <w:rsid w:val="0059184C"/>
    <w:rsid w:val="00591C89"/>
    <w:rsid w:val="00592212"/>
    <w:rsid w:val="005935F6"/>
    <w:rsid w:val="00594044"/>
    <w:rsid w:val="00594724"/>
    <w:rsid w:val="0059478C"/>
    <w:rsid w:val="00594992"/>
    <w:rsid w:val="005954E9"/>
    <w:rsid w:val="00596AEA"/>
    <w:rsid w:val="00597231"/>
    <w:rsid w:val="00597977"/>
    <w:rsid w:val="00597F55"/>
    <w:rsid w:val="005A00DF"/>
    <w:rsid w:val="005A01B1"/>
    <w:rsid w:val="005A07D2"/>
    <w:rsid w:val="005A091D"/>
    <w:rsid w:val="005A0A17"/>
    <w:rsid w:val="005A0AA9"/>
    <w:rsid w:val="005A0CDE"/>
    <w:rsid w:val="005A0D12"/>
    <w:rsid w:val="005A0FA6"/>
    <w:rsid w:val="005A1688"/>
    <w:rsid w:val="005A17C9"/>
    <w:rsid w:val="005A1EAF"/>
    <w:rsid w:val="005A20DA"/>
    <w:rsid w:val="005A2396"/>
    <w:rsid w:val="005A2AF7"/>
    <w:rsid w:val="005A2C9C"/>
    <w:rsid w:val="005A2DD5"/>
    <w:rsid w:val="005A4317"/>
    <w:rsid w:val="005A4C20"/>
    <w:rsid w:val="005A4D87"/>
    <w:rsid w:val="005A5275"/>
    <w:rsid w:val="005A5518"/>
    <w:rsid w:val="005A689F"/>
    <w:rsid w:val="005A6A0A"/>
    <w:rsid w:val="005A6BC4"/>
    <w:rsid w:val="005A73B9"/>
    <w:rsid w:val="005A73BA"/>
    <w:rsid w:val="005A78D1"/>
    <w:rsid w:val="005A78FE"/>
    <w:rsid w:val="005A7DBA"/>
    <w:rsid w:val="005B15E6"/>
    <w:rsid w:val="005B164A"/>
    <w:rsid w:val="005B172E"/>
    <w:rsid w:val="005B208C"/>
    <w:rsid w:val="005B349F"/>
    <w:rsid w:val="005B370F"/>
    <w:rsid w:val="005B372A"/>
    <w:rsid w:val="005B3941"/>
    <w:rsid w:val="005B3F19"/>
    <w:rsid w:val="005B3FCE"/>
    <w:rsid w:val="005B45CE"/>
    <w:rsid w:val="005B4CD0"/>
    <w:rsid w:val="005B4D22"/>
    <w:rsid w:val="005B4F1F"/>
    <w:rsid w:val="005B5354"/>
    <w:rsid w:val="005B5A65"/>
    <w:rsid w:val="005B6136"/>
    <w:rsid w:val="005B6E84"/>
    <w:rsid w:val="005B72BD"/>
    <w:rsid w:val="005B759C"/>
    <w:rsid w:val="005B7795"/>
    <w:rsid w:val="005B781D"/>
    <w:rsid w:val="005B7D08"/>
    <w:rsid w:val="005B7ED6"/>
    <w:rsid w:val="005B7F6F"/>
    <w:rsid w:val="005C00C0"/>
    <w:rsid w:val="005C01A7"/>
    <w:rsid w:val="005C0475"/>
    <w:rsid w:val="005C0C79"/>
    <w:rsid w:val="005C16CD"/>
    <w:rsid w:val="005C1763"/>
    <w:rsid w:val="005C1F8E"/>
    <w:rsid w:val="005C217B"/>
    <w:rsid w:val="005C21E9"/>
    <w:rsid w:val="005C2A9E"/>
    <w:rsid w:val="005C3120"/>
    <w:rsid w:val="005C3315"/>
    <w:rsid w:val="005C331B"/>
    <w:rsid w:val="005C3794"/>
    <w:rsid w:val="005C38F7"/>
    <w:rsid w:val="005C3A8B"/>
    <w:rsid w:val="005C3ACF"/>
    <w:rsid w:val="005C3D45"/>
    <w:rsid w:val="005C3D63"/>
    <w:rsid w:val="005C48EB"/>
    <w:rsid w:val="005C5028"/>
    <w:rsid w:val="005C55DC"/>
    <w:rsid w:val="005C5956"/>
    <w:rsid w:val="005C5F63"/>
    <w:rsid w:val="005C5FF8"/>
    <w:rsid w:val="005C6021"/>
    <w:rsid w:val="005C6267"/>
    <w:rsid w:val="005C6699"/>
    <w:rsid w:val="005C6729"/>
    <w:rsid w:val="005C6D8E"/>
    <w:rsid w:val="005C6F15"/>
    <w:rsid w:val="005C7139"/>
    <w:rsid w:val="005C7426"/>
    <w:rsid w:val="005D0018"/>
    <w:rsid w:val="005D0CE5"/>
    <w:rsid w:val="005D0E0F"/>
    <w:rsid w:val="005D0FB0"/>
    <w:rsid w:val="005D125A"/>
    <w:rsid w:val="005D13AB"/>
    <w:rsid w:val="005D1803"/>
    <w:rsid w:val="005D188A"/>
    <w:rsid w:val="005D1FD6"/>
    <w:rsid w:val="005D2066"/>
    <w:rsid w:val="005D20B4"/>
    <w:rsid w:val="005D21A5"/>
    <w:rsid w:val="005D2588"/>
    <w:rsid w:val="005D26E5"/>
    <w:rsid w:val="005D2A51"/>
    <w:rsid w:val="005D3509"/>
    <w:rsid w:val="005D38E3"/>
    <w:rsid w:val="005D40E0"/>
    <w:rsid w:val="005D42B9"/>
    <w:rsid w:val="005D440A"/>
    <w:rsid w:val="005D4F89"/>
    <w:rsid w:val="005D5640"/>
    <w:rsid w:val="005D57AE"/>
    <w:rsid w:val="005D5FA3"/>
    <w:rsid w:val="005D636B"/>
    <w:rsid w:val="005D67ED"/>
    <w:rsid w:val="005D7227"/>
    <w:rsid w:val="005D7567"/>
    <w:rsid w:val="005E0473"/>
    <w:rsid w:val="005E0575"/>
    <w:rsid w:val="005E119D"/>
    <w:rsid w:val="005E1421"/>
    <w:rsid w:val="005E1E96"/>
    <w:rsid w:val="005E205D"/>
    <w:rsid w:val="005E22EC"/>
    <w:rsid w:val="005E2769"/>
    <w:rsid w:val="005E28DD"/>
    <w:rsid w:val="005E2986"/>
    <w:rsid w:val="005E2FDB"/>
    <w:rsid w:val="005E350E"/>
    <w:rsid w:val="005E3E18"/>
    <w:rsid w:val="005E3E5D"/>
    <w:rsid w:val="005E40D5"/>
    <w:rsid w:val="005E4C54"/>
    <w:rsid w:val="005E4D02"/>
    <w:rsid w:val="005E4D30"/>
    <w:rsid w:val="005E5507"/>
    <w:rsid w:val="005E5E3E"/>
    <w:rsid w:val="005E6138"/>
    <w:rsid w:val="005E6245"/>
    <w:rsid w:val="005E6280"/>
    <w:rsid w:val="005E70E5"/>
    <w:rsid w:val="005E7349"/>
    <w:rsid w:val="005F050B"/>
    <w:rsid w:val="005F05A8"/>
    <w:rsid w:val="005F06F2"/>
    <w:rsid w:val="005F08FA"/>
    <w:rsid w:val="005F0918"/>
    <w:rsid w:val="005F17E5"/>
    <w:rsid w:val="005F19DE"/>
    <w:rsid w:val="005F2C94"/>
    <w:rsid w:val="005F3DE9"/>
    <w:rsid w:val="005F3FAD"/>
    <w:rsid w:val="005F4A1A"/>
    <w:rsid w:val="005F4AC5"/>
    <w:rsid w:val="005F4CD2"/>
    <w:rsid w:val="005F568F"/>
    <w:rsid w:val="005F5A3C"/>
    <w:rsid w:val="005F62A0"/>
    <w:rsid w:val="005F67FA"/>
    <w:rsid w:val="005F6AE0"/>
    <w:rsid w:val="005F6B0E"/>
    <w:rsid w:val="005F6C54"/>
    <w:rsid w:val="005F6D17"/>
    <w:rsid w:val="005F73CC"/>
    <w:rsid w:val="005F745A"/>
    <w:rsid w:val="005F75B5"/>
    <w:rsid w:val="006000EC"/>
    <w:rsid w:val="00600204"/>
    <w:rsid w:val="00600D1D"/>
    <w:rsid w:val="00601882"/>
    <w:rsid w:val="00602060"/>
    <w:rsid w:val="006023EE"/>
    <w:rsid w:val="00603888"/>
    <w:rsid w:val="00603C41"/>
    <w:rsid w:val="00603DDA"/>
    <w:rsid w:val="0060427D"/>
    <w:rsid w:val="00604655"/>
    <w:rsid w:val="006046DA"/>
    <w:rsid w:val="00604BB2"/>
    <w:rsid w:val="0060594B"/>
    <w:rsid w:val="00605E35"/>
    <w:rsid w:val="006060B1"/>
    <w:rsid w:val="0060662B"/>
    <w:rsid w:val="00606D93"/>
    <w:rsid w:val="00607C13"/>
    <w:rsid w:val="00607F71"/>
    <w:rsid w:val="00607FB4"/>
    <w:rsid w:val="006107E0"/>
    <w:rsid w:val="00610843"/>
    <w:rsid w:val="00610884"/>
    <w:rsid w:val="00610BAF"/>
    <w:rsid w:val="0061116D"/>
    <w:rsid w:val="006127F5"/>
    <w:rsid w:val="00612AF5"/>
    <w:rsid w:val="00612C22"/>
    <w:rsid w:val="00612C95"/>
    <w:rsid w:val="006131C0"/>
    <w:rsid w:val="00613B82"/>
    <w:rsid w:val="00614190"/>
    <w:rsid w:val="00614ED6"/>
    <w:rsid w:val="00614F12"/>
    <w:rsid w:val="006151CE"/>
    <w:rsid w:val="00615958"/>
    <w:rsid w:val="00615B38"/>
    <w:rsid w:val="00615DC8"/>
    <w:rsid w:val="00616042"/>
    <w:rsid w:val="00616252"/>
    <w:rsid w:val="0061676A"/>
    <w:rsid w:val="0061683B"/>
    <w:rsid w:val="006168E6"/>
    <w:rsid w:val="00616CD5"/>
    <w:rsid w:val="006171B4"/>
    <w:rsid w:val="00617C1B"/>
    <w:rsid w:val="00617D28"/>
    <w:rsid w:val="00617F07"/>
    <w:rsid w:val="00617FCD"/>
    <w:rsid w:val="0062075A"/>
    <w:rsid w:val="00620A84"/>
    <w:rsid w:val="0062145A"/>
    <w:rsid w:val="00621BA6"/>
    <w:rsid w:val="00621E4B"/>
    <w:rsid w:val="00622207"/>
    <w:rsid w:val="00622924"/>
    <w:rsid w:val="00623C0E"/>
    <w:rsid w:val="00623D5C"/>
    <w:rsid w:val="006245D2"/>
    <w:rsid w:val="006253C0"/>
    <w:rsid w:val="006254D7"/>
    <w:rsid w:val="0062576C"/>
    <w:rsid w:val="00625E2E"/>
    <w:rsid w:val="00625FA2"/>
    <w:rsid w:val="00626086"/>
    <w:rsid w:val="006262AE"/>
    <w:rsid w:val="00626D08"/>
    <w:rsid w:val="00626D3B"/>
    <w:rsid w:val="00626F38"/>
    <w:rsid w:val="00626F78"/>
    <w:rsid w:val="0062750A"/>
    <w:rsid w:val="006275BD"/>
    <w:rsid w:val="006279F4"/>
    <w:rsid w:val="00627ED5"/>
    <w:rsid w:val="00630CC5"/>
    <w:rsid w:val="006312F8"/>
    <w:rsid w:val="006319B6"/>
    <w:rsid w:val="006321C5"/>
    <w:rsid w:val="0063252B"/>
    <w:rsid w:val="00632853"/>
    <w:rsid w:val="006328C9"/>
    <w:rsid w:val="00632BCD"/>
    <w:rsid w:val="00632C18"/>
    <w:rsid w:val="00632E09"/>
    <w:rsid w:val="006346DF"/>
    <w:rsid w:val="0063555F"/>
    <w:rsid w:val="006356F3"/>
    <w:rsid w:val="00635A34"/>
    <w:rsid w:val="0063638D"/>
    <w:rsid w:val="00636938"/>
    <w:rsid w:val="0063702F"/>
    <w:rsid w:val="00637507"/>
    <w:rsid w:val="00637586"/>
    <w:rsid w:val="006376D4"/>
    <w:rsid w:val="00637F03"/>
    <w:rsid w:val="00640596"/>
    <w:rsid w:val="006407D5"/>
    <w:rsid w:val="0064159C"/>
    <w:rsid w:val="0064167B"/>
    <w:rsid w:val="0064190D"/>
    <w:rsid w:val="00641DB0"/>
    <w:rsid w:val="006421ED"/>
    <w:rsid w:val="00642487"/>
    <w:rsid w:val="00642533"/>
    <w:rsid w:val="00642623"/>
    <w:rsid w:val="00642D7B"/>
    <w:rsid w:val="00642F73"/>
    <w:rsid w:val="0064300C"/>
    <w:rsid w:val="006435B1"/>
    <w:rsid w:val="006436ED"/>
    <w:rsid w:val="00643CFC"/>
    <w:rsid w:val="00643DFE"/>
    <w:rsid w:val="00644A16"/>
    <w:rsid w:val="00644B1E"/>
    <w:rsid w:val="00645125"/>
    <w:rsid w:val="00645355"/>
    <w:rsid w:val="0064538E"/>
    <w:rsid w:val="00645E9C"/>
    <w:rsid w:val="006461DC"/>
    <w:rsid w:val="00647441"/>
    <w:rsid w:val="00647BA6"/>
    <w:rsid w:val="00647F9F"/>
    <w:rsid w:val="00650232"/>
    <w:rsid w:val="006506CD"/>
    <w:rsid w:val="0065078A"/>
    <w:rsid w:val="00650FCA"/>
    <w:rsid w:val="0065171B"/>
    <w:rsid w:val="00651CF8"/>
    <w:rsid w:val="00651E65"/>
    <w:rsid w:val="00651F4F"/>
    <w:rsid w:val="00651F63"/>
    <w:rsid w:val="006525D6"/>
    <w:rsid w:val="00652D50"/>
    <w:rsid w:val="006533ED"/>
    <w:rsid w:val="00653544"/>
    <w:rsid w:val="006535DB"/>
    <w:rsid w:val="0065365D"/>
    <w:rsid w:val="00653719"/>
    <w:rsid w:val="006538A0"/>
    <w:rsid w:val="00653F53"/>
    <w:rsid w:val="00654AD6"/>
    <w:rsid w:val="00655015"/>
    <w:rsid w:val="006554D3"/>
    <w:rsid w:val="006557AE"/>
    <w:rsid w:val="00655811"/>
    <w:rsid w:val="006558A5"/>
    <w:rsid w:val="00655FBC"/>
    <w:rsid w:val="00656279"/>
    <w:rsid w:val="006563D5"/>
    <w:rsid w:val="0065696F"/>
    <w:rsid w:val="0065712E"/>
    <w:rsid w:val="0065722A"/>
    <w:rsid w:val="006577F5"/>
    <w:rsid w:val="00657F8F"/>
    <w:rsid w:val="00660241"/>
    <w:rsid w:val="006621F5"/>
    <w:rsid w:val="00662C28"/>
    <w:rsid w:val="0066304B"/>
    <w:rsid w:val="006637C8"/>
    <w:rsid w:val="00663BB0"/>
    <w:rsid w:val="006649EF"/>
    <w:rsid w:val="00664AAA"/>
    <w:rsid w:val="00664F82"/>
    <w:rsid w:val="0066557C"/>
    <w:rsid w:val="00665B6B"/>
    <w:rsid w:val="006661DE"/>
    <w:rsid w:val="00666330"/>
    <w:rsid w:val="006664B6"/>
    <w:rsid w:val="006669B4"/>
    <w:rsid w:val="0066702E"/>
    <w:rsid w:val="006677BC"/>
    <w:rsid w:val="0066798A"/>
    <w:rsid w:val="00667BBF"/>
    <w:rsid w:val="0067016F"/>
    <w:rsid w:val="0067110C"/>
    <w:rsid w:val="00671147"/>
    <w:rsid w:val="0067121B"/>
    <w:rsid w:val="0067187E"/>
    <w:rsid w:val="0067260F"/>
    <w:rsid w:val="006729AC"/>
    <w:rsid w:val="00672B26"/>
    <w:rsid w:val="00672ED8"/>
    <w:rsid w:val="00673AF5"/>
    <w:rsid w:val="00674219"/>
    <w:rsid w:val="00674B1A"/>
    <w:rsid w:val="00674F03"/>
    <w:rsid w:val="00675D50"/>
    <w:rsid w:val="00676779"/>
    <w:rsid w:val="00676842"/>
    <w:rsid w:val="00676E19"/>
    <w:rsid w:val="0067702A"/>
    <w:rsid w:val="00677448"/>
    <w:rsid w:val="00677B0C"/>
    <w:rsid w:val="00677FD3"/>
    <w:rsid w:val="0068006F"/>
    <w:rsid w:val="00680287"/>
    <w:rsid w:val="006807A8"/>
    <w:rsid w:val="00680A23"/>
    <w:rsid w:val="0068147E"/>
    <w:rsid w:val="00681A74"/>
    <w:rsid w:val="006821B6"/>
    <w:rsid w:val="00682C85"/>
    <w:rsid w:val="00683E2D"/>
    <w:rsid w:val="00684245"/>
    <w:rsid w:val="0068463F"/>
    <w:rsid w:val="0068480E"/>
    <w:rsid w:val="00684C24"/>
    <w:rsid w:val="00684DA9"/>
    <w:rsid w:val="00685DA3"/>
    <w:rsid w:val="00685ED3"/>
    <w:rsid w:val="0068683B"/>
    <w:rsid w:val="00686F39"/>
    <w:rsid w:val="00686FAC"/>
    <w:rsid w:val="0069031C"/>
    <w:rsid w:val="00690394"/>
    <w:rsid w:val="00690670"/>
    <w:rsid w:val="0069083B"/>
    <w:rsid w:val="00690A11"/>
    <w:rsid w:val="006917FF"/>
    <w:rsid w:val="00691B33"/>
    <w:rsid w:val="00692072"/>
    <w:rsid w:val="0069241C"/>
    <w:rsid w:val="00692B46"/>
    <w:rsid w:val="00692E93"/>
    <w:rsid w:val="006931FA"/>
    <w:rsid w:val="0069342E"/>
    <w:rsid w:val="0069382F"/>
    <w:rsid w:val="00694004"/>
    <w:rsid w:val="00694675"/>
    <w:rsid w:val="006946DE"/>
    <w:rsid w:val="00695495"/>
    <w:rsid w:val="00695846"/>
    <w:rsid w:val="00695859"/>
    <w:rsid w:val="00696519"/>
    <w:rsid w:val="00696EC2"/>
    <w:rsid w:val="006A0014"/>
    <w:rsid w:val="006A0691"/>
    <w:rsid w:val="006A07D6"/>
    <w:rsid w:val="006A1159"/>
    <w:rsid w:val="006A1395"/>
    <w:rsid w:val="006A15C1"/>
    <w:rsid w:val="006A19EA"/>
    <w:rsid w:val="006A1D0B"/>
    <w:rsid w:val="006A1E60"/>
    <w:rsid w:val="006A2612"/>
    <w:rsid w:val="006A2689"/>
    <w:rsid w:val="006A37D7"/>
    <w:rsid w:val="006A3934"/>
    <w:rsid w:val="006A3DA2"/>
    <w:rsid w:val="006A402D"/>
    <w:rsid w:val="006A4088"/>
    <w:rsid w:val="006A452B"/>
    <w:rsid w:val="006A4A47"/>
    <w:rsid w:val="006A4E43"/>
    <w:rsid w:val="006A4F8A"/>
    <w:rsid w:val="006A6092"/>
    <w:rsid w:val="006A6699"/>
    <w:rsid w:val="006A66A4"/>
    <w:rsid w:val="006A6A30"/>
    <w:rsid w:val="006A6B5E"/>
    <w:rsid w:val="006A7149"/>
    <w:rsid w:val="006A78C3"/>
    <w:rsid w:val="006A7AE4"/>
    <w:rsid w:val="006B0360"/>
    <w:rsid w:val="006B03B7"/>
    <w:rsid w:val="006B08BC"/>
    <w:rsid w:val="006B226F"/>
    <w:rsid w:val="006B234D"/>
    <w:rsid w:val="006B3055"/>
    <w:rsid w:val="006B3C9D"/>
    <w:rsid w:val="006B3EC2"/>
    <w:rsid w:val="006B480A"/>
    <w:rsid w:val="006B49A2"/>
    <w:rsid w:val="006B69E0"/>
    <w:rsid w:val="006B76FD"/>
    <w:rsid w:val="006B7754"/>
    <w:rsid w:val="006B7B16"/>
    <w:rsid w:val="006C06A9"/>
    <w:rsid w:val="006C08B6"/>
    <w:rsid w:val="006C09ED"/>
    <w:rsid w:val="006C0B6A"/>
    <w:rsid w:val="006C0F0B"/>
    <w:rsid w:val="006C11D6"/>
    <w:rsid w:val="006C18EA"/>
    <w:rsid w:val="006C1A94"/>
    <w:rsid w:val="006C1EA8"/>
    <w:rsid w:val="006C2586"/>
    <w:rsid w:val="006C3A46"/>
    <w:rsid w:val="006C3B8F"/>
    <w:rsid w:val="006C451F"/>
    <w:rsid w:val="006C4A03"/>
    <w:rsid w:val="006C5290"/>
    <w:rsid w:val="006C5ACE"/>
    <w:rsid w:val="006C6854"/>
    <w:rsid w:val="006C6BFC"/>
    <w:rsid w:val="006C6DD5"/>
    <w:rsid w:val="006C70A5"/>
    <w:rsid w:val="006C7354"/>
    <w:rsid w:val="006C788A"/>
    <w:rsid w:val="006C7DB3"/>
    <w:rsid w:val="006D006B"/>
    <w:rsid w:val="006D029D"/>
    <w:rsid w:val="006D09FB"/>
    <w:rsid w:val="006D12CA"/>
    <w:rsid w:val="006D1F89"/>
    <w:rsid w:val="006D2486"/>
    <w:rsid w:val="006D381C"/>
    <w:rsid w:val="006D3CB5"/>
    <w:rsid w:val="006D3DAF"/>
    <w:rsid w:val="006D40EA"/>
    <w:rsid w:val="006D487D"/>
    <w:rsid w:val="006D496B"/>
    <w:rsid w:val="006D5278"/>
    <w:rsid w:val="006D5563"/>
    <w:rsid w:val="006D563A"/>
    <w:rsid w:val="006D582C"/>
    <w:rsid w:val="006D5B7D"/>
    <w:rsid w:val="006D5BEC"/>
    <w:rsid w:val="006D6019"/>
    <w:rsid w:val="006D6252"/>
    <w:rsid w:val="006D62D4"/>
    <w:rsid w:val="006D67FF"/>
    <w:rsid w:val="006D7420"/>
    <w:rsid w:val="006D7BFE"/>
    <w:rsid w:val="006D7D5C"/>
    <w:rsid w:val="006E007B"/>
    <w:rsid w:val="006E067B"/>
    <w:rsid w:val="006E07BD"/>
    <w:rsid w:val="006E0BB4"/>
    <w:rsid w:val="006E149D"/>
    <w:rsid w:val="006E16D7"/>
    <w:rsid w:val="006E1EBD"/>
    <w:rsid w:val="006E20CE"/>
    <w:rsid w:val="006E2371"/>
    <w:rsid w:val="006E25B4"/>
    <w:rsid w:val="006E2B18"/>
    <w:rsid w:val="006E31A2"/>
    <w:rsid w:val="006E36D8"/>
    <w:rsid w:val="006E39AE"/>
    <w:rsid w:val="006E39B0"/>
    <w:rsid w:val="006E3BF6"/>
    <w:rsid w:val="006E3DC6"/>
    <w:rsid w:val="006E3FA2"/>
    <w:rsid w:val="006E45CF"/>
    <w:rsid w:val="006E5248"/>
    <w:rsid w:val="006E58BC"/>
    <w:rsid w:val="006E6699"/>
    <w:rsid w:val="006E6A39"/>
    <w:rsid w:val="006E6C00"/>
    <w:rsid w:val="006E707C"/>
    <w:rsid w:val="006E7105"/>
    <w:rsid w:val="006E7259"/>
    <w:rsid w:val="006E7718"/>
    <w:rsid w:val="006F0D46"/>
    <w:rsid w:val="006F0FC8"/>
    <w:rsid w:val="006F102A"/>
    <w:rsid w:val="006F13B9"/>
    <w:rsid w:val="006F18C7"/>
    <w:rsid w:val="006F1DAC"/>
    <w:rsid w:val="006F24FC"/>
    <w:rsid w:val="006F2C87"/>
    <w:rsid w:val="006F2F29"/>
    <w:rsid w:val="006F2F83"/>
    <w:rsid w:val="006F2F8B"/>
    <w:rsid w:val="006F2FB6"/>
    <w:rsid w:val="006F3088"/>
    <w:rsid w:val="006F4337"/>
    <w:rsid w:val="006F437E"/>
    <w:rsid w:val="006F45D7"/>
    <w:rsid w:val="006F4707"/>
    <w:rsid w:val="006F4BA0"/>
    <w:rsid w:val="006F4BA7"/>
    <w:rsid w:val="006F54E2"/>
    <w:rsid w:val="006F557A"/>
    <w:rsid w:val="006F5855"/>
    <w:rsid w:val="006F5D9F"/>
    <w:rsid w:val="006F69E7"/>
    <w:rsid w:val="006F7A86"/>
    <w:rsid w:val="00700C80"/>
    <w:rsid w:val="00700DBA"/>
    <w:rsid w:val="00700FB0"/>
    <w:rsid w:val="00701B9C"/>
    <w:rsid w:val="00701C7F"/>
    <w:rsid w:val="0070224C"/>
    <w:rsid w:val="00702280"/>
    <w:rsid w:val="007023DA"/>
    <w:rsid w:val="007023FC"/>
    <w:rsid w:val="007028A5"/>
    <w:rsid w:val="00702ABF"/>
    <w:rsid w:val="00702E6A"/>
    <w:rsid w:val="0070311B"/>
    <w:rsid w:val="00703304"/>
    <w:rsid w:val="007033DE"/>
    <w:rsid w:val="00703DF0"/>
    <w:rsid w:val="00703E2A"/>
    <w:rsid w:val="00703EFF"/>
    <w:rsid w:val="00704157"/>
    <w:rsid w:val="0070438F"/>
    <w:rsid w:val="00704567"/>
    <w:rsid w:val="00704FA6"/>
    <w:rsid w:val="007058A5"/>
    <w:rsid w:val="007059B7"/>
    <w:rsid w:val="00705C12"/>
    <w:rsid w:val="00705D10"/>
    <w:rsid w:val="00706998"/>
    <w:rsid w:val="00706DEA"/>
    <w:rsid w:val="0070793D"/>
    <w:rsid w:val="00707F35"/>
    <w:rsid w:val="00710684"/>
    <w:rsid w:val="00710A94"/>
    <w:rsid w:val="00710DAF"/>
    <w:rsid w:val="00711028"/>
    <w:rsid w:val="00711189"/>
    <w:rsid w:val="007118DD"/>
    <w:rsid w:val="00711968"/>
    <w:rsid w:val="00711ABC"/>
    <w:rsid w:val="00712674"/>
    <w:rsid w:val="00712CA8"/>
    <w:rsid w:val="00712DE6"/>
    <w:rsid w:val="00713719"/>
    <w:rsid w:val="007138FA"/>
    <w:rsid w:val="00713A4B"/>
    <w:rsid w:val="00713D44"/>
    <w:rsid w:val="007145B3"/>
    <w:rsid w:val="0071466C"/>
    <w:rsid w:val="007146F3"/>
    <w:rsid w:val="0071588E"/>
    <w:rsid w:val="00715984"/>
    <w:rsid w:val="00715FA6"/>
    <w:rsid w:val="0071777C"/>
    <w:rsid w:val="0071777F"/>
    <w:rsid w:val="007177AF"/>
    <w:rsid w:val="0071788E"/>
    <w:rsid w:val="007178C1"/>
    <w:rsid w:val="007179A9"/>
    <w:rsid w:val="007179DF"/>
    <w:rsid w:val="00717A7B"/>
    <w:rsid w:val="007224D3"/>
    <w:rsid w:val="007224ED"/>
    <w:rsid w:val="0072293A"/>
    <w:rsid w:val="00722A43"/>
    <w:rsid w:val="00722CFF"/>
    <w:rsid w:val="00722E3F"/>
    <w:rsid w:val="007235B4"/>
    <w:rsid w:val="007237EE"/>
    <w:rsid w:val="00723A67"/>
    <w:rsid w:val="00723B53"/>
    <w:rsid w:val="00723DFB"/>
    <w:rsid w:val="00723F34"/>
    <w:rsid w:val="00724E60"/>
    <w:rsid w:val="007257AE"/>
    <w:rsid w:val="00725898"/>
    <w:rsid w:val="00725926"/>
    <w:rsid w:val="00726190"/>
    <w:rsid w:val="0072646C"/>
    <w:rsid w:val="007266A7"/>
    <w:rsid w:val="00726AEC"/>
    <w:rsid w:val="00726B88"/>
    <w:rsid w:val="00726DB5"/>
    <w:rsid w:val="007276BD"/>
    <w:rsid w:val="0072779A"/>
    <w:rsid w:val="007277AE"/>
    <w:rsid w:val="00727D69"/>
    <w:rsid w:val="00727DF2"/>
    <w:rsid w:val="00730241"/>
    <w:rsid w:val="0073042F"/>
    <w:rsid w:val="0073081F"/>
    <w:rsid w:val="00731472"/>
    <w:rsid w:val="00732271"/>
    <w:rsid w:val="00732448"/>
    <w:rsid w:val="0073259E"/>
    <w:rsid w:val="007326FC"/>
    <w:rsid w:val="00732A4D"/>
    <w:rsid w:val="00734520"/>
    <w:rsid w:val="007355A5"/>
    <w:rsid w:val="00735832"/>
    <w:rsid w:val="00735935"/>
    <w:rsid w:val="00735A11"/>
    <w:rsid w:val="00735C55"/>
    <w:rsid w:val="00735DDA"/>
    <w:rsid w:val="0073612F"/>
    <w:rsid w:val="0073621F"/>
    <w:rsid w:val="007376C0"/>
    <w:rsid w:val="007379EB"/>
    <w:rsid w:val="00740045"/>
    <w:rsid w:val="007404C7"/>
    <w:rsid w:val="007405CD"/>
    <w:rsid w:val="00740E85"/>
    <w:rsid w:val="00741699"/>
    <w:rsid w:val="00741C6D"/>
    <w:rsid w:val="00741CF4"/>
    <w:rsid w:val="00741F70"/>
    <w:rsid w:val="0074236B"/>
    <w:rsid w:val="00742F2A"/>
    <w:rsid w:val="007434D7"/>
    <w:rsid w:val="00743752"/>
    <w:rsid w:val="007437A4"/>
    <w:rsid w:val="00743AF1"/>
    <w:rsid w:val="00744A44"/>
    <w:rsid w:val="00744E74"/>
    <w:rsid w:val="00745F5D"/>
    <w:rsid w:val="00746451"/>
    <w:rsid w:val="007469D1"/>
    <w:rsid w:val="00746F97"/>
    <w:rsid w:val="007470A6"/>
    <w:rsid w:val="007472D3"/>
    <w:rsid w:val="00747393"/>
    <w:rsid w:val="00747759"/>
    <w:rsid w:val="00747972"/>
    <w:rsid w:val="00747989"/>
    <w:rsid w:val="00747C6A"/>
    <w:rsid w:val="00750183"/>
    <w:rsid w:val="00750209"/>
    <w:rsid w:val="00750753"/>
    <w:rsid w:val="00750B8B"/>
    <w:rsid w:val="00750E58"/>
    <w:rsid w:val="007517CC"/>
    <w:rsid w:val="00751F70"/>
    <w:rsid w:val="0075218F"/>
    <w:rsid w:val="00752258"/>
    <w:rsid w:val="00752539"/>
    <w:rsid w:val="0075298F"/>
    <w:rsid w:val="00752D40"/>
    <w:rsid w:val="00752ECB"/>
    <w:rsid w:val="00753357"/>
    <w:rsid w:val="007535D4"/>
    <w:rsid w:val="00753D74"/>
    <w:rsid w:val="0075402B"/>
    <w:rsid w:val="00754073"/>
    <w:rsid w:val="0075439B"/>
    <w:rsid w:val="007543EB"/>
    <w:rsid w:val="00754660"/>
    <w:rsid w:val="0075498A"/>
    <w:rsid w:val="00754DF9"/>
    <w:rsid w:val="0075588A"/>
    <w:rsid w:val="0075657D"/>
    <w:rsid w:val="00756789"/>
    <w:rsid w:val="0075684B"/>
    <w:rsid w:val="0075769E"/>
    <w:rsid w:val="007576DA"/>
    <w:rsid w:val="00757ABC"/>
    <w:rsid w:val="00757AE1"/>
    <w:rsid w:val="00757C05"/>
    <w:rsid w:val="00757CB6"/>
    <w:rsid w:val="00760041"/>
    <w:rsid w:val="00760B71"/>
    <w:rsid w:val="00761B7D"/>
    <w:rsid w:val="00761FF6"/>
    <w:rsid w:val="00762173"/>
    <w:rsid w:val="007629BE"/>
    <w:rsid w:val="00762DF9"/>
    <w:rsid w:val="00762EAB"/>
    <w:rsid w:val="00763105"/>
    <w:rsid w:val="00763219"/>
    <w:rsid w:val="00763DDA"/>
    <w:rsid w:val="007644F7"/>
    <w:rsid w:val="00764859"/>
    <w:rsid w:val="00764AC3"/>
    <w:rsid w:val="00764B48"/>
    <w:rsid w:val="007651CD"/>
    <w:rsid w:val="00765482"/>
    <w:rsid w:val="00765DE2"/>
    <w:rsid w:val="00766259"/>
    <w:rsid w:val="007662A0"/>
    <w:rsid w:val="0076649E"/>
    <w:rsid w:val="007664E7"/>
    <w:rsid w:val="00766B48"/>
    <w:rsid w:val="0076725D"/>
    <w:rsid w:val="0077021C"/>
    <w:rsid w:val="007704F5"/>
    <w:rsid w:val="00770C22"/>
    <w:rsid w:val="00771332"/>
    <w:rsid w:val="0077148C"/>
    <w:rsid w:val="007714EA"/>
    <w:rsid w:val="00771585"/>
    <w:rsid w:val="007716E0"/>
    <w:rsid w:val="00771898"/>
    <w:rsid w:val="007720E2"/>
    <w:rsid w:val="00772463"/>
    <w:rsid w:val="007728B1"/>
    <w:rsid w:val="00773567"/>
    <w:rsid w:val="0077391B"/>
    <w:rsid w:val="00773B80"/>
    <w:rsid w:val="007742D0"/>
    <w:rsid w:val="00774535"/>
    <w:rsid w:val="00774E41"/>
    <w:rsid w:val="00775276"/>
    <w:rsid w:val="007752B5"/>
    <w:rsid w:val="007753B3"/>
    <w:rsid w:val="00775441"/>
    <w:rsid w:val="0077614B"/>
    <w:rsid w:val="0077644A"/>
    <w:rsid w:val="00776CF5"/>
    <w:rsid w:val="00776E39"/>
    <w:rsid w:val="00776E61"/>
    <w:rsid w:val="00776EA0"/>
    <w:rsid w:val="00776EEA"/>
    <w:rsid w:val="007770F6"/>
    <w:rsid w:val="00777356"/>
    <w:rsid w:val="00777513"/>
    <w:rsid w:val="00777FED"/>
    <w:rsid w:val="0078055B"/>
    <w:rsid w:val="007805A6"/>
    <w:rsid w:val="00780DC4"/>
    <w:rsid w:val="00780F64"/>
    <w:rsid w:val="007816EA"/>
    <w:rsid w:val="007818E1"/>
    <w:rsid w:val="00781B17"/>
    <w:rsid w:val="00781ECD"/>
    <w:rsid w:val="0078279A"/>
    <w:rsid w:val="00782CF9"/>
    <w:rsid w:val="00782F7E"/>
    <w:rsid w:val="007831EC"/>
    <w:rsid w:val="007836F4"/>
    <w:rsid w:val="00783D39"/>
    <w:rsid w:val="00784172"/>
    <w:rsid w:val="0078469B"/>
    <w:rsid w:val="007847EE"/>
    <w:rsid w:val="00784CE4"/>
    <w:rsid w:val="00785447"/>
    <w:rsid w:val="00785572"/>
    <w:rsid w:val="0078579D"/>
    <w:rsid w:val="00785DB4"/>
    <w:rsid w:val="00785DDF"/>
    <w:rsid w:val="00785F43"/>
    <w:rsid w:val="00786124"/>
    <w:rsid w:val="007862A8"/>
    <w:rsid w:val="00786CA9"/>
    <w:rsid w:val="007870A5"/>
    <w:rsid w:val="0078724D"/>
    <w:rsid w:val="00787424"/>
    <w:rsid w:val="00787582"/>
    <w:rsid w:val="00787E5C"/>
    <w:rsid w:val="007903F7"/>
    <w:rsid w:val="00792E3F"/>
    <w:rsid w:val="0079355E"/>
    <w:rsid w:val="00793B4C"/>
    <w:rsid w:val="00793DB4"/>
    <w:rsid w:val="00793F6E"/>
    <w:rsid w:val="007949E2"/>
    <w:rsid w:val="00794ABE"/>
    <w:rsid w:val="00794B17"/>
    <w:rsid w:val="00794F30"/>
    <w:rsid w:val="0079576D"/>
    <w:rsid w:val="00795BB9"/>
    <w:rsid w:val="007968E8"/>
    <w:rsid w:val="007972F4"/>
    <w:rsid w:val="00797423"/>
    <w:rsid w:val="0079748F"/>
    <w:rsid w:val="007976C3"/>
    <w:rsid w:val="00797979"/>
    <w:rsid w:val="00797B7A"/>
    <w:rsid w:val="007A007D"/>
    <w:rsid w:val="007A081D"/>
    <w:rsid w:val="007A09FC"/>
    <w:rsid w:val="007A0DD2"/>
    <w:rsid w:val="007A0E07"/>
    <w:rsid w:val="007A11E3"/>
    <w:rsid w:val="007A11E5"/>
    <w:rsid w:val="007A134E"/>
    <w:rsid w:val="007A2D35"/>
    <w:rsid w:val="007A3BCA"/>
    <w:rsid w:val="007A3C39"/>
    <w:rsid w:val="007A3FD4"/>
    <w:rsid w:val="007A4683"/>
    <w:rsid w:val="007A5279"/>
    <w:rsid w:val="007A5311"/>
    <w:rsid w:val="007A54C7"/>
    <w:rsid w:val="007A5764"/>
    <w:rsid w:val="007A5BD8"/>
    <w:rsid w:val="007A5D19"/>
    <w:rsid w:val="007A5EFA"/>
    <w:rsid w:val="007A607F"/>
    <w:rsid w:val="007A66FD"/>
    <w:rsid w:val="007A674E"/>
    <w:rsid w:val="007A6EF9"/>
    <w:rsid w:val="007A6F32"/>
    <w:rsid w:val="007A7282"/>
    <w:rsid w:val="007B0121"/>
    <w:rsid w:val="007B01BE"/>
    <w:rsid w:val="007B04E6"/>
    <w:rsid w:val="007B05C0"/>
    <w:rsid w:val="007B0BAB"/>
    <w:rsid w:val="007B0E25"/>
    <w:rsid w:val="007B1C8D"/>
    <w:rsid w:val="007B1EC7"/>
    <w:rsid w:val="007B1ED5"/>
    <w:rsid w:val="007B2050"/>
    <w:rsid w:val="007B2544"/>
    <w:rsid w:val="007B26A6"/>
    <w:rsid w:val="007B2965"/>
    <w:rsid w:val="007B2C56"/>
    <w:rsid w:val="007B332C"/>
    <w:rsid w:val="007B35D0"/>
    <w:rsid w:val="007B3A22"/>
    <w:rsid w:val="007B4082"/>
    <w:rsid w:val="007B4197"/>
    <w:rsid w:val="007B4504"/>
    <w:rsid w:val="007B4606"/>
    <w:rsid w:val="007B4B30"/>
    <w:rsid w:val="007B5787"/>
    <w:rsid w:val="007B578F"/>
    <w:rsid w:val="007B60A7"/>
    <w:rsid w:val="007B6F0C"/>
    <w:rsid w:val="007B73DE"/>
    <w:rsid w:val="007B7917"/>
    <w:rsid w:val="007B7AB2"/>
    <w:rsid w:val="007B7E02"/>
    <w:rsid w:val="007C1398"/>
    <w:rsid w:val="007C16C6"/>
    <w:rsid w:val="007C19A7"/>
    <w:rsid w:val="007C1EAD"/>
    <w:rsid w:val="007C1F0D"/>
    <w:rsid w:val="007C1F19"/>
    <w:rsid w:val="007C25F4"/>
    <w:rsid w:val="007C27FD"/>
    <w:rsid w:val="007C2FE2"/>
    <w:rsid w:val="007C3973"/>
    <w:rsid w:val="007C3E4A"/>
    <w:rsid w:val="007C4820"/>
    <w:rsid w:val="007C4842"/>
    <w:rsid w:val="007C57ED"/>
    <w:rsid w:val="007C5E4D"/>
    <w:rsid w:val="007C635D"/>
    <w:rsid w:val="007C650D"/>
    <w:rsid w:val="007C677A"/>
    <w:rsid w:val="007C6AF0"/>
    <w:rsid w:val="007C6DAA"/>
    <w:rsid w:val="007C6E5B"/>
    <w:rsid w:val="007C7218"/>
    <w:rsid w:val="007C7777"/>
    <w:rsid w:val="007C7BD3"/>
    <w:rsid w:val="007C7DD9"/>
    <w:rsid w:val="007D02DD"/>
    <w:rsid w:val="007D057B"/>
    <w:rsid w:val="007D06C1"/>
    <w:rsid w:val="007D07B7"/>
    <w:rsid w:val="007D0B06"/>
    <w:rsid w:val="007D0DDE"/>
    <w:rsid w:val="007D10EC"/>
    <w:rsid w:val="007D2454"/>
    <w:rsid w:val="007D2AA5"/>
    <w:rsid w:val="007D3337"/>
    <w:rsid w:val="007D341F"/>
    <w:rsid w:val="007D353C"/>
    <w:rsid w:val="007D3744"/>
    <w:rsid w:val="007D37B6"/>
    <w:rsid w:val="007D3C24"/>
    <w:rsid w:val="007D4012"/>
    <w:rsid w:val="007D4247"/>
    <w:rsid w:val="007D4561"/>
    <w:rsid w:val="007D4948"/>
    <w:rsid w:val="007D4E7E"/>
    <w:rsid w:val="007D55BC"/>
    <w:rsid w:val="007D5BC8"/>
    <w:rsid w:val="007D5C55"/>
    <w:rsid w:val="007D5D35"/>
    <w:rsid w:val="007D621E"/>
    <w:rsid w:val="007D62F6"/>
    <w:rsid w:val="007D6349"/>
    <w:rsid w:val="007D6420"/>
    <w:rsid w:val="007D66F9"/>
    <w:rsid w:val="007D69A8"/>
    <w:rsid w:val="007D6D8E"/>
    <w:rsid w:val="007D70EA"/>
    <w:rsid w:val="007D731D"/>
    <w:rsid w:val="007D7372"/>
    <w:rsid w:val="007D7A49"/>
    <w:rsid w:val="007D7C06"/>
    <w:rsid w:val="007D7D6D"/>
    <w:rsid w:val="007E02C6"/>
    <w:rsid w:val="007E0C6E"/>
    <w:rsid w:val="007E0F0D"/>
    <w:rsid w:val="007E146D"/>
    <w:rsid w:val="007E158E"/>
    <w:rsid w:val="007E1AA0"/>
    <w:rsid w:val="007E20F1"/>
    <w:rsid w:val="007E2616"/>
    <w:rsid w:val="007E36B6"/>
    <w:rsid w:val="007E37CA"/>
    <w:rsid w:val="007E3A81"/>
    <w:rsid w:val="007E3D75"/>
    <w:rsid w:val="007E3FE6"/>
    <w:rsid w:val="007E41D1"/>
    <w:rsid w:val="007E4F66"/>
    <w:rsid w:val="007E51E8"/>
    <w:rsid w:val="007E5215"/>
    <w:rsid w:val="007E5451"/>
    <w:rsid w:val="007E5E57"/>
    <w:rsid w:val="007E7148"/>
    <w:rsid w:val="007E728D"/>
    <w:rsid w:val="007E74E0"/>
    <w:rsid w:val="007E7601"/>
    <w:rsid w:val="007E7BDE"/>
    <w:rsid w:val="007F0619"/>
    <w:rsid w:val="007F0644"/>
    <w:rsid w:val="007F0B0B"/>
    <w:rsid w:val="007F1198"/>
    <w:rsid w:val="007F2182"/>
    <w:rsid w:val="007F2303"/>
    <w:rsid w:val="007F2907"/>
    <w:rsid w:val="007F29D0"/>
    <w:rsid w:val="007F37EE"/>
    <w:rsid w:val="007F3C6F"/>
    <w:rsid w:val="007F45F9"/>
    <w:rsid w:val="007F4865"/>
    <w:rsid w:val="007F4A99"/>
    <w:rsid w:val="007F4B53"/>
    <w:rsid w:val="007F559E"/>
    <w:rsid w:val="007F5E90"/>
    <w:rsid w:val="007F658F"/>
    <w:rsid w:val="007F6A99"/>
    <w:rsid w:val="007F7ED8"/>
    <w:rsid w:val="008000BD"/>
    <w:rsid w:val="008009BB"/>
    <w:rsid w:val="00801292"/>
    <w:rsid w:val="00801EEC"/>
    <w:rsid w:val="008021DF"/>
    <w:rsid w:val="008021F7"/>
    <w:rsid w:val="0080274B"/>
    <w:rsid w:val="00803462"/>
    <w:rsid w:val="008043E5"/>
    <w:rsid w:val="008044CC"/>
    <w:rsid w:val="00804A5B"/>
    <w:rsid w:val="00804C09"/>
    <w:rsid w:val="00806250"/>
    <w:rsid w:val="008063E3"/>
    <w:rsid w:val="0080664B"/>
    <w:rsid w:val="00807C07"/>
    <w:rsid w:val="00807D88"/>
    <w:rsid w:val="00807FA7"/>
    <w:rsid w:val="008100B8"/>
    <w:rsid w:val="008106BA"/>
    <w:rsid w:val="00810AF5"/>
    <w:rsid w:val="00810E32"/>
    <w:rsid w:val="00811229"/>
    <w:rsid w:val="008121BA"/>
    <w:rsid w:val="00812A4F"/>
    <w:rsid w:val="00812B36"/>
    <w:rsid w:val="00812D81"/>
    <w:rsid w:val="008131FC"/>
    <w:rsid w:val="00813F6E"/>
    <w:rsid w:val="008141FF"/>
    <w:rsid w:val="00814879"/>
    <w:rsid w:val="00815662"/>
    <w:rsid w:val="00815AF2"/>
    <w:rsid w:val="00816C7E"/>
    <w:rsid w:val="00816CFA"/>
    <w:rsid w:val="008175F4"/>
    <w:rsid w:val="00817E43"/>
    <w:rsid w:val="00820595"/>
    <w:rsid w:val="00820890"/>
    <w:rsid w:val="008208A7"/>
    <w:rsid w:val="00820E15"/>
    <w:rsid w:val="0082196A"/>
    <w:rsid w:val="00821C0D"/>
    <w:rsid w:val="008226DB"/>
    <w:rsid w:val="0082315B"/>
    <w:rsid w:val="00823170"/>
    <w:rsid w:val="0082359C"/>
    <w:rsid w:val="00823D4D"/>
    <w:rsid w:val="008242E5"/>
    <w:rsid w:val="00825107"/>
    <w:rsid w:val="008257E8"/>
    <w:rsid w:val="00825C08"/>
    <w:rsid w:val="00825F4B"/>
    <w:rsid w:val="00825F89"/>
    <w:rsid w:val="00826A9B"/>
    <w:rsid w:val="00826E9E"/>
    <w:rsid w:val="0082727D"/>
    <w:rsid w:val="00827842"/>
    <w:rsid w:val="00827B78"/>
    <w:rsid w:val="00827B9E"/>
    <w:rsid w:val="00827DD1"/>
    <w:rsid w:val="00827DE6"/>
    <w:rsid w:val="008303BF"/>
    <w:rsid w:val="008319BF"/>
    <w:rsid w:val="008325B0"/>
    <w:rsid w:val="00832DD3"/>
    <w:rsid w:val="008332E2"/>
    <w:rsid w:val="0083395E"/>
    <w:rsid w:val="00833A0D"/>
    <w:rsid w:val="008342EB"/>
    <w:rsid w:val="0083475A"/>
    <w:rsid w:val="008348E9"/>
    <w:rsid w:val="00834C0E"/>
    <w:rsid w:val="00835147"/>
    <w:rsid w:val="0083610E"/>
    <w:rsid w:val="008362DC"/>
    <w:rsid w:val="00836512"/>
    <w:rsid w:val="00836855"/>
    <w:rsid w:val="00836D6A"/>
    <w:rsid w:val="00836E6B"/>
    <w:rsid w:val="0083710E"/>
    <w:rsid w:val="0083730F"/>
    <w:rsid w:val="00837704"/>
    <w:rsid w:val="00837A69"/>
    <w:rsid w:val="00837AE1"/>
    <w:rsid w:val="00837CFD"/>
    <w:rsid w:val="00837D02"/>
    <w:rsid w:val="0084072E"/>
    <w:rsid w:val="0084080A"/>
    <w:rsid w:val="00842305"/>
    <w:rsid w:val="008426B3"/>
    <w:rsid w:val="008426D9"/>
    <w:rsid w:val="00842947"/>
    <w:rsid w:val="00842B3F"/>
    <w:rsid w:val="00842E7D"/>
    <w:rsid w:val="0084375E"/>
    <w:rsid w:val="00843EF5"/>
    <w:rsid w:val="00843F28"/>
    <w:rsid w:val="008440E9"/>
    <w:rsid w:val="00844927"/>
    <w:rsid w:val="00844A42"/>
    <w:rsid w:val="00844E6A"/>
    <w:rsid w:val="00844E82"/>
    <w:rsid w:val="0084590D"/>
    <w:rsid w:val="00845B0A"/>
    <w:rsid w:val="00845BBA"/>
    <w:rsid w:val="00845C11"/>
    <w:rsid w:val="00846955"/>
    <w:rsid w:val="00846A1A"/>
    <w:rsid w:val="00846A55"/>
    <w:rsid w:val="00846B9D"/>
    <w:rsid w:val="00846D27"/>
    <w:rsid w:val="00847179"/>
    <w:rsid w:val="0084718C"/>
    <w:rsid w:val="00847479"/>
    <w:rsid w:val="00850434"/>
    <w:rsid w:val="00850737"/>
    <w:rsid w:val="008507D3"/>
    <w:rsid w:val="0085140E"/>
    <w:rsid w:val="008516BF"/>
    <w:rsid w:val="008518D0"/>
    <w:rsid w:val="00851A9F"/>
    <w:rsid w:val="00851F39"/>
    <w:rsid w:val="00852071"/>
    <w:rsid w:val="008526BB"/>
    <w:rsid w:val="0085279D"/>
    <w:rsid w:val="0085285D"/>
    <w:rsid w:val="00852996"/>
    <w:rsid w:val="00852F35"/>
    <w:rsid w:val="00853352"/>
    <w:rsid w:val="00853A44"/>
    <w:rsid w:val="00854547"/>
    <w:rsid w:val="00854BC8"/>
    <w:rsid w:val="00855269"/>
    <w:rsid w:val="008552E5"/>
    <w:rsid w:val="00855EA4"/>
    <w:rsid w:val="00855F55"/>
    <w:rsid w:val="0085616C"/>
    <w:rsid w:val="008565D8"/>
    <w:rsid w:val="00856746"/>
    <w:rsid w:val="00856754"/>
    <w:rsid w:val="00856D73"/>
    <w:rsid w:val="00856F5A"/>
    <w:rsid w:val="0086025B"/>
    <w:rsid w:val="0086053A"/>
    <w:rsid w:val="00860616"/>
    <w:rsid w:val="00860751"/>
    <w:rsid w:val="00861802"/>
    <w:rsid w:val="00861A9E"/>
    <w:rsid w:val="00861B32"/>
    <w:rsid w:val="0086213B"/>
    <w:rsid w:val="008623EB"/>
    <w:rsid w:val="00862B33"/>
    <w:rsid w:val="00862E8D"/>
    <w:rsid w:val="00862FC2"/>
    <w:rsid w:val="00863267"/>
    <w:rsid w:val="0086327C"/>
    <w:rsid w:val="00863544"/>
    <w:rsid w:val="008636B3"/>
    <w:rsid w:val="00864D46"/>
    <w:rsid w:val="0086509D"/>
    <w:rsid w:val="008652D2"/>
    <w:rsid w:val="00865367"/>
    <w:rsid w:val="0086563C"/>
    <w:rsid w:val="008668D4"/>
    <w:rsid w:val="00867324"/>
    <w:rsid w:val="0086736A"/>
    <w:rsid w:val="008673D5"/>
    <w:rsid w:val="008675B7"/>
    <w:rsid w:val="00867D31"/>
    <w:rsid w:val="00867E88"/>
    <w:rsid w:val="00867F18"/>
    <w:rsid w:val="008707E1"/>
    <w:rsid w:val="00870D65"/>
    <w:rsid w:val="00870F7D"/>
    <w:rsid w:val="008711B9"/>
    <w:rsid w:val="0087133C"/>
    <w:rsid w:val="008715EF"/>
    <w:rsid w:val="00871657"/>
    <w:rsid w:val="00871725"/>
    <w:rsid w:val="008717B0"/>
    <w:rsid w:val="0087236A"/>
    <w:rsid w:val="0087294B"/>
    <w:rsid w:val="00873061"/>
    <w:rsid w:val="00873D21"/>
    <w:rsid w:val="00873E2B"/>
    <w:rsid w:val="00873E74"/>
    <w:rsid w:val="00873F3B"/>
    <w:rsid w:val="008740E1"/>
    <w:rsid w:val="00874AB2"/>
    <w:rsid w:val="00875C6C"/>
    <w:rsid w:val="00876200"/>
    <w:rsid w:val="008762C0"/>
    <w:rsid w:val="00877167"/>
    <w:rsid w:val="00877260"/>
    <w:rsid w:val="008800C1"/>
    <w:rsid w:val="00880684"/>
    <w:rsid w:val="00880CA6"/>
    <w:rsid w:val="0088112F"/>
    <w:rsid w:val="0088158F"/>
    <w:rsid w:val="008817D3"/>
    <w:rsid w:val="00881D31"/>
    <w:rsid w:val="00881E9A"/>
    <w:rsid w:val="00883186"/>
    <w:rsid w:val="00883A0A"/>
    <w:rsid w:val="00883F8C"/>
    <w:rsid w:val="0088453B"/>
    <w:rsid w:val="00885011"/>
    <w:rsid w:val="00885805"/>
    <w:rsid w:val="0088602D"/>
    <w:rsid w:val="00886373"/>
    <w:rsid w:val="008863C8"/>
    <w:rsid w:val="008863D8"/>
    <w:rsid w:val="0088645D"/>
    <w:rsid w:val="00886B55"/>
    <w:rsid w:val="00886EDB"/>
    <w:rsid w:val="0088720D"/>
    <w:rsid w:val="008875B3"/>
    <w:rsid w:val="00887619"/>
    <w:rsid w:val="00887DFB"/>
    <w:rsid w:val="0089061B"/>
    <w:rsid w:val="00890DDB"/>
    <w:rsid w:val="008911A7"/>
    <w:rsid w:val="0089232A"/>
    <w:rsid w:val="0089262D"/>
    <w:rsid w:val="00892FDD"/>
    <w:rsid w:val="0089316D"/>
    <w:rsid w:val="008938C8"/>
    <w:rsid w:val="00893E27"/>
    <w:rsid w:val="00893F8E"/>
    <w:rsid w:val="00894380"/>
    <w:rsid w:val="00894473"/>
    <w:rsid w:val="008945EB"/>
    <w:rsid w:val="00894605"/>
    <w:rsid w:val="0089479F"/>
    <w:rsid w:val="00894C59"/>
    <w:rsid w:val="00894FAC"/>
    <w:rsid w:val="00894FCB"/>
    <w:rsid w:val="00895226"/>
    <w:rsid w:val="0089532C"/>
    <w:rsid w:val="00895A08"/>
    <w:rsid w:val="00895B21"/>
    <w:rsid w:val="00895E9C"/>
    <w:rsid w:val="008961BE"/>
    <w:rsid w:val="00896D86"/>
    <w:rsid w:val="00897C9E"/>
    <w:rsid w:val="008A06C8"/>
    <w:rsid w:val="008A15F9"/>
    <w:rsid w:val="008A19D7"/>
    <w:rsid w:val="008A1DB3"/>
    <w:rsid w:val="008A1ECA"/>
    <w:rsid w:val="008A1F8C"/>
    <w:rsid w:val="008A248F"/>
    <w:rsid w:val="008A270E"/>
    <w:rsid w:val="008A2773"/>
    <w:rsid w:val="008A27DB"/>
    <w:rsid w:val="008A2A17"/>
    <w:rsid w:val="008A2C94"/>
    <w:rsid w:val="008A2FDA"/>
    <w:rsid w:val="008A393E"/>
    <w:rsid w:val="008A4015"/>
    <w:rsid w:val="008A443C"/>
    <w:rsid w:val="008A4729"/>
    <w:rsid w:val="008A4FA1"/>
    <w:rsid w:val="008A541F"/>
    <w:rsid w:val="008A5966"/>
    <w:rsid w:val="008A7634"/>
    <w:rsid w:val="008A763B"/>
    <w:rsid w:val="008A789E"/>
    <w:rsid w:val="008A7F02"/>
    <w:rsid w:val="008A7F62"/>
    <w:rsid w:val="008B0681"/>
    <w:rsid w:val="008B089C"/>
    <w:rsid w:val="008B0D81"/>
    <w:rsid w:val="008B0E12"/>
    <w:rsid w:val="008B130D"/>
    <w:rsid w:val="008B2623"/>
    <w:rsid w:val="008B26AC"/>
    <w:rsid w:val="008B36AE"/>
    <w:rsid w:val="008B378B"/>
    <w:rsid w:val="008B3CBB"/>
    <w:rsid w:val="008B40CA"/>
    <w:rsid w:val="008B45DF"/>
    <w:rsid w:val="008B46CE"/>
    <w:rsid w:val="008B492E"/>
    <w:rsid w:val="008B500B"/>
    <w:rsid w:val="008B5055"/>
    <w:rsid w:val="008B55B9"/>
    <w:rsid w:val="008B566E"/>
    <w:rsid w:val="008B5A32"/>
    <w:rsid w:val="008B6B15"/>
    <w:rsid w:val="008B7958"/>
    <w:rsid w:val="008B7E8A"/>
    <w:rsid w:val="008C0672"/>
    <w:rsid w:val="008C0899"/>
    <w:rsid w:val="008C1055"/>
    <w:rsid w:val="008C109E"/>
    <w:rsid w:val="008C16CB"/>
    <w:rsid w:val="008C18AD"/>
    <w:rsid w:val="008C2632"/>
    <w:rsid w:val="008C2D83"/>
    <w:rsid w:val="008C3869"/>
    <w:rsid w:val="008C39A8"/>
    <w:rsid w:val="008C39F5"/>
    <w:rsid w:val="008C41E3"/>
    <w:rsid w:val="008C42F5"/>
    <w:rsid w:val="008C46E3"/>
    <w:rsid w:val="008C4E91"/>
    <w:rsid w:val="008C50D9"/>
    <w:rsid w:val="008C57A0"/>
    <w:rsid w:val="008C5CB3"/>
    <w:rsid w:val="008C64DE"/>
    <w:rsid w:val="008C6BA2"/>
    <w:rsid w:val="008C6CC6"/>
    <w:rsid w:val="008C6CED"/>
    <w:rsid w:val="008C6FBF"/>
    <w:rsid w:val="008C73A7"/>
    <w:rsid w:val="008C7423"/>
    <w:rsid w:val="008C767E"/>
    <w:rsid w:val="008C782D"/>
    <w:rsid w:val="008C7ED2"/>
    <w:rsid w:val="008D16FD"/>
    <w:rsid w:val="008D1807"/>
    <w:rsid w:val="008D1A47"/>
    <w:rsid w:val="008D1FBD"/>
    <w:rsid w:val="008D1FDC"/>
    <w:rsid w:val="008D2765"/>
    <w:rsid w:val="008D2B49"/>
    <w:rsid w:val="008D3405"/>
    <w:rsid w:val="008D4283"/>
    <w:rsid w:val="008D48AA"/>
    <w:rsid w:val="008D49F6"/>
    <w:rsid w:val="008D4C87"/>
    <w:rsid w:val="008D5006"/>
    <w:rsid w:val="008D5189"/>
    <w:rsid w:val="008D51DE"/>
    <w:rsid w:val="008D5D9E"/>
    <w:rsid w:val="008D5E8F"/>
    <w:rsid w:val="008D6056"/>
    <w:rsid w:val="008D6262"/>
    <w:rsid w:val="008D71F5"/>
    <w:rsid w:val="008D7249"/>
    <w:rsid w:val="008D748F"/>
    <w:rsid w:val="008D74C0"/>
    <w:rsid w:val="008D75A9"/>
    <w:rsid w:val="008D7A4C"/>
    <w:rsid w:val="008E0605"/>
    <w:rsid w:val="008E066B"/>
    <w:rsid w:val="008E0951"/>
    <w:rsid w:val="008E0DF5"/>
    <w:rsid w:val="008E0E4D"/>
    <w:rsid w:val="008E0FE6"/>
    <w:rsid w:val="008E11E8"/>
    <w:rsid w:val="008E18E3"/>
    <w:rsid w:val="008E1D61"/>
    <w:rsid w:val="008E1E3B"/>
    <w:rsid w:val="008E2709"/>
    <w:rsid w:val="008E2C56"/>
    <w:rsid w:val="008E2CC4"/>
    <w:rsid w:val="008E303E"/>
    <w:rsid w:val="008E32D5"/>
    <w:rsid w:val="008E37C3"/>
    <w:rsid w:val="008E3829"/>
    <w:rsid w:val="008E3C85"/>
    <w:rsid w:val="008E3ED1"/>
    <w:rsid w:val="008E41BA"/>
    <w:rsid w:val="008E4604"/>
    <w:rsid w:val="008E4C3E"/>
    <w:rsid w:val="008E4CE3"/>
    <w:rsid w:val="008E58A1"/>
    <w:rsid w:val="008E590E"/>
    <w:rsid w:val="008E5A5D"/>
    <w:rsid w:val="008E62A6"/>
    <w:rsid w:val="008E6906"/>
    <w:rsid w:val="008E74F5"/>
    <w:rsid w:val="008E76FA"/>
    <w:rsid w:val="008E7E69"/>
    <w:rsid w:val="008F0569"/>
    <w:rsid w:val="008F0622"/>
    <w:rsid w:val="008F09FB"/>
    <w:rsid w:val="008F0D2F"/>
    <w:rsid w:val="008F1092"/>
    <w:rsid w:val="008F17CA"/>
    <w:rsid w:val="008F1EE3"/>
    <w:rsid w:val="008F24C3"/>
    <w:rsid w:val="008F2785"/>
    <w:rsid w:val="008F290C"/>
    <w:rsid w:val="008F2B59"/>
    <w:rsid w:val="008F2D21"/>
    <w:rsid w:val="008F2F57"/>
    <w:rsid w:val="008F2FCD"/>
    <w:rsid w:val="008F3006"/>
    <w:rsid w:val="008F3268"/>
    <w:rsid w:val="008F3346"/>
    <w:rsid w:val="008F359F"/>
    <w:rsid w:val="008F3885"/>
    <w:rsid w:val="008F3CB6"/>
    <w:rsid w:val="008F3DB9"/>
    <w:rsid w:val="008F43C2"/>
    <w:rsid w:val="008F482D"/>
    <w:rsid w:val="008F568E"/>
    <w:rsid w:val="008F5A4C"/>
    <w:rsid w:val="008F5B61"/>
    <w:rsid w:val="008F6298"/>
    <w:rsid w:val="009007DD"/>
    <w:rsid w:val="00900A4B"/>
    <w:rsid w:val="00900BF1"/>
    <w:rsid w:val="00900F01"/>
    <w:rsid w:val="0090117D"/>
    <w:rsid w:val="009011E4"/>
    <w:rsid w:val="00901455"/>
    <w:rsid w:val="00903000"/>
    <w:rsid w:val="00904292"/>
    <w:rsid w:val="0090440A"/>
    <w:rsid w:val="00904ABB"/>
    <w:rsid w:val="00904F30"/>
    <w:rsid w:val="00905854"/>
    <w:rsid w:val="00905B9C"/>
    <w:rsid w:val="009064BF"/>
    <w:rsid w:val="00906845"/>
    <w:rsid w:val="00906AEC"/>
    <w:rsid w:val="00907688"/>
    <w:rsid w:val="00907C94"/>
    <w:rsid w:val="009101CB"/>
    <w:rsid w:val="009107B5"/>
    <w:rsid w:val="009111CC"/>
    <w:rsid w:val="00911323"/>
    <w:rsid w:val="00911CF5"/>
    <w:rsid w:val="009125E6"/>
    <w:rsid w:val="00912780"/>
    <w:rsid w:val="009132E0"/>
    <w:rsid w:val="00913602"/>
    <w:rsid w:val="00913640"/>
    <w:rsid w:val="009141C5"/>
    <w:rsid w:val="009145D2"/>
    <w:rsid w:val="009148FD"/>
    <w:rsid w:val="00914C3B"/>
    <w:rsid w:val="0091522B"/>
    <w:rsid w:val="0091547D"/>
    <w:rsid w:val="00915736"/>
    <w:rsid w:val="00915985"/>
    <w:rsid w:val="00915EE0"/>
    <w:rsid w:val="009161A5"/>
    <w:rsid w:val="009162F2"/>
    <w:rsid w:val="00916408"/>
    <w:rsid w:val="0091644F"/>
    <w:rsid w:val="0091682D"/>
    <w:rsid w:val="00916DEC"/>
    <w:rsid w:val="009172D9"/>
    <w:rsid w:val="00917364"/>
    <w:rsid w:val="00917788"/>
    <w:rsid w:val="009177ED"/>
    <w:rsid w:val="00917964"/>
    <w:rsid w:val="00917A50"/>
    <w:rsid w:val="00917C33"/>
    <w:rsid w:val="00920034"/>
    <w:rsid w:val="009202E2"/>
    <w:rsid w:val="0092041B"/>
    <w:rsid w:val="00920429"/>
    <w:rsid w:val="00920A5C"/>
    <w:rsid w:val="00920FB8"/>
    <w:rsid w:val="0092105D"/>
    <w:rsid w:val="00922147"/>
    <w:rsid w:val="009223FD"/>
    <w:rsid w:val="009224A6"/>
    <w:rsid w:val="00922756"/>
    <w:rsid w:val="00922DEB"/>
    <w:rsid w:val="00923B9C"/>
    <w:rsid w:val="00923ED6"/>
    <w:rsid w:val="009247A0"/>
    <w:rsid w:val="009248B0"/>
    <w:rsid w:val="009248BA"/>
    <w:rsid w:val="00924D43"/>
    <w:rsid w:val="00925D63"/>
    <w:rsid w:val="0092683C"/>
    <w:rsid w:val="009268C3"/>
    <w:rsid w:val="00926C7B"/>
    <w:rsid w:val="00926E63"/>
    <w:rsid w:val="00927413"/>
    <w:rsid w:val="009277AD"/>
    <w:rsid w:val="00927B95"/>
    <w:rsid w:val="00927EFA"/>
    <w:rsid w:val="00930014"/>
    <w:rsid w:val="0093027C"/>
    <w:rsid w:val="0093030F"/>
    <w:rsid w:val="009307AA"/>
    <w:rsid w:val="009308A8"/>
    <w:rsid w:val="00930942"/>
    <w:rsid w:val="00930AED"/>
    <w:rsid w:val="00930E37"/>
    <w:rsid w:val="00931B2D"/>
    <w:rsid w:val="00931E4D"/>
    <w:rsid w:val="00931EA3"/>
    <w:rsid w:val="00931F52"/>
    <w:rsid w:val="0093210D"/>
    <w:rsid w:val="0093249F"/>
    <w:rsid w:val="00932A11"/>
    <w:rsid w:val="00932B92"/>
    <w:rsid w:val="00932FAC"/>
    <w:rsid w:val="00933A62"/>
    <w:rsid w:val="00933C76"/>
    <w:rsid w:val="00933CEE"/>
    <w:rsid w:val="00934391"/>
    <w:rsid w:val="009346DA"/>
    <w:rsid w:val="009346F6"/>
    <w:rsid w:val="00934FB8"/>
    <w:rsid w:val="00936978"/>
    <w:rsid w:val="00936CBF"/>
    <w:rsid w:val="009373F8"/>
    <w:rsid w:val="00937533"/>
    <w:rsid w:val="00937C10"/>
    <w:rsid w:val="00937C94"/>
    <w:rsid w:val="00937CDF"/>
    <w:rsid w:val="0094065F"/>
    <w:rsid w:val="00940863"/>
    <w:rsid w:val="00940F47"/>
    <w:rsid w:val="00941CAE"/>
    <w:rsid w:val="00942053"/>
    <w:rsid w:val="009424C4"/>
    <w:rsid w:val="00942500"/>
    <w:rsid w:val="009428CD"/>
    <w:rsid w:val="00943CEC"/>
    <w:rsid w:val="0094423C"/>
    <w:rsid w:val="009443C0"/>
    <w:rsid w:val="00944C30"/>
    <w:rsid w:val="00944EAB"/>
    <w:rsid w:val="00945620"/>
    <w:rsid w:val="00945653"/>
    <w:rsid w:val="009461E3"/>
    <w:rsid w:val="0094698A"/>
    <w:rsid w:val="00946D85"/>
    <w:rsid w:val="00946D98"/>
    <w:rsid w:val="00946E23"/>
    <w:rsid w:val="00946E44"/>
    <w:rsid w:val="009472E7"/>
    <w:rsid w:val="00947D45"/>
    <w:rsid w:val="00947FB4"/>
    <w:rsid w:val="009500EF"/>
    <w:rsid w:val="009504B6"/>
    <w:rsid w:val="00950617"/>
    <w:rsid w:val="00950C0F"/>
    <w:rsid w:val="00951EEF"/>
    <w:rsid w:val="009523F8"/>
    <w:rsid w:val="0095268C"/>
    <w:rsid w:val="00952B2D"/>
    <w:rsid w:val="00952D9E"/>
    <w:rsid w:val="00952EDF"/>
    <w:rsid w:val="00954011"/>
    <w:rsid w:val="009540B9"/>
    <w:rsid w:val="0095419A"/>
    <w:rsid w:val="00954244"/>
    <w:rsid w:val="00954934"/>
    <w:rsid w:val="009550B3"/>
    <w:rsid w:val="00955DED"/>
    <w:rsid w:val="00955FF5"/>
    <w:rsid w:val="009569A3"/>
    <w:rsid w:val="00956D49"/>
    <w:rsid w:val="00957173"/>
    <w:rsid w:val="00960F3E"/>
    <w:rsid w:val="00961570"/>
    <w:rsid w:val="00961B9C"/>
    <w:rsid w:val="00962345"/>
    <w:rsid w:val="0096257F"/>
    <w:rsid w:val="009628A3"/>
    <w:rsid w:val="00962ECA"/>
    <w:rsid w:val="00964277"/>
    <w:rsid w:val="009648F7"/>
    <w:rsid w:val="009653D3"/>
    <w:rsid w:val="0096579B"/>
    <w:rsid w:val="00965A43"/>
    <w:rsid w:val="00966008"/>
    <w:rsid w:val="00966612"/>
    <w:rsid w:val="00966BCF"/>
    <w:rsid w:val="00967240"/>
    <w:rsid w:val="0096773B"/>
    <w:rsid w:val="009679B3"/>
    <w:rsid w:val="00967A35"/>
    <w:rsid w:val="0097077F"/>
    <w:rsid w:val="00970C07"/>
    <w:rsid w:val="00970C37"/>
    <w:rsid w:val="00970C76"/>
    <w:rsid w:val="009712C7"/>
    <w:rsid w:val="009713F1"/>
    <w:rsid w:val="00971975"/>
    <w:rsid w:val="0097197A"/>
    <w:rsid w:val="00971D48"/>
    <w:rsid w:val="00971F3E"/>
    <w:rsid w:val="00971FE3"/>
    <w:rsid w:val="00972920"/>
    <w:rsid w:val="00972BEB"/>
    <w:rsid w:val="00972EF9"/>
    <w:rsid w:val="00973184"/>
    <w:rsid w:val="0097358C"/>
    <w:rsid w:val="009736F5"/>
    <w:rsid w:val="009737D5"/>
    <w:rsid w:val="00973E33"/>
    <w:rsid w:val="0097413D"/>
    <w:rsid w:val="00974ACF"/>
    <w:rsid w:val="00974B74"/>
    <w:rsid w:val="0097588B"/>
    <w:rsid w:val="00975FB8"/>
    <w:rsid w:val="00976973"/>
    <w:rsid w:val="00976DB7"/>
    <w:rsid w:val="00976F8A"/>
    <w:rsid w:val="00976FE7"/>
    <w:rsid w:val="0097732C"/>
    <w:rsid w:val="00977CF9"/>
    <w:rsid w:val="00977D98"/>
    <w:rsid w:val="0098012C"/>
    <w:rsid w:val="009803AE"/>
    <w:rsid w:val="009809D3"/>
    <w:rsid w:val="0098111F"/>
    <w:rsid w:val="0098114F"/>
    <w:rsid w:val="00981810"/>
    <w:rsid w:val="00981E40"/>
    <w:rsid w:val="009820FC"/>
    <w:rsid w:val="009821DC"/>
    <w:rsid w:val="00982876"/>
    <w:rsid w:val="00982F28"/>
    <w:rsid w:val="00983305"/>
    <w:rsid w:val="009835CE"/>
    <w:rsid w:val="00983EA9"/>
    <w:rsid w:val="009847B3"/>
    <w:rsid w:val="00984AD7"/>
    <w:rsid w:val="00984BAA"/>
    <w:rsid w:val="009854CB"/>
    <w:rsid w:val="009856BF"/>
    <w:rsid w:val="009859A9"/>
    <w:rsid w:val="00985A0A"/>
    <w:rsid w:val="00985D1A"/>
    <w:rsid w:val="0098625A"/>
    <w:rsid w:val="009862A0"/>
    <w:rsid w:val="00986532"/>
    <w:rsid w:val="00986664"/>
    <w:rsid w:val="00986677"/>
    <w:rsid w:val="00986AD2"/>
    <w:rsid w:val="00986FDD"/>
    <w:rsid w:val="00987639"/>
    <w:rsid w:val="00987657"/>
    <w:rsid w:val="009876CC"/>
    <w:rsid w:val="00987B29"/>
    <w:rsid w:val="00987C7A"/>
    <w:rsid w:val="00990095"/>
    <w:rsid w:val="0099015D"/>
    <w:rsid w:val="00990686"/>
    <w:rsid w:val="00990694"/>
    <w:rsid w:val="00990BFC"/>
    <w:rsid w:val="0099128C"/>
    <w:rsid w:val="00991295"/>
    <w:rsid w:val="0099132E"/>
    <w:rsid w:val="009916D5"/>
    <w:rsid w:val="00991871"/>
    <w:rsid w:val="00991ED0"/>
    <w:rsid w:val="0099295A"/>
    <w:rsid w:val="00993928"/>
    <w:rsid w:val="00993991"/>
    <w:rsid w:val="00993E9B"/>
    <w:rsid w:val="00994164"/>
    <w:rsid w:val="009949F3"/>
    <w:rsid w:val="00994ADB"/>
    <w:rsid w:val="00994BDF"/>
    <w:rsid w:val="00995147"/>
    <w:rsid w:val="0099573E"/>
    <w:rsid w:val="00995942"/>
    <w:rsid w:val="0099622A"/>
    <w:rsid w:val="009965FF"/>
    <w:rsid w:val="0099674D"/>
    <w:rsid w:val="00997618"/>
    <w:rsid w:val="00997AFF"/>
    <w:rsid w:val="00997E7F"/>
    <w:rsid w:val="00997ECE"/>
    <w:rsid w:val="00997FED"/>
    <w:rsid w:val="009A04B0"/>
    <w:rsid w:val="009A0A87"/>
    <w:rsid w:val="009A0BED"/>
    <w:rsid w:val="009A0D1D"/>
    <w:rsid w:val="009A0E91"/>
    <w:rsid w:val="009A10B1"/>
    <w:rsid w:val="009A11F4"/>
    <w:rsid w:val="009A18EB"/>
    <w:rsid w:val="009A19BF"/>
    <w:rsid w:val="009A1D1F"/>
    <w:rsid w:val="009A230D"/>
    <w:rsid w:val="009A2D80"/>
    <w:rsid w:val="009A36B9"/>
    <w:rsid w:val="009A3F11"/>
    <w:rsid w:val="009A45AF"/>
    <w:rsid w:val="009A47F3"/>
    <w:rsid w:val="009A4866"/>
    <w:rsid w:val="009A4A6E"/>
    <w:rsid w:val="009A4C56"/>
    <w:rsid w:val="009A4DED"/>
    <w:rsid w:val="009A4E98"/>
    <w:rsid w:val="009A5680"/>
    <w:rsid w:val="009A5968"/>
    <w:rsid w:val="009A5E99"/>
    <w:rsid w:val="009A62BA"/>
    <w:rsid w:val="009A67C0"/>
    <w:rsid w:val="009A6C7C"/>
    <w:rsid w:val="009A6C8A"/>
    <w:rsid w:val="009A774D"/>
    <w:rsid w:val="009A77B8"/>
    <w:rsid w:val="009A7DC4"/>
    <w:rsid w:val="009B06F6"/>
    <w:rsid w:val="009B09CC"/>
    <w:rsid w:val="009B0DEA"/>
    <w:rsid w:val="009B0E00"/>
    <w:rsid w:val="009B12E3"/>
    <w:rsid w:val="009B1626"/>
    <w:rsid w:val="009B1B6B"/>
    <w:rsid w:val="009B1E5A"/>
    <w:rsid w:val="009B25AA"/>
    <w:rsid w:val="009B2BA5"/>
    <w:rsid w:val="009B3387"/>
    <w:rsid w:val="009B34EE"/>
    <w:rsid w:val="009B3713"/>
    <w:rsid w:val="009B3E40"/>
    <w:rsid w:val="009B4740"/>
    <w:rsid w:val="009B4A1A"/>
    <w:rsid w:val="009B4FF9"/>
    <w:rsid w:val="009B559D"/>
    <w:rsid w:val="009B5606"/>
    <w:rsid w:val="009B5BFD"/>
    <w:rsid w:val="009B5C03"/>
    <w:rsid w:val="009B62E1"/>
    <w:rsid w:val="009B6730"/>
    <w:rsid w:val="009B6BD0"/>
    <w:rsid w:val="009B70C3"/>
    <w:rsid w:val="009B716D"/>
    <w:rsid w:val="009B777C"/>
    <w:rsid w:val="009B79D1"/>
    <w:rsid w:val="009B7B18"/>
    <w:rsid w:val="009C0654"/>
    <w:rsid w:val="009C0C8D"/>
    <w:rsid w:val="009C10D6"/>
    <w:rsid w:val="009C16FB"/>
    <w:rsid w:val="009C1D48"/>
    <w:rsid w:val="009C2B2E"/>
    <w:rsid w:val="009C2E27"/>
    <w:rsid w:val="009C3349"/>
    <w:rsid w:val="009C3925"/>
    <w:rsid w:val="009C49CB"/>
    <w:rsid w:val="009C4AC9"/>
    <w:rsid w:val="009C4C2B"/>
    <w:rsid w:val="009C5924"/>
    <w:rsid w:val="009C5C48"/>
    <w:rsid w:val="009C5FCE"/>
    <w:rsid w:val="009C634C"/>
    <w:rsid w:val="009C6582"/>
    <w:rsid w:val="009C7193"/>
    <w:rsid w:val="009C732A"/>
    <w:rsid w:val="009C75F7"/>
    <w:rsid w:val="009C7747"/>
    <w:rsid w:val="009C7C25"/>
    <w:rsid w:val="009C7EB1"/>
    <w:rsid w:val="009D03F6"/>
    <w:rsid w:val="009D09C7"/>
    <w:rsid w:val="009D0F8E"/>
    <w:rsid w:val="009D1426"/>
    <w:rsid w:val="009D1552"/>
    <w:rsid w:val="009D15FE"/>
    <w:rsid w:val="009D1B21"/>
    <w:rsid w:val="009D1C81"/>
    <w:rsid w:val="009D1D17"/>
    <w:rsid w:val="009D1FD7"/>
    <w:rsid w:val="009D23AC"/>
    <w:rsid w:val="009D2B07"/>
    <w:rsid w:val="009D2E82"/>
    <w:rsid w:val="009D450D"/>
    <w:rsid w:val="009D5271"/>
    <w:rsid w:val="009D57BA"/>
    <w:rsid w:val="009D59BB"/>
    <w:rsid w:val="009D5C3B"/>
    <w:rsid w:val="009D5FA5"/>
    <w:rsid w:val="009D69A6"/>
    <w:rsid w:val="009D74BC"/>
    <w:rsid w:val="009D767B"/>
    <w:rsid w:val="009D79B6"/>
    <w:rsid w:val="009E0108"/>
    <w:rsid w:val="009E06CA"/>
    <w:rsid w:val="009E0E01"/>
    <w:rsid w:val="009E189A"/>
    <w:rsid w:val="009E2015"/>
    <w:rsid w:val="009E2927"/>
    <w:rsid w:val="009E32AC"/>
    <w:rsid w:val="009E40AE"/>
    <w:rsid w:val="009E4261"/>
    <w:rsid w:val="009E4331"/>
    <w:rsid w:val="009E43CB"/>
    <w:rsid w:val="009E4533"/>
    <w:rsid w:val="009E5098"/>
    <w:rsid w:val="009E531E"/>
    <w:rsid w:val="009E563B"/>
    <w:rsid w:val="009E571B"/>
    <w:rsid w:val="009E5C5A"/>
    <w:rsid w:val="009E6906"/>
    <w:rsid w:val="009E693C"/>
    <w:rsid w:val="009E6D66"/>
    <w:rsid w:val="009E73AB"/>
    <w:rsid w:val="009E73CC"/>
    <w:rsid w:val="009E78AC"/>
    <w:rsid w:val="009E7FBF"/>
    <w:rsid w:val="009F004D"/>
    <w:rsid w:val="009F047C"/>
    <w:rsid w:val="009F0EBE"/>
    <w:rsid w:val="009F123A"/>
    <w:rsid w:val="009F1AD7"/>
    <w:rsid w:val="009F1DD7"/>
    <w:rsid w:val="009F35C0"/>
    <w:rsid w:val="009F3B84"/>
    <w:rsid w:val="009F4249"/>
    <w:rsid w:val="009F4677"/>
    <w:rsid w:val="009F4A2D"/>
    <w:rsid w:val="009F4A64"/>
    <w:rsid w:val="009F549D"/>
    <w:rsid w:val="009F5941"/>
    <w:rsid w:val="009F5A34"/>
    <w:rsid w:val="009F5E46"/>
    <w:rsid w:val="009F61BA"/>
    <w:rsid w:val="009F62C6"/>
    <w:rsid w:val="009F6646"/>
    <w:rsid w:val="009F6A61"/>
    <w:rsid w:val="009F736D"/>
    <w:rsid w:val="009F7A7A"/>
    <w:rsid w:val="009F7B05"/>
    <w:rsid w:val="009F7EE7"/>
    <w:rsid w:val="009F7F6E"/>
    <w:rsid w:val="00A0006B"/>
    <w:rsid w:val="00A003C0"/>
    <w:rsid w:val="00A01779"/>
    <w:rsid w:val="00A01C2F"/>
    <w:rsid w:val="00A0231F"/>
    <w:rsid w:val="00A02F56"/>
    <w:rsid w:val="00A033D7"/>
    <w:rsid w:val="00A03703"/>
    <w:rsid w:val="00A0376C"/>
    <w:rsid w:val="00A03917"/>
    <w:rsid w:val="00A040CB"/>
    <w:rsid w:val="00A048E3"/>
    <w:rsid w:val="00A049E8"/>
    <w:rsid w:val="00A04EEE"/>
    <w:rsid w:val="00A052A0"/>
    <w:rsid w:val="00A0572F"/>
    <w:rsid w:val="00A06520"/>
    <w:rsid w:val="00A06717"/>
    <w:rsid w:val="00A06ABA"/>
    <w:rsid w:val="00A06CED"/>
    <w:rsid w:val="00A0767D"/>
    <w:rsid w:val="00A07710"/>
    <w:rsid w:val="00A078AD"/>
    <w:rsid w:val="00A078FD"/>
    <w:rsid w:val="00A07A48"/>
    <w:rsid w:val="00A10107"/>
    <w:rsid w:val="00A104C3"/>
    <w:rsid w:val="00A10853"/>
    <w:rsid w:val="00A10B7A"/>
    <w:rsid w:val="00A11072"/>
    <w:rsid w:val="00A11A5D"/>
    <w:rsid w:val="00A120B1"/>
    <w:rsid w:val="00A12521"/>
    <w:rsid w:val="00A1288A"/>
    <w:rsid w:val="00A12BAC"/>
    <w:rsid w:val="00A1342B"/>
    <w:rsid w:val="00A13494"/>
    <w:rsid w:val="00A13849"/>
    <w:rsid w:val="00A14B7B"/>
    <w:rsid w:val="00A15ACF"/>
    <w:rsid w:val="00A15E1F"/>
    <w:rsid w:val="00A16B05"/>
    <w:rsid w:val="00A16D9D"/>
    <w:rsid w:val="00A16DC9"/>
    <w:rsid w:val="00A16F39"/>
    <w:rsid w:val="00A17674"/>
    <w:rsid w:val="00A17B48"/>
    <w:rsid w:val="00A17EAB"/>
    <w:rsid w:val="00A20327"/>
    <w:rsid w:val="00A203F5"/>
    <w:rsid w:val="00A20667"/>
    <w:rsid w:val="00A20ECD"/>
    <w:rsid w:val="00A21902"/>
    <w:rsid w:val="00A21C73"/>
    <w:rsid w:val="00A21F40"/>
    <w:rsid w:val="00A22025"/>
    <w:rsid w:val="00A22026"/>
    <w:rsid w:val="00A2228D"/>
    <w:rsid w:val="00A223F8"/>
    <w:rsid w:val="00A22EDD"/>
    <w:rsid w:val="00A23B68"/>
    <w:rsid w:val="00A24AF2"/>
    <w:rsid w:val="00A24E0A"/>
    <w:rsid w:val="00A256E2"/>
    <w:rsid w:val="00A25B82"/>
    <w:rsid w:val="00A261FB"/>
    <w:rsid w:val="00A26C91"/>
    <w:rsid w:val="00A26EAF"/>
    <w:rsid w:val="00A26ED0"/>
    <w:rsid w:val="00A271D4"/>
    <w:rsid w:val="00A2768A"/>
    <w:rsid w:val="00A276ED"/>
    <w:rsid w:val="00A27AF4"/>
    <w:rsid w:val="00A300E2"/>
    <w:rsid w:val="00A30EA9"/>
    <w:rsid w:val="00A31774"/>
    <w:rsid w:val="00A31E42"/>
    <w:rsid w:val="00A320E5"/>
    <w:rsid w:val="00A323E9"/>
    <w:rsid w:val="00A32722"/>
    <w:rsid w:val="00A32CB1"/>
    <w:rsid w:val="00A335DC"/>
    <w:rsid w:val="00A33A36"/>
    <w:rsid w:val="00A340E5"/>
    <w:rsid w:val="00A34255"/>
    <w:rsid w:val="00A34BEA"/>
    <w:rsid w:val="00A34DC3"/>
    <w:rsid w:val="00A3507B"/>
    <w:rsid w:val="00A35651"/>
    <w:rsid w:val="00A356B3"/>
    <w:rsid w:val="00A35844"/>
    <w:rsid w:val="00A3587A"/>
    <w:rsid w:val="00A35C75"/>
    <w:rsid w:val="00A35D75"/>
    <w:rsid w:val="00A360AE"/>
    <w:rsid w:val="00A363FC"/>
    <w:rsid w:val="00A365AF"/>
    <w:rsid w:val="00A3718A"/>
    <w:rsid w:val="00A3752F"/>
    <w:rsid w:val="00A40863"/>
    <w:rsid w:val="00A40D76"/>
    <w:rsid w:val="00A40DA7"/>
    <w:rsid w:val="00A4101F"/>
    <w:rsid w:val="00A41058"/>
    <w:rsid w:val="00A41146"/>
    <w:rsid w:val="00A41409"/>
    <w:rsid w:val="00A41469"/>
    <w:rsid w:val="00A41F84"/>
    <w:rsid w:val="00A4209E"/>
    <w:rsid w:val="00A42251"/>
    <w:rsid w:val="00A426B6"/>
    <w:rsid w:val="00A42A57"/>
    <w:rsid w:val="00A42F4C"/>
    <w:rsid w:val="00A430D8"/>
    <w:rsid w:val="00A43521"/>
    <w:rsid w:val="00A44001"/>
    <w:rsid w:val="00A44101"/>
    <w:rsid w:val="00A442BF"/>
    <w:rsid w:val="00A44CF1"/>
    <w:rsid w:val="00A44F65"/>
    <w:rsid w:val="00A4506D"/>
    <w:rsid w:val="00A45157"/>
    <w:rsid w:val="00A454E3"/>
    <w:rsid w:val="00A45546"/>
    <w:rsid w:val="00A45F19"/>
    <w:rsid w:val="00A46242"/>
    <w:rsid w:val="00A4705B"/>
    <w:rsid w:val="00A4755E"/>
    <w:rsid w:val="00A47AA5"/>
    <w:rsid w:val="00A50107"/>
    <w:rsid w:val="00A504A0"/>
    <w:rsid w:val="00A5099E"/>
    <w:rsid w:val="00A50C9D"/>
    <w:rsid w:val="00A51056"/>
    <w:rsid w:val="00A514A6"/>
    <w:rsid w:val="00A515BD"/>
    <w:rsid w:val="00A52578"/>
    <w:rsid w:val="00A5296E"/>
    <w:rsid w:val="00A529B0"/>
    <w:rsid w:val="00A52D74"/>
    <w:rsid w:val="00A53022"/>
    <w:rsid w:val="00A53E5B"/>
    <w:rsid w:val="00A53FF7"/>
    <w:rsid w:val="00A54566"/>
    <w:rsid w:val="00A548D7"/>
    <w:rsid w:val="00A54B82"/>
    <w:rsid w:val="00A5551F"/>
    <w:rsid w:val="00A555CD"/>
    <w:rsid w:val="00A55906"/>
    <w:rsid w:val="00A55D91"/>
    <w:rsid w:val="00A56058"/>
    <w:rsid w:val="00A5662E"/>
    <w:rsid w:val="00A56640"/>
    <w:rsid w:val="00A5672B"/>
    <w:rsid w:val="00A56F24"/>
    <w:rsid w:val="00A572B0"/>
    <w:rsid w:val="00A57B5D"/>
    <w:rsid w:val="00A601FA"/>
    <w:rsid w:val="00A60500"/>
    <w:rsid w:val="00A6061C"/>
    <w:rsid w:val="00A60A60"/>
    <w:rsid w:val="00A60C27"/>
    <w:rsid w:val="00A610F5"/>
    <w:rsid w:val="00A6187F"/>
    <w:rsid w:val="00A61B7C"/>
    <w:rsid w:val="00A626CB"/>
    <w:rsid w:val="00A62B90"/>
    <w:rsid w:val="00A62E79"/>
    <w:rsid w:val="00A63405"/>
    <w:rsid w:val="00A634BB"/>
    <w:rsid w:val="00A63730"/>
    <w:rsid w:val="00A639AC"/>
    <w:rsid w:val="00A63F52"/>
    <w:rsid w:val="00A64001"/>
    <w:rsid w:val="00A6474A"/>
    <w:rsid w:val="00A6476D"/>
    <w:rsid w:val="00A64900"/>
    <w:rsid w:val="00A64BF6"/>
    <w:rsid w:val="00A64C90"/>
    <w:rsid w:val="00A65A45"/>
    <w:rsid w:val="00A666A8"/>
    <w:rsid w:val="00A667D9"/>
    <w:rsid w:val="00A676DB"/>
    <w:rsid w:val="00A67F42"/>
    <w:rsid w:val="00A70515"/>
    <w:rsid w:val="00A7064E"/>
    <w:rsid w:val="00A71111"/>
    <w:rsid w:val="00A7133D"/>
    <w:rsid w:val="00A727C9"/>
    <w:rsid w:val="00A72F59"/>
    <w:rsid w:val="00A72F84"/>
    <w:rsid w:val="00A73072"/>
    <w:rsid w:val="00A73158"/>
    <w:rsid w:val="00A73499"/>
    <w:rsid w:val="00A73B22"/>
    <w:rsid w:val="00A73C81"/>
    <w:rsid w:val="00A73E8B"/>
    <w:rsid w:val="00A73F2B"/>
    <w:rsid w:val="00A741AA"/>
    <w:rsid w:val="00A742FC"/>
    <w:rsid w:val="00A74A8D"/>
    <w:rsid w:val="00A74EE6"/>
    <w:rsid w:val="00A75531"/>
    <w:rsid w:val="00A75B00"/>
    <w:rsid w:val="00A75C3F"/>
    <w:rsid w:val="00A76133"/>
    <w:rsid w:val="00A76BF3"/>
    <w:rsid w:val="00A7701C"/>
    <w:rsid w:val="00A77F52"/>
    <w:rsid w:val="00A809E7"/>
    <w:rsid w:val="00A80F45"/>
    <w:rsid w:val="00A810E0"/>
    <w:rsid w:val="00A81545"/>
    <w:rsid w:val="00A818D3"/>
    <w:rsid w:val="00A822FA"/>
    <w:rsid w:val="00A823C5"/>
    <w:rsid w:val="00A824D8"/>
    <w:rsid w:val="00A82592"/>
    <w:rsid w:val="00A82A7D"/>
    <w:rsid w:val="00A83F05"/>
    <w:rsid w:val="00A84035"/>
    <w:rsid w:val="00A84569"/>
    <w:rsid w:val="00A85F02"/>
    <w:rsid w:val="00A860C7"/>
    <w:rsid w:val="00A86265"/>
    <w:rsid w:val="00A868B5"/>
    <w:rsid w:val="00A87093"/>
    <w:rsid w:val="00A870C6"/>
    <w:rsid w:val="00A871EA"/>
    <w:rsid w:val="00A87881"/>
    <w:rsid w:val="00A901EB"/>
    <w:rsid w:val="00A9033B"/>
    <w:rsid w:val="00A906AE"/>
    <w:rsid w:val="00A9078E"/>
    <w:rsid w:val="00A90848"/>
    <w:rsid w:val="00A90DFE"/>
    <w:rsid w:val="00A910C6"/>
    <w:rsid w:val="00A91529"/>
    <w:rsid w:val="00A91D90"/>
    <w:rsid w:val="00A9217D"/>
    <w:rsid w:val="00A92449"/>
    <w:rsid w:val="00A9277D"/>
    <w:rsid w:val="00A92E94"/>
    <w:rsid w:val="00A934EA"/>
    <w:rsid w:val="00A94CBA"/>
    <w:rsid w:val="00A95123"/>
    <w:rsid w:val="00A95B97"/>
    <w:rsid w:val="00A969F5"/>
    <w:rsid w:val="00A96F74"/>
    <w:rsid w:val="00A9712D"/>
    <w:rsid w:val="00A972C0"/>
    <w:rsid w:val="00A975AE"/>
    <w:rsid w:val="00A975C3"/>
    <w:rsid w:val="00A97DA8"/>
    <w:rsid w:val="00A97DFB"/>
    <w:rsid w:val="00AA0000"/>
    <w:rsid w:val="00AA046C"/>
    <w:rsid w:val="00AA05DB"/>
    <w:rsid w:val="00AA063D"/>
    <w:rsid w:val="00AA269A"/>
    <w:rsid w:val="00AA269D"/>
    <w:rsid w:val="00AA2E91"/>
    <w:rsid w:val="00AA31A9"/>
    <w:rsid w:val="00AA32AB"/>
    <w:rsid w:val="00AA34DE"/>
    <w:rsid w:val="00AA351F"/>
    <w:rsid w:val="00AA3559"/>
    <w:rsid w:val="00AA35A6"/>
    <w:rsid w:val="00AA39F6"/>
    <w:rsid w:val="00AA3B94"/>
    <w:rsid w:val="00AA40F7"/>
    <w:rsid w:val="00AA42D3"/>
    <w:rsid w:val="00AA4D47"/>
    <w:rsid w:val="00AA5078"/>
    <w:rsid w:val="00AA5618"/>
    <w:rsid w:val="00AA60C4"/>
    <w:rsid w:val="00AA635D"/>
    <w:rsid w:val="00AA6584"/>
    <w:rsid w:val="00AA6AD8"/>
    <w:rsid w:val="00AA7050"/>
    <w:rsid w:val="00AA7447"/>
    <w:rsid w:val="00AA7938"/>
    <w:rsid w:val="00AA7A1F"/>
    <w:rsid w:val="00AB0631"/>
    <w:rsid w:val="00AB0857"/>
    <w:rsid w:val="00AB0938"/>
    <w:rsid w:val="00AB0D85"/>
    <w:rsid w:val="00AB0E49"/>
    <w:rsid w:val="00AB2140"/>
    <w:rsid w:val="00AB2D1B"/>
    <w:rsid w:val="00AB2F59"/>
    <w:rsid w:val="00AB3095"/>
    <w:rsid w:val="00AB30AA"/>
    <w:rsid w:val="00AB3A54"/>
    <w:rsid w:val="00AB3FFE"/>
    <w:rsid w:val="00AB4249"/>
    <w:rsid w:val="00AB46B8"/>
    <w:rsid w:val="00AB4975"/>
    <w:rsid w:val="00AB5475"/>
    <w:rsid w:val="00AB5557"/>
    <w:rsid w:val="00AB5873"/>
    <w:rsid w:val="00AB5B60"/>
    <w:rsid w:val="00AB5CD4"/>
    <w:rsid w:val="00AB5E21"/>
    <w:rsid w:val="00AB5E53"/>
    <w:rsid w:val="00AB60E6"/>
    <w:rsid w:val="00AB62EC"/>
    <w:rsid w:val="00AB6ADF"/>
    <w:rsid w:val="00AB6FE5"/>
    <w:rsid w:val="00AB7428"/>
    <w:rsid w:val="00AC032C"/>
    <w:rsid w:val="00AC0C5A"/>
    <w:rsid w:val="00AC1101"/>
    <w:rsid w:val="00AC1F92"/>
    <w:rsid w:val="00AC1FAA"/>
    <w:rsid w:val="00AC1FC3"/>
    <w:rsid w:val="00AC25E8"/>
    <w:rsid w:val="00AC2B5A"/>
    <w:rsid w:val="00AC2BD1"/>
    <w:rsid w:val="00AC2FDE"/>
    <w:rsid w:val="00AC35A8"/>
    <w:rsid w:val="00AC35DC"/>
    <w:rsid w:val="00AC3680"/>
    <w:rsid w:val="00AC3802"/>
    <w:rsid w:val="00AC3C7C"/>
    <w:rsid w:val="00AC3CA2"/>
    <w:rsid w:val="00AC419B"/>
    <w:rsid w:val="00AC488D"/>
    <w:rsid w:val="00AC4966"/>
    <w:rsid w:val="00AC4F29"/>
    <w:rsid w:val="00AC5470"/>
    <w:rsid w:val="00AC5A0B"/>
    <w:rsid w:val="00AC5D43"/>
    <w:rsid w:val="00AC5D8C"/>
    <w:rsid w:val="00AC6C2D"/>
    <w:rsid w:val="00AC78CC"/>
    <w:rsid w:val="00AC7DB5"/>
    <w:rsid w:val="00AD0B5E"/>
    <w:rsid w:val="00AD19AC"/>
    <w:rsid w:val="00AD1D43"/>
    <w:rsid w:val="00AD20E9"/>
    <w:rsid w:val="00AD24B5"/>
    <w:rsid w:val="00AD2503"/>
    <w:rsid w:val="00AD467A"/>
    <w:rsid w:val="00AD586B"/>
    <w:rsid w:val="00AD593C"/>
    <w:rsid w:val="00AD5CF9"/>
    <w:rsid w:val="00AD5D9E"/>
    <w:rsid w:val="00AD5E40"/>
    <w:rsid w:val="00AD5FA8"/>
    <w:rsid w:val="00AD6A31"/>
    <w:rsid w:val="00AD7EEF"/>
    <w:rsid w:val="00AE06CA"/>
    <w:rsid w:val="00AE11CD"/>
    <w:rsid w:val="00AE1AB7"/>
    <w:rsid w:val="00AE27D3"/>
    <w:rsid w:val="00AE2CC0"/>
    <w:rsid w:val="00AE32FF"/>
    <w:rsid w:val="00AE3924"/>
    <w:rsid w:val="00AE3C59"/>
    <w:rsid w:val="00AE408B"/>
    <w:rsid w:val="00AE4383"/>
    <w:rsid w:val="00AE47D0"/>
    <w:rsid w:val="00AE4F57"/>
    <w:rsid w:val="00AE50C2"/>
    <w:rsid w:val="00AE52A0"/>
    <w:rsid w:val="00AE5459"/>
    <w:rsid w:val="00AE6001"/>
    <w:rsid w:val="00AE6645"/>
    <w:rsid w:val="00AE6C75"/>
    <w:rsid w:val="00AE7137"/>
    <w:rsid w:val="00AE7A13"/>
    <w:rsid w:val="00AF04DA"/>
    <w:rsid w:val="00AF0951"/>
    <w:rsid w:val="00AF1074"/>
    <w:rsid w:val="00AF1555"/>
    <w:rsid w:val="00AF1CD2"/>
    <w:rsid w:val="00AF1D4C"/>
    <w:rsid w:val="00AF20C5"/>
    <w:rsid w:val="00AF301C"/>
    <w:rsid w:val="00AF3406"/>
    <w:rsid w:val="00AF3A9A"/>
    <w:rsid w:val="00AF4153"/>
    <w:rsid w:val="00AF526E"/>
    <w:rsid w:val="00AF52EE"/>
    <w:rsid w:val="00AF57B3"/>
    <w:rsid w:val="00AF5909"/>
    <w:rsid w:val="00AF5C2F"/>
    <w:rsid w:val="00AF606F"/>
    <w:rsid w:val="00AF6463"/>
    <w:rsid w:val="00AF6953"/>
    <w:rsid w:val="00AF73CD"/>
    <w:rsid w:val="00AF7430"/>
    <w:rsid w:val="00AF77CF"/>
    <w:rsid w:val="00AF794A"/>
    <w:rsid w:val="00AF7BD9"/>
    <w:rsid w:val="00AF7EF6"/>
    <w:rsid w:val="00B00035"/>
    <w:rsid w:val="00B00100"/>
    <w:rsid w:val="00B007A4"/>
    <w:rsid w:val="00B00B21"/>
    <w:rsid w:val="00B00E13"/>
    <w:rsid w:val="00B00EC9"/>
    <w:rsid w:val="00B017A0"/>
    <w:rsid w:val="00B01BD7"/>
    <w:rsid w:val="00B026D4"/>
    <w:rsid w:val="00B02B1B"/>
    <w:rsid w:val="00B03509"/>
    <w:rsid w:val="00B03736"/>
    <w:rsid w:val="00B03EC2"/>
    <w:rsid w:val="00B03F30"/>
    <w:rsid w:val="00B04A2E"/>
    <w:rsid w:val="00B04D72"/>
    <w:rsid w:val="00B04E3F"/>
    <w:rsid w:val="00B050DA"/>
    <w:rsid w:val="00B058DC"/>
    <w:rsid w:val="00B059D8"/>
    <w:rsid w:val="00B05E38"/>
    <w:rsid w:val="00B05F9C"/>
    <w:rsid w:val="00B0612D"/>
    <w:rsid w:val="00B07846"/>
    <w:rsid w:val="00B07BA9"/>
    <w:rsid w:val="00B07CC7"/>
    <w:rsid w:val="00B10065"/>
    <w:rsid w:val="00B100FD"/>
    <w:rsid w:val="00B1027E"/>
    <w:rsid w:val="00B10BDE"/>
    <w:rsid w:val="00B11081"/>
    <w:rsid w:val="00B1185C"/>
    <w:rsid w:val="00B11A0A"/>
    <w:rsid w:val="00B11ED4"/>
    <w:rsid w:val="00B1218D"/>
    <w:rsid w:val="00B123E5"/>
    <w:rsid w:val="00B1246D"/>
    <w:rsid w:val="00B127D0"/>
    <w:rsid w:val="00B127FE"/>
    <w:rsid w:val="00B12B24"/>
    <w:rsid w:val="00B12D9F"/>
    <w:rsid w:val="00B1394C"/>
    <w:rsid w:val="00B14595"/>
    <w:rsid w:val="00B14908"/>
    <w:rsid w:val="00B150DA"/>
    <w:rsid w:val="00B15558"/>
    <w:rsid w:val="00B1624B"/>
    <w:rsid w:val="00B16379"/>
    <w:rsid w:val="00B16554"/>
    <w:rsid w:val="00B167CE"/>
    <w:rsid w:val="00B168E5"/>
    <w:rsid w:val="00B16B80"/>
    <w:rsid w:val="00B16BF1"/>
    <w:rsid w:val="00B16ED2"/>
    <w:rsid w:val="00B171D8"/>
    <w:rsid w:val="00B17B82"/>
    <w:rsid w:val="00B203A4"/>
    <w:rsid w:val="00B2095A"/>
    <w:rsid w:val="00B209FA"/>
    <w:rsid w:val="00B20A37"/>
    <w:rsid w:val="00B20DDF"/>
    <w:rsid w:val="00B2118E"/>
    <w:rsid w:val="00B21388"/>
    <w:rsid w:val="00B21AB9"/>
    <w:rsid w:val="00B21EEE"/>
    <w:rsid w:val="00B22784"/>
    <w:rsid w:val="00B22F11"/>
    <w:rsid w:val="00B22FEF"/>
    <w:rsid w:val="00B2312F"/>
    <w:rsid w:val="00B23D22"/>
    <w:rsid w:val="00B24043"/>
    <w:rsid w:val="00B244D8"/>
    <w:rsid w:val="00B2476A"/>
    <w:rsid w:val="00B249A0"/>
    <w:rsid w:val="00B24DC2"/>
    <w:rsid w:val="00B253D0"/>
    <w:rsid w:val="00B2566B"/>
    <w:rsid w:val="00B25836"/>
    <w:rsid w:val="00B25FF6"/>
    <w:rsid w:val="00B2602D"/>
    <w:rsid w:val="00B2640D"/>
    <w:rsid w:val="00B26511"/>
    <w:rsid w:val="00B26DCE"/>
    <w:rsid w:val="00B30BDF"/>
    <w:rsid w:val="00B30CEC"/>
    <w:rsid w:val="00B31184"/>
    <w:rsid w:val="00B31450"/>
    <w:rsid w:val="00B31B23"/>
    <w:rsid w:val="00B31EFC"/>
    <w:rsid w:val="00B31F6D"/>
    <w:rsid w:val="00B32750"/>
    <w:rsid w:val="00B329EE"/>
    <w:rsid w:val="00B3312A"/>
    <w:rsid w:val="00B335C3"/>
    <w:rsid w:val="00B33E3A"/>
    <w:rsid w:val="00B343FD"/>
    <w:rsid w:val="00B3469A"/>
    <w:rsid w:val="00B34AEB"/>
    <w:rsid w:val="00B34DF0"/>
    <w:rsid w:val="00B350A9"/>
    <w:rsid w:val="00B35B53"/>
    <w:rsid w:val="00B361D8"/>
    <w:rsid w:val="00B364A4"/>
    <w:rsid w:val="00B36A3D"/>
    <w:rsid w:val="00B36EB3"/>
    <w:rsid w:val="00B374D1"/>
    <w:rsid w:val="00B375E3"/>
    <w:rsid w:val="00B37618"/>
    <w:rsid w:val="00B40618"/>
    <w:rsid w:val="00B4064A"/>
    <w:rsid w:val="00B40A46"/>
    <w:rsid w:val="00B40B86"/>
    <w:rsid w:val="00B416ED"/>
    <w:rsid w:val="00B417D4"/>
    <w:rsid w:val="00B41920"/>
    <w:rsid w:val="00B419E6"/>
    <w:rsid w:val="00B42490"/>
    <w:rsid w:val="00B4279E"/>
    <w:rsid w:val="00B42914"/>
    <w:rsid w:val="00B42EED"/>
    <w:rsid w:val="00B42F79"/>
    <w:rsid w:val="00B43860"/>
    <w:rsid w:val="00B449C0"/>
    <w:rsid w:val="00B45038"/>
    <w:rsid w:val="00B451A6"/>
    <w:rsid w:val="00B45242"/>
    <w:rsid w:val="00B46025"/>
    <w:rsid w:val="00B464E3"/>
    <w:rsid w:val="00B46771"/>
    <w:rsid w:val="00B46E53"/>
    <w:rsid w:val="00B47120"/>
    <w:rsid w:val="00B50177"/>
    <w:rsid w:val="00B5062E"/>
    <w:rsid w:val="00B50AC3"/>
    <w:rsid w:val="00B51042"/>
    <w:rsid w:val="00B51222"/>
    <w:rsid w:val="00B51694"/>
    <w:rsid w:val="00B51A9E"/>
    <w:rsid w:val="00B51AF7"/>
    <w:rsid w:val="00B524C4"/>
    <w:rsid w:val="00B52A0B"/>
    <w:rsid w:val="00B52DD6"/>
    <w:rsid w:val="00B5321C"/>
    <w:rsid w:val="00B53DD6"/>
    <w:rsid w:val="00B54151"/>
    <w:rsid w:val="00B54201"/>
    <w:rsid w:val="00B54EC2"/>
    <w:rsid w:val="00B55106"/>
    <w:rsid w:val="00B556C7"/>
    <w:rsid w:val="00B56108"/>
    <w:rsid w:val="00B561E6"/>
    <w:rsid w:val="00B566BE"/>
    <w:rsid w:val="00B56C18"/>
    <w:rsid w:val="00B56FC8"/>
    <w:rsid w:val="00B602D0"/>
    <w:rsid w:val="00B60721"/>
    <w:rsid w:val="00B60967"/>
    <w:rsid w:val="00B61106"/>
    <w:rsid w:val="00B61385"/>
    <w:rsid w:val="00B6165D"/>
    <w:rsid w:val="00B61AC0"/>
    <w:rsid w:val="00B62015"/>
    <w:rsid w:val="00B6339C"/>
    <w:rsid w:val="00B63420"/>
    <w:rsid w:val="00B63558"/>
    <w:rsid w:val="00B63A76"/>
    <w:rsid w:val="00B642CF"/>
    <w:rsid w:val="00B646C6"/>
    <w:rsid w:val="00B64CB8"/>
    <w:rsid w:val="00B64D08"/>
    <w:rsid w:val="00B64EAB"/>
    <w:rsid w:val="00B6533A"/>
    <w:rsid w:val="00B65BB1"/>
    <w:rsid w:val="00B65C24"/>
    <w:rsid w:val="00B660A4"/>
    <w:rsid w:val="00B663AF"/>
    <w:rsid w:val="00B6678B"/>
    <w:rsid w:val="00B66B7C"/>
    <w:rsid w:val="00B67304"/>
    <w:rsid w:val="00B676E9"/>
    <w:rsid w:val="00B677F1"/>
    <w:rsid w:val="00B67B76"/>
    <w:rsid w:val="00B67EFA"/>
    <w:rsid w:val="00B70488"/>
    <w:rsid w:val="00B708B0"/>
    <w:rsid w:val="00B7172D"/>
    <w:rsid w:val="00B7183D"/>
    <w:rsid w:val="00B71897"/>
    <w:rsid w:val="00B7245C"/>
    <w:rsid w:val="00B728C0"/>
    <w:rsid w:val="00B72C78"/>
    <w:rsid w:val="00B73574"/>
    <w:rsid w:val="00B73741"/>
    <w:rsid w:val="00B738A1"/>
    <w:rsid w:val="00B73A37"/>
    <w:rsid w:val="00B74237"/>
    <w:rsid w:val="00B743BC"/>
    <w:rsid w:val="00B74AD1"/>
    <w:rsid w:val="00B74CCC"/>
    <w:rsid w:val="00B7530F"/>
    <w:rsid w:val="00B75861"/>
    <w:rsid w:val="00B7587A"/>
    <w:rsid w:val="00B7630C"/>
    <w:rsid w:val="00B76917"/>
    <w:rsid w:val="00B76EDF"/>
    <w:rsid w:val="00B770DC"/>
    <w:rsid w:val="00B770FE"/>
    <w:rsid w:val="00B77BA3"/>
    <w:rsid w:val="00B77CBF"/>
    <w:rsid w:val="00B8005B"/>
    <w:rsid w:val="00B8028C"/>
    <w:rsid w:val="00B80918"/>
    <w:rsid w:val="00B80F89"/>
    <w:rsid w:val="00B81291"/>
    <w:rsid w:val="00B816A4"/>
    <w:rsid w:val="00B81DE9"/>
    <w:rsid w:val="00B827CE"/>
    <w:rsid w:val="00B82C55"/>
    <w:rsid w:val="00B82CF7"/>
    <w:rsid w:val="00B83440"/>
    <w:rsid w:val="00B83678"/>
    <w:rsid w:val="00B8422F"/>
    <w:rsid w:val="00B84505"/>
    <w:rsid w:val="00B84A8C"/>
    <w:rsid w:val="00B84B1F"/>
    <w:rsid w:val="00B84EA5"/>
    <w:rsid w:val="00B854B3"/>
    <w:rsid w:val="00B85ED6"/>
    <w:rsid w:val="00B86177"/>
    <w:rsid w:val="00B86188"/>
    <w:rsid w:val="00B86692"/>
    <w:rsid w:val="00B866A4"/>
    <w:rsid w:val="00B8790F"/>
    <w:rsid w:val="00B87C5C"/>
    <w:rsid w:val="00B87CA1"/>
    <w:rsid w:val="00B87FE6"/>
    <w:rsid w:val="00B9031A"/>
    <w:rsid w:val="00B913D7"/>
    <w:rsid w:val="00B916E1"/>
    <w:rsid w:val="00B92690"/>
    <w:rsid w:val="00B92704"/>
    <w:rsid w:val="00B92861"/>
    <w:rsid w:val="00B928FD"/>
    <w:rsid w:val="00B92D59"/>
    <w:rsid w:val="00B92D5B"/>
    <w:rsid w:val="00B92DCF"/>
    <w:rsid w:val="00B936C2"/>
    <w:rsid w:val="00B938D5"/>
    <w:rsid w:val="00B93C86"/>
    <w:rsid w:val="00B93F46"/>
    <w:rsid w:val="00B940DC"/>
    <w:rsid w:val="00B941A2"/>
    <w:rsid w:val="00B947CE"/>
    <w:rsid w:val="00B947E3"/>
    <w:rsid w:val="00B949CD"/>
    <w:rsid w:val="00B94CD6"/>
    <w:rsid w:val="00B94DD0"/>
    <w:rsid w:val="00B94E8F"/>
    <w:rsid w:val="00B94EA3"/>
    <w:rsid w:val="00B94FDF"/>
    <w:rsid w:val="00B95608"/>
    <w:rsid w:val="00B95620"/>
    <w:rsid w:val="00B95677"/>
    <w:rsid w:val="00B957CD"/>
    <w:rsid w:val="00B959A2"/>
    <w:rsid w:val="00B95ADC"/>
    <w:rsid w:val="00B95C69"/>
    <w:rsid w:val="00B96283"/>
    <w:rsid w:val="00B965D1"/>
    <w:rsid w:val="00B96703"/>
    <w:rsid w:val="00B970E5"/>
    <w:rsid w:val="00B97190"/>
    <w:rsid w:val="00B97298"/>
    <w:rsid w:val="00B979A1"/>
    <w:rsid w:val="00B97A95"/>
    <w:rsid w:val="00BA00B5"/>
    <w:rsid w:val="00BA02EF"/>
    <w:rsid w:val="00BA071D"/>
    <w:rsid w:val="00BA073D"/>
    <w:rsid w:val="00BA11FA"/>
    <w:rsid w:val="00BA148B"/>
    <w:rsid w:val="00BA1591"/>
    <w:rsid w:val="00BA1897"/>
    <w:rsid w:val="00BA1942"/>
    <w:rsid w:val="00BA2866"/>
    <w:rsid w:val="00BA28B0"/>
    <w:rsid w:val="00BA2CAA"/>
    <w:rsid w:val="00BA31AC"/>
    <w:rsid w:val="00BA3EB4"/>
    <w:rsid w:val="00BA4029"/>
    <w:rsid w:val="00BA4170"/>
    <w:rsid w:val="00BA4A45"/>
    <w:rsid w:val="00BA4C3D"/>
    <w:rsid w:val="00BA4F61"/>
    <w:rsid w:val="00BA51D7"/>
    <w:rsid w:val="00BA5260"/>
    <w:rsid w:val="00BA58E3"/>
    <w:rsid w:val="00BA5BAB"/>
    <w:rsid w:val="00BA5EC0"/>
    <w:rsid w:val="00BA6033"/>
    <w:rsid w:val="00BA62A1"/>
    <w:rsid w:val="00BA63B3"/>
    <w:rsid w:val="00BA6444"/>
    <w:rsid w:val="00BA677B"/>
    <w:rsid w:val="00BA6EA3"/>
    <w:rsid w:val="00BA703A"/>
    <w:rsid w:val="00BB07B5"/>
    <w:rsid w:val="00BB08B8"/>
    <w:rsid w:val="00BB09D5"/>
    <w:rsid w:val="00BB1347"/>
    <w:rsid w:val="00BB1532"/>
    <w:rsid w:val="00BB2520"/>
    <w:rsid w:val="00BB2A60"/>
    <w:rsid w:val="00BB2B59"/>
    <w:rsid w:val="00BB2BE8"/>
    <w:rsid w:val="00BB3D46"/>
    <w:rsid w:val="00BB3DDA"/>
    <w:rsid w:val="00BB3F78"/>
    <w:rsid w:val="00BB41F1"/>
    <w:rsid w:val="00BB4A89"/>
    <w:rsid w:val="00BB4ACA"/>
    <w:rsid w:val="00BB543A"/>
    <w:rsid w:val="00BB5FDE"/>
    <w:rsid w:val="00BB619C"/>
    <w:rsid w:val="00BB6AFB"/>
    <w:rsid w:val="00BB7137"/>
    <w:rsid w:val="00BB7AEB"/>
    <w:rsid w:val="00BB7B11"/>
    <w:rsid w:val="00BB7B98"/>
    <w:rsid w:val="00BB7F06"/>
    <w:rsid w:val="00BC02A3"/>
    <w:rsid w:val="00BC0464"/>
    <w:rsid w:val="00BC07F6"/>
    <w:rsid w:val="00BC0E3C"/>
    <w:rsid w:val="00BC1086"/>
    <w:rsid w:val="00BC1264"/>
    <w:rsid w:val="00BC2EE4"/>
    <w:rsid w:val="00BC30D6"/>
    <w:rsid w:val="00BC37E4"/>
    <w:rsid w:val="00BC38CD"/>
    <w:rsid w:val="00BC3979"/>
    <w:rsid w:val="00BC398B"/>
    <w:rsid w:val="00BC3A51"/>
    <w:rsid w:val="00BC3C66"/>
    <w:rsid w:val="00BC3C91"/>
    <w:rsid w:val="00BC4060"/>
    <w:rsid w:val="00BC4729"/>
    <w:rsid w:val="00BC485F"/>
    <w:rsid w:val="00BC4D30"/>
    <w:rsid w:val="00BC5452"/>
    <w:rsid w:val="00BC5614"/>
    <w:rsid w:val="00BC5AE0"/>
    <w:rsid w:val="00BC625B"/>
    <w:rsid w:val="00BC632E"/>
    <w:rsid w:val="00BC66F0"/>
    <w:rsid w:val="00BC6BD1"/>
    <w:rsid w:val="00BC70E2"/>
    <w:rsid w:val="00BC73DA"/>
    <w:rsid w:val="00BC74FD"/>
    <w:rsid w:val="00BC7E5B"/>
    <w:rsid w:val="00BD03B3"/>
    <w:rsid w:val="00BD07BD"/>
    <w:rsid w:val="00BD0A69"/>
    <w:rsid w:val="00BD1230"/>
    <w:rsid w:val="00BD146B"/>
    <w:rsid w:val="00BD1B38"/>
    <w:rsid w:val="00BD1E42"/>
    <w:rsid w:val="00BD1EB1"/>
    <w:rsid w:val="00BD25E3"/>
    <w:rsid w:val="00BD27DF"/>
    <w:rsid w:val="00BD2876"/>
    <w:rsid w:val="00BD2E1A"/>
    <w:rsid w:val="00BD38BF"/>
    <w:rsid w:val="00BD3A59"/>
    <w:rsid w:val="00BD3D3F"/>
    <w:rsid w:val="00BD4207"/>
    <w:rsid w:val="00BD44EA"/>
    <w:rsid w:val="00BD4605"/>
    <w:rsid w:val="00BD5706"/>
    <w:rsid w:val="00BD5FB8"/>
    <w:rsid w:val="00BD6229"/>
    <w:rsid w:val="00BD6F6A"/>
    <w:rsid w:val="00BD73C6"/>
    <w:rsid w:val="00BE010D"/>
    <w:rsid w:val="00BE0447"/>
    <w:rsid w:val="00BE0574"/>
    <w:rsid w:val="00BE05C7"/>
    <w:rsid w:val="00BE0950"/>
    <w:rsid w:val="00BE1281"/>
    <w:rsid w:val="00BE1663"/>
    <w:rsid w:val="00BE1870"/>
    <w:rsid w:val="00BE2AAD"/>
    <w:rsid w:val="00BE2FA7"/>
    <w:rsid w:val="00BE431D"/>
    <w:rsid w:val="00BE4579"/>
    <w:rsid w:val="00BE4600"/>
    <w:rsid w:val="00BE4F8B"/>
    <w:rsid w:val="00BE57B6"/>
    <w:rsid w:val="00BE5976"/>
    <w:rsid w:val="00BE5E52"/>
    <w:rsid w:val="00BE61EF"/>
    <w:rsid w:val="00BE6606"/>
    <w:rsid w:val="00BE684D"/>
    <w:rsid w:val="00BE70FB"/>
    <w:rsid w:val="00BE7C45"/>
    <w:rsid w:val="00BE7EA7"/>
    <w:rsid w:val="00BE7F23"/>
    <w:rsid w:val="00BF1FB9"/>
    <w:rsid w:val="00BF26AE"/>
    <w:rsid w:val="00BF2D7D"/>
    <w:rsid w:val="00BF3D2C"/>
    <w:rsid w:val="00BF47A6"/>
    <w:rsid w:val="00BF482A"/>
    <w:rsid w:val="00BF4CDC"/>
    <w:rsid w:val="00BF55BA"/>
    <w:rsid w:val="00BF55D0"/>
    <w:rsid w:val="00BF5730"/>
    <w:rsid w:val="00BF6102"/>
    <w:rsid w:val="00BF6402"/>
    <w:rsid w:val="00BF642B"/>
    <w:rsid w:val="00BF67E7"/>
    <w:rsid w:val="00BF6A08"/>
    <w:rsid w:val="00BF6A1B"/>
    <w:rsid w:val="00BF6BD2"/>
    <w:rsid w:val="00BF6E86"/>
    <w:rsid w:val="00BF73E5"/>
    <w:rsid w:val="00BF74DF"/>
    <w:rsid w:val="00BF75F3"/>
    <w:rsid w:val="00BF7AB2"/>
    <w:rsid w:val="00BF7B74"/>
    <w:rsid w:val="00BF7B75"/>
    <w:rsid w:val="00C00583"/>
    <w:rsid w:val="00C006B6"/>
    <w:rsid w:val="00C00B64"/>
    <w:rsid w:val="00C01551"/>
    <w:rsid w:val="00C01A1C"/>
    <w:rsid w:val="00C01A5A"/>
    <w:rsid w:val="00C020E9"/>
    <w:rsid w:val="00C031AD"/>
    <w:rsid w:val="00C03588"/>
    <w:rsid w:val="00C03FFC"/>
    <w:rsid w:val="00C04053"/>
    <w:rsid w:val="00C046D5"/>
    <w:rsid w:val="00C04B89"/>
    <w:rsid w:val="00C0510C"/>
    <w:rsid w:val="00C0521A"/>
    <w:rsid w:val="00C0561B"/>
    <w:rsid w:val="00C056FE"/>
    <w:rsid w:val="00C05E71"/>
    <w:rsid w:val="00C06819"/>
    <w:rsid w:val="00C06B63"/>
    <w:rsid w:val="00C06F88"/>
    <w:rsid w:val="00C07648"/>
    <w:rsid w:val="00C07D08"/>
    <w:rsid w:val="00C07E81"/>
    <w:rsid w:val="00C10800"/>
    <w:rsid w:val="00C10F15"/>
    <w:rsid w:val="00C112CF"/>
    <w:rsid w:val="00C11483"/>
    <w:rsid w:val="00C11DB3"/>
    <w:rsid w:val="00C12258"/>
    <w:rsid w:val="00C12300"/>
    <w:rsid w:val="00C128CC"/>
    <w:rsid w:val="00C12953"/>
    <w:rsid w:val="00C12D0F"/>
    <w:rsid w:val="00C1300E"/>
    <w:rsid w:val="00C13455"/>
    <w:rsid w:val="00C135D8"/>
    <w:rsid w:val="00C13606"/>
    <w:rsid w:val="00C137AD"/>
    <w:rsid w:val="00C1392B"/>
    <w:rsid w:val="00C13FB3"/>
    <w:rsid w:val="00C1410E"/>
    <w:rsid w:val="00C15952"/>
    <w:rsid w:val="00C15B2E"/>
    <w:rsid w:val="00C16709"/>
    <w:rsid w:val="00C168DA"/>
    <w:rsid w:val="00C16AB8"/>
    <w:rsid w:val="00C16EF0"/>
    <w:rsid w:val="00C16FA0"/>
    <w:rsid w:val="00C1704A"/>
    <w:rsid w:val="00C177DA"/>
    <w:rsid w:val="00C17F9A"/>
    <w:rsid w:val="00C2019F"/>
    <w:rsid w:val="00C2046F"/>
    <w:rsid w:val="00C208D1"/>
    <w:rsid w:val="00C20A69"/>
    <w:rsid w:val="00C20E93"/>
    <w:rsid w:val="00C210E8"/>
    <w:rsid w:val="00C211C4"/>
    <w:rsid w:val="00C21538"/>
    <w:rsid w:val="00C216B1"/>
    <w:rsid w:val="00C217EF"/>
    <w:rsid w:val="00C21963"/>
    <w:rsid w:val="00C22865"/>
    <w:rsid w:val="00C22BC5"/>
    <w:rsid w:val="00C22E27"/>
    <w:rsid w:val="00C23017"/>
    <w:rsid w:val="00C235EB"/>
    <w:rsid w:val="00C23C9C"/>
    <w:rsid w:val="00C23F22"/>
    <w:rsid w:val="00C242C1"/>
    <w:rsid w:val="00C244AB"/>
    <w:rsid w:val="00C24AA3"/>
    <w:rsid w:val="00C25048"/>
    <w:rsid w:val="00C25703"/>
    <w:rsid w:val="00C257ED"/>
    <w:rsid w:val="00C25B11"/>
    <w:rsid w:val="00C25B28"/>
    <w:rsid w:val="00C25D2C"/>
    <w:rsid w:val="00C2618B"/>
    <w:rsid w:val="00C262A4"/>
    <w:rsid w:val="00C266E9"/>
    <w:rsid w:val="00C26ADA"/>
    <w:rsid w:val="00C26C5F"/>
    <w:rsid w:val="00C26F71"/>
    <w:rsid w:val="00C276B3"/>
    <w:rsid w:val="00C27EAA"/>
    <w:rsid w:val="00C27EAD"/>
    <w:rsid w:val="00C3098D"/>
    <w:rsid w:val="00C30D13"/>
    <w:rsid w:val="00C31165"/>
    <w:rsid w:val="00C31251"/>
    <w:rsid w:val="00C31514"/>
    <w:rsid w:val="00C31F06"/>
    <w:rsid w:val="00C32084"/>
    <w:rsid w:val="00C32A65"/>
    <w:rsid w:val="00C332D5"/>
    <w:rsid w:val="00C3381A"/>
    <w:rsid w:val="00C33BD2"/>
    <w:rsid w:val="00C33E8E"/>
    <w:rsid w:val="00C34DCB"/>
    <w:rsid w:val="00C34FA1"/>
    <w:rsid w:val="00C357CD"/>
    <w:rsid w:val="00C35CD0"/>
    <w:rsid w:val="00C35D46"/>
    <w:rsid w:val="00C35DF9"/>
    <w:rsid w:val="00C35F15"/>
    <w:rsid w:val="00C36520"/>
    <w:rsid w:val="00C36914"/>
    <w:rsid w:val="00C37219"/>
    <w:rsid w:val="00C37395"/>
    <w:rsid w:val="00C376F3"/>
    <w:rsid w:val="00C40464"/>
    <w:rsid w:val="00C40572"/>
    <w:rsid w:val="00C40D5B"/>
    <w:rsid w:val="00C40F64"/>
    <w:rsid w:val="00C4158F"/>
    <w:rsid w:val="00C41805"/>
    <w:rsid w:val="00C4182E"/>
    <w:rsid w:val="00C41A3A"/>
    <w:rsid w:val="00C41FB9"/>
    <w:rsid w:val="00C427C0"/>
    <w:rsid w:val="00C4281E"/>
    <w:rsid w:val="00C42B43"/>
    <w:rsid w:val="00C42EC6"/>
    <w:rsid w:val="00C4320A"/>
    <w:rsid w:val="00C43442"/>
    <w:rsid w:val="00C438A0"/>
    <w:rsid w:val="00C43DAC"/>
    <w:rsid w:val="00C4417F"/>
    <w:rsid w:val="00C451E9"/>
    <w:rsid w:val="00C452B8"/>
    <w:rsid w:val="00C45A9C"/>
    <w:rsid w:val="00C45CBC"/>
    <w:rsid w:val="00C45EC5"/>
    <w:rsid w:val="00C45FD8"/>
    <w:rsid w:val="00C462CE"/>
    <w:rsid w:val="00C465C9"/>
    <w:rsid w:val="00C4665F"/>
    <w:rsid w:val="00C47315"/>
    <w:rsid w:val="00C478E2"/>
    <w:rsid w:val="00C506AF"/>
    <w:rsid w:val="00C50A8E"/>
    <w:rsid w:val="00C50AA6"/>
    <w:rsid w:val="00C50F98"/>
    <w:rsid w:val="00C516F7"/>
    <w:rsid w:val="00C51964"/>
    <w:rsid w:val="00C51A74"/>
    <w:rsid w:val="00C51C91"/>
    <w:rsid w:val="00C51D16"/>
    <w:rsid w:val="00C51E48"/>
    <w:rsid w:val="00C5210B"/>
    <w:rsid w:val="00C525DF"/>
    <w:rsid w:val="00C52C28"/>
    <w:rsid w:val="00C5340B"/>
    <w:rsid w:val="00C53632"/>
    <w:rsid w:val="00C53BF9"/>
    <w:rsid w:val="00C53DB9"/>
    <w:rsid w:val="00C53F80"/>
    <w:rsid w:val="00C53F9F"/>
    <w:rsid w:val="00C5438C"/>
    <w:rsid w:val="00C54696"/>
    <w:rsid w:val="00C55135"/>
    <w:rsid w:val="00C5559E"/>
    <w:rsid w:val="00C56232"/>
    <w:rsid w:val="00C56546"/>
    <w:rsid w:val="00C56627"/>
    <w:rsid w:val="00C56EFD"/>
    <w:rsid w:val="00C574F4"/>
    <w:rsid w:val="00C57582"/>
    <w:rsid w:val="00C60463"/>
    <w:rsid w:val="00C605A4"/>
    <w:rsid w:val="00C60995"/>
    <w:rsid w:val="00C61407"/>
    <w:rsid w:val="00C615F0"/>
    <w:rsid w:val="00C61961"/>
    <w:rsid w:val="00C62900"/>
    <w:rsid w:val="00C63235"/>
    <w:rsid w:val="00C6350E"/>
    <w:rsid w:val="00C636E7"/>
    <w:rsid w:val="00C638CC"/>
    <w:rsid w:val="00C63A46"/>
    <w:rsid w:val="00C63D25"/>
    <w:rsid w:val="00C64056"/>
    <w:rsid w:val="00C64A2F"/>
    <w:rsid w:val="00C64B1E"/>
    <w:rsid w:val="00C64B39"/>
    <w:rsid w:val="00C65516"/>
    <w:rsid w:val="00C6570D"/>
    <w:rsid w:val="00C6572D"/>
    <w:rsid w:val="00C658B6"/>
    <w:rsid w:val="00C65966"/>
    <w:rsid w:val="00C65C01"/>
    <w:rsid w:val="00C65DFB"/>
    <w:rsid w:val="00C665DC"/>
    <w:rsid w:val="00C66B03"/>
    <w:rsid w:val="00C674BF"/>
    <w:rsid w:val="00C676B8"/>
    <w:rsid w:val="00C67906"/>
    <w:rsid w:val="00C67962"/>
    <w:rsid w:val="00C67FB1"/>
    <w:rsid w:val="00C7099D"/>
    <w:rsid w:val="00C71093"/>
    <w:rsid w:val="00C71197"/>
    <w:rsid w:val="00C723DF"/>
    <w:rsid w:val="00C725B4"/>
    <w:rsid w:val="00C72624"/>
    <w:rsid w:val="00C72765"/>
    <w:rsid w:val="00C72AA5"/>
    <w:rsid w:val="00C72BAA"/>
    <w:rsid w:val="00C736EF"/>
    <w:rsid w:val="00C73A02"/>
    <w:rsid w:val="00C73FF7"/>
    <w:rsid w:val="00C7484F"/>
    <w:rsid w:val="00C74EF0"/>
    <w:rsid w:val="00C75143"/>
    <w:rsid w:val="00C7531D"/>
    <w:rsid w:val="00C75443"/>
    <w:rsid w:val="00C75506"/>
    <w:rsid w:val="00C75553"/>
    <w:rsid w:val="00C7596C"/>
    <w:rsid w:val="00C759D8"/>
    <w:rsid w:val="00C75E5C"/>
    <w:rsid w:val="00C76698"/>
    <w:rsid w:val="00C767EE"/>
    <w:rsid w:val="00C773DE"/>
    <w:rsid w:val="00C77FFA"/>
    <w:rsid w:val="00C8002F"/>
    <w:rsid w:val="00C80114"/>
    <w:rsid w:val="00C80606"/>
    <w:rsid w:val="00C80E24"/>
    <w:rsid w:val="00C814E8"/>
    <w:rsid w:val="00C81B82"/>
    <w:rsid w:val="00C81BB7"/>
    <w:rsid w:val="00C82953"/>
    <w:rsid w:val="00C8296D"/>
    <w:rsid w:val="00C83551"/>
    <w:rsid w:val="00C835AD"/>
    <w:rsid w:val="00C8431B"/>
    <w:rsid w:val="00C84483"/>
    <w:rsid w:val="00C84B39"/>
    <w:rsid w:val="00C84B7F"/>
    <w:rsid w:val="00C84BCD"/>
    <w:rsid w:val="00C84FD1"/>
    <w:rsid w:val="00C8519C"/>
    <w:rsid w:val="00C85CE3"/>
    <w:rsid w:val="00C870BB"/>
    <w:rsid w:val="00C870E9"/>
    <w:rsid w:val="00C8737D"/>
    <w:rsid w:val="00C87992"/>
    <w:rsid w:val="00C87C74"/>
    <w:rsid w:val="00C90318"/>
    <w:rsid w:val="00C908F6"/>
    <w:rsid w:val="00C90CE7"/>
    <w:rsid w:val="00C92EA4"/>
    <w:rsid w:val="00C92F3D"/>
    <w:rsid w:val="00C935E0"/>
    <w:rsid w:val="00C93A4D"/>
    <w:rsid w:val="00C93CC3"/>
    <w:rsid w:val="00C93EC1"/>
    <w:rsid w:val="00C940EF"/>
    <w:rsid w:val="00C94901"/>
    <w:rsid w:val="00C94CC6"/>
    <w:rsid w:val="00C94CCA"/>
    <w:rsid w:val="00C94DD3"/>
    <w:rsid w:val="00C94E73"/>
    <w:rsid w:val="00C95833"/>
    <w:rsid w:val="00C95840"/>
    <w:rsid w:val="00C95B26"/>
    <w:rsid w:val="00C95DE8"/>
    <w:rsid w:val="00C9605F"/>
    <w:rsid w:val="00C969BB"/>
    <w:rsid w:val="00C96BE0"/>
    <w:rsid w:val="00CA129E"/>
    <w:rsid w:val="00CA1D58"/>
    <w:rsid w:val="00CA2527"/>
    <w:rsid w:val="00CA2E05"/>
    <w:rsid w:val="00CA3A95"/>
    <w:rsid w:val="00CA45FA"/>
    <w:rsid w:val="00CA5806"/>
    <w:rsid w:val="00CA5A89"/>
    <w:rsid w:val="00CA5CFC"/>
    <w:rsid w:val="00CA6F69"/>
    <w:rsid w:val="00CA70BB"/>
    <w:rsid w:val="00CA7A7E"/>
    <w:rsid w:val="00CB01A9"/>
    <w:rsid w:val="00CB03E6"/>
    <w:rsid w:val="00CB0420"/>
    <w:rsid w:val="00CB05A0"/>
    <w:rsid w:val="00CB0C71"/>
    <w:rsid w:val="00CB0E62"/>
    <w:rsid w:val="00CB112C"/>
    <w:rsid w:val="00CB11D5"/>
    <w:rsid w:val="00CB184D"/>
    <w:rsid w:val="00CB1904"/>
    <w:rsid w:val="00CB1C5C"/>
    <w:rsid w:val="00CB1F71"/>
    <w:rsid w:val="00CB26B5"/>
    <w:rsid w:val="00CB29CA"/>
    <w:rsid w:val="00CB2E95"/>
    <w:rsid w:val="00CB2F3D"/>
    <w:rsid w:val="00CB3824"/>
    <w:rsid w:val="00CB3DDD"/>
    <w:rsid w:val="00CB41A8"/>
    <w:rsid w:val="00CB4ECF"/>
    <w:rsid w:val="00CB544B"/>
    <w:rsid w:val="00CB5DDB"/>
    <w:rsid w:val="00CB6307"/>
    <w:rsid w:val="00CB64ED"/>
    <w:rsid w:val="00CB6541"/>
    <w:rsid w:val="00CB6825"/>
    <w:rsid w:val="00CB72EE"/>
    <w:rsid w:val="00CB7917"/>
    <w:rsid w:val="00CB79B4"/>
    <w:rsid w:val="00CB7A35"/>
    <w:rsid w:val="00CC0A94"/>
    <w:rsid w:val="00CC1372"/>
    <w:rsid w:val="00CC1418"/>
    <w:rsid w:val="00CC1640"/>
    <w:rsid w:val="00CC16F7"/>
    <w:rsid w:val="00CC1AA6"/>
    <w:rsid w:val="00CC20C9"/>
    <w:rsid w:val="00CC2619"/>
    <w:rsid w:val="00CC28C6"/>
    <w:rsid w:val="00CC2A11"/>
    <w:rsid w:val="00CC2C70"/>
    <w:rsid w:val="00CC2C9B"/>
    <w:rsid w:val="00CC2CF6"/>
    <w:rsid w:val="00CC2D34"/>
    <w:rsid w:val="00CC34A6"/>
    <w:rsid w:val="00CC39D5"/>
    <w:rsid w:val="00CC39F6"/>
    <w:rsid w:val="00CC3A4F"/>
    <w:rsid w:val="00CC4029"/>
    <w:rsid w:val="00CC40E7"/>
    <w:rsid w:val="00CC42E6"/>
    <w:rsid w:val="00CC4524"/>
    <w:rsid w:val="00CC452B"/>
    <w:rsid w:val="00CC4CEB"/>
    <w:rsid w:val="00CC4DCF"/>
    <w:rsid w:val="00CC5CB4"/>
    <w:rsid w:val="00CC5D15"/>
    <w:rsid w:val="00CC6213"/>
    <w:rsid w:val="00CC6C80"/>
    <w:rsid w:val="00CC6E16"/>
    <w:rsid w:val="00CC7188"/>
    <w:rsid w:val="00CD00CF"/>
    <w:rsid w:val="00CD037C"/>
    <w:rsid w:val="00CD1072"/>
    <w:rsid w:val="00CD1426"/>
    <w:rsid w:val="00CD1BAF"/>
    <w:rsid w:val="00CD1BF2"/>
    <w:rsid w:val="00CD1CAC"/>
    <w:rsid w:val="00CD1F3F"/>
    <w:rsid w:val="00CD1F81"/>
    <w:rsid w:val="00CD2066"/>
    <w:rsid w:val="00CD2461"/>
    <w:rsid w:val="00CD2AF4"/>
    <w:rsid w:val="00CD2C56"/>
    <w:rsid w:val="00CD3214"/>
    <w:rsid w:val="00CD3311"/>
    <w:rsid w:val="00CD3D48"/>
    <w:rsid w:val="00CD4BAD"/>
    <w:rsid w:val="00CD51F1"/>
    <w:rsid w:val="00CD52DB"/>
    <w:rsid w:val="00CD5C32"/>
    <w:rsid w:val="00CD5CC7"/>
    <w:rsid w:val="00CD5D0A"/>
    <w:rsid w:val="00CD637E"/>
    <w:rsid w:val="00CD63A3"/>
    <w:rsid w:val="00CD66AB"/>
    <w:rsid w:val="00CD69B6"/>
    <w:rsid w:val="00CD69E7"/>
    <w:rsid w:val="00CD70E1"/>
    <w:rsid w:val="00CD717D"/>
    <w:rsid w:val="00CD7510"/>
    <w:rsid w:val="00CD7636"/>
    <w:rsid w:val="00CD775A"/>
    <w:rsid w:val="00CD797D"/>
    <w:rsid w:val="00CD7CC6"/>
    <w:rsid w:val="00CE0116"/>
    <w:rsid w:val="00CE0442"/>
    <w:rsid w:val="00CE08AA"/>
    <w:rsid w:val="00CE0D67"/>
    <w:rsid w:val="00CE0EC3"/>
    <w:rsid w:val="00CE1A82"/>
    <w:rsid w:val="00CE267A"/>
    <w:rsid w:val="00CE2AC1"/>
    <w:rsid w:val="00CE2C51"/>
    <w:rsid w:val="00CE2E79"/>
    <w:rsid w:val="00CE2F63"/>
    <w:rsid w:val="00CE3132"/>
    <w:rsid w:val="00CE373C"/>
    <w:rsid w:val="00CE42B2"/>
    <w:rsid w:val="00CE43E5"/>
    <w:rsid w:val="00CE4515"/>
    <w:rsid w:val="00CE5507"/>
    <w:rsid w:val="00CE56CB"/>
    <w:rsid w:val="00CE588A"/>
    <w:rsid w:val="00CE6C8A"/>
    <w:rsid w:val="00CE77C3"/>
    <w:rsid w:val="00CE7FF7"/>
    <w:rsid w:val="00CF0559"/>
    <w:rsid w:val="00CF0655"/>
    <w:rsid w:val="00CF0659"/>
    <w:rsid w:val="00CF0936"/>
    <w:rsid w:val="00CF14C4"/>
    <w:rsid w:val="00CF1517"/>
    <w:rsid w:val="00CF1C7F"/>
    <w:rsid w:val="00CF1DAC"/>
    <w:rsid w:val="00CF2235"/>
    <w:rsid w:val="00CF23D7"/>
    <w:rsid w:val="00CF2D28"/>
    <w:rsid w:val="00CF2DFA"/>
    <w:rsid w:val="00CF3940"/>
    <w:rsid w:val="00CF396D"/>
    <w:rsid w:val="00CF3A5B"/>
    <w:rsid w:val="00CF4129"/>
    <w:rsid w:val="00CF42DA"/>
    <w:rsid w:val="00CF466C"/>
    <w:rsid w:val="00CF491C"/>
    <w:rsid w:val="00CF4923"/>
    <w:rsid w:val="00CF496A"/>
    <w:rsid w:val="00CF49B1"/>
    <w:rsid w:val="00CF4B3A"/>
    <w:rsid w:val="00CF4E09"/>
    <w:rsid w:val="00CF5CEC"/>
    <w:rsid w:val="00CF62B4"/>
    <w:rsid w:val="00CF6439"/>
    <w:rsid w:val="00CF6642"/>
    <w:rsid w:val="00CF694A"/>
    <w:rsid w:val="00CF6D4A"/>
    <w:rsid w:val="00CF7046"/>
    <w:rsid w:val="00CF7383"/>
    <w:rsid w:val="00CF7550"/>
    <w:rsid w:val="00CF7694"/>
    <w:rsid w:val="00CF770F"/>
    <w:rsid w:val="00CF77AA"/>
    <w:rsid w:val="00CF7BAF"/>
    <w:rsid w:val="00CF7EC9"/>
    <w:rsid w:val="00D003AC"/>
    <w:rsid w:val="00D00599"/>
    <w:rsid w:val="00D008EE"/>
    <w:rsid w:val="00D00E6E"/>
    <w:rsid w:val="00D00F72"/>
    <w:rsid w:val="00D0110F"/>
    <w:rsid w:val="00D01182"/>
    <w:rsid w:val="00D01259"/>
    <w:rsid w:val="00D012A9"/>
    <w:rsid w:val="00D01543"/>
    <w:rsid w:val="00D01A8D"/>
    <w:rsid w:val="00D01DA3"/>
    <w:rsid w:val="00D02276"/>
    <w:rsid w:val="00D0277B"/>
    <w:rsid w:val="00D02CAD"/>
    <w:rsid w:val="00D03094"/>
    <w:rsid w:val="00D034AF"/>
    <w:rsid w:val="00D035D2"/>
    <w:rsid w:val="00D037D7"/>
    <w:rsid w:val="00D0395B"/>
    <w:rsid w:val="00D05174"/>
    <w:rsid w:val="00D052CD"/>
    <w:rsid w:val="00D0574A"/>
    <w:rsid w:val="00D0588D"/>
    <w:rsid w:val="00D058D0"/>
    <w:rsid w:val="00D0668B"/>
    <w:rsid w:val="00D06762"/>
    <w:rsid w:val="00D06D0B"/>
    <w:rsid w:val="00D0704F"/>
    <w:rsid w:val="00D071D8"/>
    <w:rsid w:val="00D0735E"/>
    <w:rsid w:val="00D073B1"/>
    <w:rsid w:val="00D07E05"/>
    <w:rsid w:val="00D07ED7"/>
    <w:rsid w:val="00D07FFC"/>
    <w:rsid w:val="00D10477"/>
    <w:rsid w:val="00D10536"/>
    <w:rsid w:val="00D106AC"/>
    <w:rsid w:val="00D1076D"/>
    <w:rsid w:val="00D1086C"/>
    <w:rsid w:val="00D1097F"/>
    <w:rsid w:val="00D10D6E"/>
    <w:rsid w:val="00D10FCF"/>
    <w:rsid w:val="00D11245"/>
    <w:rsid w:val="00D112D1"/>
    <w:rsid w:val="00D11871"/>
    <w:rsid w:val="00D12978"/>
    <w:rsid w:val="00D13540"/>
    <w:rsid w:val="00D1359A"/>
    <w:rsid w:val="00D13EDC"/>
    <w:rsid w:val="00D1429B"/>
    <w:rsid w:val="00D1499E"/>
    <w:rsid w:val="00D14A9E"/>
    <w:rsid w:val="00D14DB8"/>
    <w:rsid w:val="00D1502D"/>
    <w:rsid w:val="00D15330"/>
    <w:rsid w:val="00D1538D"/>
    <w:rsid w:val="00D15912"/>
    <w:rsid w:val="00D15CE2"/>
    <w:rsid w:val="00D15E40"/>
    <w:rsid w:val="00D161B5"/>
    <w:rsid w:val="00D16375"/>
    <w:rsid w:val="00D17803"/>
    <w:rsid w:val="00D17FE5"/>
    <w:rsid w:val="00D209A1"/>
    <w:rsid w:val="00D20B64"/>
    <w:rsid w:val="00D20C40"/>
    <w:rsid w:val="00D21324"/>
    <w:rsid w:val="00D2137E"/>
    <w:rsid w:val="00D22792"/>
    <w:rsid w:val="00D22CE1"/>
    <w:rsid w:val="00D2304D"/>
    <w:rsid w:val="00D237F3"/>
    <w:rsid w:val="00D2387B"/>
    <w:rsid w:val="00D23ABC"/>
    <w:rsid w:val="00D24B3F"/>
    <w:rsid w:val="00D25817"/>
    <w:rsid w:val="00D26E3B"/>
    <w:rsid w:val="00D2736D"/>
    <w:rsid w:val="00D273B7"/>
    <w:rsid w:val="00D274BE"/>
    <w:rsid w:val="00D27680"/>
    <w:rsid w:val="00D27BD9"/>
    <w:rsid w:val="00D27C13"/>
    <w:rsid w:val="00D30769"/>
    <w:rsid w:val="00D317E3"/>
    <w:rsid w:val="00D31D60"/>
    <w:rsid w:val="00D323B4"/>
    <w:rsid w:val="00D3249B"/>
    <w:rsid w:val="00D32693"/>
    <w:rsid w:val="00D32953"/>
    <w:rsid w:val="00D32BA9"/>
    <w:rsid w:val="00D32EEC"/>
    <w:rsid w:val="00D3351A"/>
    <w:rsid w:val="00D33554"/>
    <w:rsid w:val="00D33EFF"/>
    <w:rsid w:val="00D33F0A"/>
    <w:rsid w:val="00D3444D"/>
    <w:rsid w:val="00D34A48"/>
    <w:rsid w:val="00D34D46"/>
    <w:rsid w:val="00D35086"/>
    <w:rsid w:val="00D35542"/>
    <w:rsid w:val="00D35CCC"/>
    <w:rsid w:val="00D35CDA"/>
    <w:rsid w:val="00D35DD0"/>
    <w:rsid w:val="00D35FF9"/>
    <w:rsid w:val="00D36336"/>
    <w:rsid w:val="00D36977"/>
    <w:rsid w:val="00D36D19"/>
    <w:rsid w:val="00D36F00"/>
    <w:rsid w:val="00D37488"/>
    <w:rsid w:val="00D37A21"/>
    <w:rsid w:val="00D40062"/>
    <w:rsid w:val="00D40EDA"/>
    <w:rsid w:val="00D40F17"/>
    <w:rsid w:val="00D4100E"/>
    <w:rsid w:val="00D41C40"/>
    <w:rsid w:val="00D41C71"/>
    <w:rsid w:val="00D4263C"/>
    <w:rsid w:val="00D4284E"/>
    <w:rsid w:val="00D429A3"/>
    <w:rsid w:val="00D42A24"/>
    <w:rsid w:val="00D42A26"/>
    <w:rsid w:val="00D42AA9"/>
    <w:rsid w:val="00D42B78"/>
    <w:rsid w:val="00D42BB5"/>
    <w:rsid w:val="00D433B3"/>
    <w:rsid w:val="00D438E7"/>
    <w:rsid w:val="00D43BB0"/>
    <w:rsid w:val="00D4485E"/>
    <w:rsid w:val="00D44860"/>
    <w:rsid w:val="00D44B77"/>
    <w:rsid w:val="00D4515B"/>
    <w:rsid w:val="00D4527F"/>
    <w:rsid w:val="00D45740"/>
    <w:rsid w:val="00D4589B"/>
    <w:rsid w:val="00D45930"/>
    <w:rsid w:val="00D45AB1"/>
    <w:rsid w:val="00D4632B"/>
    <w:rsid w:val="00D46C55"/>
    <w:rsid w:val="00D47B4C"/>
    <w:rsid w:val="00D47B51"/>
    <w:rsid w:val="00D50CF8"/>
    <w:rsid w:val="00D5105F"/>
    <w:rsid w:val="00D51664"/>
    <w:rsid w:val="00D521CD"/>
    <w:rsid w:val="00D52AE3"/>
    <w:rsid w:val="00D52CF0"/>
    <w:rsid w:val="00D52CF1"/>
    <w:rsid w:val="00D533D5"/>
    <w:rsid w:val="00D5355B"/>
    <w:rsid w:val="00D5381D"/>
    <w:rsid w:val="00D544BC"/>
    <w:rsid w:val="00D545EF"/>
    <w:rsid w:val="00D548D8"/>
    <w:rsid w:val="00D5545F"/>
    <w:rsid w:val="00D55983"/>
    <w:rsid w:val="00D56055"/>
    <w:rsid w:val="00D5641B"/>
    <w:rsid w:val="00D570AF"/>
    <w:rsid w:val="00D57120"/>
    <w:rsid w:val="00D571B2"/>
    <w:rsid w:val="00D574D0"/>
    <w:rsid w:val="00D57B8E"/>
    <w:rsid w:val="00D57BD1"/>
    <w:rsid w:val="00D57E43"/>
    <w:rsid w:val="00D57EEF"/>
    <w:rsid w:val="00D60143"/>
    <w:rsid w:val="00D61201"/>
    <w:rsid w:val="00D6142F"/>
    <w:rsid w:val="00D617F6"/>
    <w:rsid w:val="00D6192E"/>
    <w:rsid w:val="00D619C7"/>
    <w:rsid w:val="00D619EF"/>
    <w:rsid w:val="00D61EC3"/>
    <w:rsid w:val="00D61F5D"/>
    <w:rsid w:val="00D622FC"/>
    <w:rsid w:val="00D62627"/>
    <w:rsid w:val="00D628B3"/>
    <w:rsid w:val="00D62D16"/>
    <w:rsid w:val="00D638ED"/>
    <w:rsid w:val="00D63C06"/>
    <w:rsid w:val="00D64189"/>
    <w:rsid w:val="00D641AC"/>
    <w:rsid w:val="00D64331"/>
    <w:rsid w:val="00D6458A"/>
    <w:rsid w:val="00D645D8"/>
    <w:rsid w:val="00D64BB6"/>
    <w:rsid w:val="00D64BDE"/>
    <w:rsid w:val="00D64C5B"/>
    <w:rsid w:val="00D64F3A"/>
    <w:rsid w:val="00D66813"/>
    <w:rsid w:val="00D66BD8"/>
    <w:rsid w:val="00D66D55"/>
    <w:rsid w:val="00D67B87"/>
    <w:rsid w:val="00D701F4"/>
    <w:rsid w:val="00D70BFB"/>
    <w:rsid w:val="00D70DD9"/>
    <w:rsid w:val="00D712A3"/>
    <w:rsid w:val="00D713BD"/>
    <w:rsid w:val="00D71996"/>
    <w:rsid w:val="00D71FE9"/>
    <w:rsid w:val="00D7206A"/>
    <w:rsid w:val="00D7257A"/>
    <w:rsid w:val="00D73445"/>
    <w:rsid w:val="00D738A9"/>
    <w:rsid w:val="00D73FC1"/>
    <w:rsid w:val="00D73FD0"/>
    <w:rsid w:val="00D7461B"/>
    <w:rsid w:val="00D75847"/>
    <w:rsid w:val="00D764BF"/>
    <w:rsid w:val="00D765D5"/>
    <w:rsid w:val="00D7668D"/>
    <w:rsid w:val="00D76A2C"/>
    <w:rsid w:val="00D76FCD"/>
    <w:rsid w:val="00D772A1"/>
    <w:rsid w:val="00D77518"/>
    <w:rsid w:val="00D7765F"/>
    <w:rsid w:val="00D776DC"/>
    <w:rsid w:val="00D80245"/>
    <w:rsid w:val="00D80802"/>
    <w:rsid w:val="00D809DA"/>
    <w:rsid w:val="00D8186D"/>
    <w:rsid w:val="00D81C4D"/>
    <w:rsid w:val="00D82701"/>
    <w:rsid w:val="00D82864"/>
    <w:rsid w:val="00D83266"/>
    <w:rsid w:val="00D832B2"/>
    <w:rsid w:val="00D834D1"/>
    <w:rsid w:val="00D83CCD"/>
    <w:rsid w:val="00D84123"/>
    <w:rsid w:val="00D8419C"/>
    <w:rsid w:val="00D846D2"/>
    <w:rsid w:val="00D84853"/>
    <w:rsid w:val="00D848A8"/>
    <w:rsid w:val="00D84D48"/>
    <w:rsid w:val="00D85568"/>
    <w:rsid w:val="00D85BCC"/>
    <w:rsid w:val="00D85BCE"/>
    <w:rsid w:val="00D86083"/>
    <w:rsid w:val="00D860C2"/>
    <w:rsid w:val="00D865B6"/>
    <w:rsid w:val="00D866BC"/>
    <w:rsid w:val="00D86B5D"/>
    <w:rsid w:val="00D86DE1"/>
    <w:rsid w:val="00D87E9B"/>
    <w:rsid w:val="00D87F23"/>
    <w:rsid w:val="00D901BE"/>
    <w:rsid w:val="00D90A28"/>
    <w:rsid w:val="00D90F20"/>
    <w:rsid w:val="00D91025"/>
    <w:rsid w:val="00D9167C"/>
    <w:rsid w:val="00D919C0"/>
    <w:rsid w:val="00D92C16"/>
    <w:rsid w:val="00D93693"/>
    <w:rsid w:val="00D936A3"/>
    <w:rsid w:val="00D93950"/>
    <w:rsid w:val="00D93FC8"/>
    <w:rsid w:val="00D9417A"/>
    <w:rsid w:val="00D94537"/>
    <w:rsid w:val="00D9488B"/>
    <w:rsid w:val="00D94B69"/>
    <w:rsid w:val="00D94B72"/>
    <w:rsid w:val="00D950E1"/>
    <w:rsid w:val="00D95779"/>
    <w:rsid w:val="00D963F4"/>
    <w:rsid w:val="00D96972"/>
    <w:rsid w:val="00D96B39"/>
    <w:rsid w:val="00D96FC4"/>
    <w:rsid w:val="00D970F6"/>
    <w:rsid w:val="00D97597"/>
    <w:rsid w:val="00D97FB8"/>
    <w:rsid w:val="00DA018A"/>
    <w:rsid w:val="00DA01D5"/>
    <w:rsid w:val="00DA0E7E"/>
    <w:rsid w:val="00DA11CC"/>
    <w:rsid w:val="00DA1499"/>
    <w:rsid w:val="00DA1722"/>
    <w:rsid w:val="00DA17B5"/>
    <w:rsid w:val="00DA1F5E"/>
    <w:rsid w:val="00DA225C"/>
    <w:rsid w:val="00DA326A"/>
    <w:rsid w:val="00DA33AF"/>
    <w:rsid w:val="00DA34A0"/>
    <w:rsid w:val="00DA39A5"/>
    <w:rsid w:val="00DA3DF8"/>
    <w:rsid w:val="00DA4037"/>
    <w:rsid w:val="00DA4427"/>
    <w:rsid w:val="00DA462F"/>
    <w:rsid w:val="00DA503B"/>
    <w:rsid w:val="00DA538D"/>
    <w:rsid w:val="00DA5937"/>
    <w:rsid w:val="00DA5CC9"/>
    <w:rsid w:val="00DA653F"/>
    <w:rsid w:val="00DA6FCE"/>
    <w:rsid w:val="00DA71DA"/>
    <w:rsid w:val="00DA768C"/>
    <w:rsid w:val="00DA777C"/>
    <w:rsid w:val="00DA78BC"/>
    <w:rsid w:val="00DA794B"/>
    <w:rsid w:val="00DB042E"/>
    <w:rsid w:val="00DB0B2D"/>
    <w:rsid w:val="00DB1536"/>
    <w:rsid w:val="00DB15A7"/>
    <w:rsid w:val="00DB1B80"/>
    <w:rsid w:val="00DB1E46"/>
    <w:rsid w:val="00DB20BE"/>
    <w:rsid w:val="00DB236A"/>
    <w:rsid w:val="00DB23BA"/>
    <w:rsid w:val="00DB2B25"/>
    <w:rsid w:val="00DB34B3"/>
    <w:rsid w:val="00DB3559"/>
    <w:rsid w:val="00DB355A"/>
    <w:rsid w:val="00DB3FE5"/>
    <w:rsid w:val="00DB411A"/>
    <w:rsid w:val="00DB4411"/>
    <w:rsid w:val="00DB4AF6"/>
    <w:rsid w:val="00DB53B6"/>
    <w:rsid w:val="00DB617C"/>
    <w:rsid w:val="00DB6F8A"/>
    <w:rsid w:val="00DB6F8E"/>
    <w:rsid w:val="00DB774F"/>
    <w:rsid w:val="00DB7B8C"/>
    <w:rsid w:val="00DC04CB"/>
    <w:rsid w:val="00DC0A3C"/>
    <w:rsid w:val="00DC0F7C"/>
    <w:rsid w:val="00DC173A"/>
    <w:rsid w:val="00DC17BB"/>
    <w:rsid w:val="00DC1892"/>
    <w:rsid w:val="00DC1DD1"/>
    <w:rsid w:val="00DC2052"/>
    <w:rsid w:val="00DC27CA"/>
    <w:rsid w:val="00DC2817"/>
    <w:rsid w:val="00DC2918"/>
    <w:rsid w:val="00DC2B01"/>
    <w:rsid w:val="00DC359B"/>
    <w:rsid w:val="00DC3E94"/>
    <w:rsid w:val="00DC3F95"/>
    <w:rsid w:val="00DC4292"/>
    <w:rsid w:val="00DC429C"/>
    <w:rsid w:val="00DC4FEB"/>
    <w:rsid w:val="00DC5388"/>
    <w:rsid w:val="00DC56B7"/>
    <w:rsid w:val="00DC5B46"/>
    <w:rsid w:val="00DC5E97"/>
    <w:rsid w:val="00DC6163"/>
    <w:rsid w:val="00DC61B1"/>
    <w:rsid w:val="00DC6459"/>
    <w:rsid w:val="00DC6690"/>
    <w:rsid w:val="00DC67DB"/>
    <w:rsid w:val="00DC6BBD"/>
    <w:rsid w:val="00DC6DE9"/>
    <w:rsid w:val="00DC6E35"/>
    <w:rsid w:val="00DC6EBF"/>
    <w:rsid w:val="00DC7142"/>
    <w:rsid w:val="00DC7148"/>
    <w:rsid w:val="00DC7201"/>
    <w:rsid w:val="00DC7301"/>
    <w:rsid w:val="00DC7751"/>
    <w:rsid w:val="00DC77D7"/>
    <w:rsid w:val="00DC79C9"/>
    <w:rsid w:val="00DC7A40"/>
    <w:rsid w:val="00DC7D9A"/>
    <w:rsid w:val="00DD0233"/>
    <w:rsid w:val="00DD0695"/>
    <w:rsid w:val="00DD0832"/>
    <w:rsid w:val="00DD1205"/>
    <w:rsid w:val="00DD1309"/>
    <w:rsid w:val="00DD15B7"/>
    <w:rsid w:val="00DD1634"/>
    <w:rsid w:val="00DD2377"/>
    <w:rsid w:val="00DD27F9"/>
    <w:rsid w:val="00DD2C87"/>
    <w:rsid w:val="00DD30A6"/>
    <w:rsid w:val="00DD32FE"/>
    <w:rsid w:val="00DD40CD"/>
    <w:rsid w:val="00DD46B8"/>
    <w:rsid w:val="00DD4FDC"/>
    <w:rsid w:val="00DD5666"/>
    <w:rsid w:val="00DD5A43"/>
    <w:rsid w:val="00DD5E43"/>
    <w:rsid w:val="00DD5E48"/>
    <w:rsid w:val="00DD6288"/>
    <w:rsid w:val="00DD6BC2"/>
    <w:rsid w:val="00DD6E4F"/>
    <w:rsid w:val="00DD6F1F"/>
    <w:rsid w:val="00DD75BA"/>
    <w:rsid w:val="00DD7EF3"/>
    <w:rsid w:val="00DD7F1C"/>
    <w:rsid w:val="00DE0387"/>
    <w:rsid w:val="00DE05CB"/>
    <w:rsid w:val="00DE06D6"/>
    <w:rsid w:val="00DE105F"/>
    <w:rsid w:val="00DE10C8"/>
    <w:rsid w:val="00DE1E1D"/>
    <w:rsid w:val="00DE2465"/>
    <w:rsid w:val="00DE29A5"/>
    <w:rsid w:val="00DE2F89"/>
    <w:rsid w:val="00DE337E"/>
    <w:rsid w:val="00DE41ED"/>
    <w:rsid w:val="00DE46C1"/>
    <w:rsid w:val="00DE4873"/>
    <w:rsid w:val="00DE4A61"/>
    <w:rsid w:val="00DE4CB7"/>
    <w:rsid w:val="00DE5688"/>
    <w:rsid w:val="00DE57A3"/>
    <w:rsid w:val="00DE584F"/>
    <w:rsid w:val="00DE58F7"/>
    <w:rsid w:val="00DE5AF2"/>
    <w:rsid w:val="00DE63AD"/>
    <w:rsid w:val="00DE6ACF"/>
    <w:rsid w:val="00DE6BA3"/>
    <w:rsid w:val="00DE6D12"/>
    <w:rsid w:val="00DE6D3B"/>
    <w:rsid w:val="00DE7188"/>
    <w:rsid w:val="00DE731C"/>
    <w:rsid w:val="00DE75EB"/>
    <w:rsid w:val="00DE7833"/>
    <w:rsid w:val="00DE79C8"/>
    <w:rsid w:val="00DE7DEE"/>
    <w:rsid w:val="00DF015E"/>
    <w:rsid w:val="00DF0210"/>
    <w:rsid w:val="00DF09BA"/>
    <w:rsid w:val="00DF09F0"/>
    <w:rsid w:val="00DF1416"/>
    <w:rsid w:val="00DF195D"/>
    <w:rsid w:val="00DF1A02"/>
    <w:rsid w:val="00DF1AEE"/>
    <w:rsid w:val="00DF2676"/>
    <w:rsid w:val="00DF289A"/>
    <w:rsid w:val="00DF3355"/>
    <w:rsid w:val="00DF3C32"/>
    <w:rsid w:val="00DF4093"/>
    <w:rsid w:val="00DF423D"/>
    <w:rsid w:val="00DF46C9"/>
    <w:rsid w:val="00DF51FA"/>
    <w:rsid w:val="00DF5481"/>
    <w:rsid w:val="00DF596C"/>
    <w:rsid w:val="00DF5C98"/>
    <w:rsid w:val="00DF6406"/>
    <w:rsid w:val="00DF6AB4"/>
    <w:rsid w:val="00DF72AC"/>
    <w:rsid w:val="00DF782F"/>
    <w:rsid w:val="00DF7B82"/>
    <w:rsid w:val="00DF7D32"/>
    <w:rsid w:val="00DF7E10"/>
    <w:rsid w:val="00DF7F90"/>
    <w:rsid w:val="00E0004D"/>
    <w:rsid w:val="00E00162"/>
    <w:rsid w:val="00E003D0"/>
    <w:rsid w:val="00E00731"/>
    <w:rsid w:val="00E0076D"/>
    <w:rsid w:val="00E00786"/>
    <w:rsid w:val="00E007FF"/>
    <w:rsid w:val="00E00B72"/>
    <w:rsid w:val="00E00F61"/>
    <w:rsid w:val="00E0169E"/>
    <w:rsid w:val="00E01CFF"/>
    <w:rsid w:val="00E02134"/>
    <w:rsid w:val="00E0350D"/>
    <w:rsid w:val="00E04733"/>
    <w:rsid w:val="00E04775"/>
    <w:rsid w:val="00E047B0"/>
    <w:rsid w:val="00E0500A"/>
    <w:rsid w:val="00E050A2"/>
    <w:rsid w:val="00E05553"/>
    <w:rsid w:val="00E055D4"/>
    <w:rsid w:val="00E056B2"/>
    <w:rsid w:val="00E0592C"/>
    <w:rsid w:val="00E059F9"/>
    <w:rsid w:val="00E05D4E"/>
    <w:rsid w:val="00E05FD2"/>
    <w:rsid w:val="00E0604E"/>
    <w:rsid w:val="00E06808"/>
    <w:rsid w:val="00E07284"/>
    <w:rsid w:val="00E077A9"/>
    <w:rsid w:val="00E0784B"/>
    <w:rsid w:val="00E07A0B"/>
    <w:rsid w:val="00E07E58"/>
    <w:rsid w:val="00E10054"/>
    <w:rsid w:val="00E101A2"/>
    <w:rsid w:val="00E104E0"/>
    <w:rsid w:val="00E10C29"/>
    <w:rsid w:val="00E10C8D"/>
    <w:rsid w:val="00E10CF4"/>
    <w:rsid w:val="00E111F4"/>
    <w:rsid w:val="00E113B2"/>
    <w:rsid w:val="00E114F3"/>
    <w:rsid w:val="00E115CB"/>
    <w:rsid w:val="00E12032"/>
    <w:rsid w:val="00E12470"/>
    <w:rsid w:val="00E12AED"/>
    <w:rsid w:val="00E13653"/>
    <w:rsid w:val="00E14432"/>
    <w:rsid w:val="00E145C1"/>
    <w:rsid w:val="00E14927"/>
    <w:rsid w:val="00E14E9A"/>
    <w:rsid w:val="00E154F7"/>
    <w:rsid w:val="00E15818"/>
    <w:rsid w:val="00E15922"/>
    <w:rsid w:val="00E200FE"/>
    <w:rsid w:val="00E201AD"/>
    <w:rsid w:val="00E203DA"/>
    <w:rsid w:val="00E2055A"/>
    <w:rsid w:val="00E20A08"/>
    <w:rsid w:val="00E20F01"/>
    <w:rsid w:val="00E20F19"/>
    <w:rsid w:val="00E210E6"/>
    <w:rsid w:val="00E21311"/>
    <w:rsid w:val="00E21BB2"/>
    <w:rsid w:val="00E22ED8"/>
    <w:rsid w:val="00E242D5"/>
    <w:rsid w:val="00E243D5"/>
    <w:rsid w:val="00E245AC"/>
    <w:rsid w:val="00E2496A"/>
    <w:rsid w:val="00E25821"/>
    <w:rsid w:val="00E25985"/>
    <w:rsid w:val="00E2625D"/>
    <w:rsid w:val="00E27799"/>
    <w:rsid w:val="00E27C91"/>
    <w:rsid w:val="00E30220"/>
    <w:rsid w:val="00E3070C"/>
    <w:rsid w:val="00E30850"/>
    <w:rsid w:val="00E31260"/>
    <w:rsid w:val="00E315D7"/>
    <w:rsid w:val="00E31B47"/>
    <w:rsid w:val="00E31D43"/>
    <w:rsid w:val="00E31D61"/>
    <w:rsid w:val="00E31D75"/>
    <w:rsid w:val="00E32001"/>
    <w:rsid w:val="00E32099"/>
    <w:rsid w:val="00E322B4"/>
    <w:rsid w:val="00E323E8"/>
    <w:rsid w:val="00E32412"/>
    <w:rsid w:val="00E325C1"/>
    <w:rsid w:val="00E32D09"/>
    <w:rsid w:val="00E32FAE"/>
    <w:rsid w:val="00E3311C"/>
    <w:rsid w:val="00E336C9"/>
    <w:rsid w:val="00E33DAB"/>
    <w:rsid w:val="00E340C7"/>
    <w:rsid w:val="00E34280"/>
    <w:rsid w:val="00E342E3"/>
    <w:rsid w:val="00E3468E"/>
    <w:rsid w:val="00E3498E"/>
    <w:rsid w:val="00E34A41"/>
    <w:rsid w:val="00E34D93"/>
    <w:rsid w:val="00E34F80"/>
    <w:rsid w:val="00E35874"/>
    <w:rsid w:val="00E36377"/>
    <w:rsid w:val="00E36C6E"/>
    <w:rsid w:val="00E36CC5"/>
    <w:rsid w:val="00E37061"/>
    <w:rsid w:val="00E374B1"/>
    <w:rsid w:val="00E374D7"/>
    <w:rsid w:val="00E37902"/>
    <w:rsid w:val="00E37E67"/>
    <w:rsid w:val="00E37EB5"/>
    <w:rsid w:val="00E40A5F"/>
    <w:rsid w:val="00E40B12"/>
    <w:rsid w:val="00E413CD"/>
    <w:rsid w:val="00E41F74"/>
    <w:rsid w:val="00E4261B"/>
    <w:rsid w:val="00E427B4"/>
    <w:rsid w:val="00E42AB0"/>
    <w:rsid w:val="00E42CBB"/>
    <w:rsid w:val="00E42FE5"/>
    <w:rsid w:val="00E43774"/>
    <w:rsid w:val="00E43CE2"/>
    <w:rsid w:val="00E44EFB"/>
    <w:rsid w:val="00E4507F"/>
    <w:rsid w:val="00E45404"/>
    <w:rsid w:val="00E4540E"/>
    <w:rsid w:val="00E45520"/>
    <w:rsid w:val="00E45719"/>
    <w:rsid w:val="00E45D38"/>
    <w:rsid w:val="00E462F3"/>
    <w:rsid w:val="00E4648F"/>
    <w:rsid w:val="00E46684"/>
    <w:rsid w:val="00E468AB"/>
    <w:rsid w:val="00E46995"/>
    <w:rsid w:val="00E46D6F"/>
    <w:rsid w:val="00E4720F"/>
    <w:rsid w:val="00E478BF"/>
    <w:rsid w:val="00E50195"/>
    <w:rsid w:val="00E50779"/>
    <w:rsid w:val="00E50F09"/>
    <w:rsid w:val="00E510C5"/>
    <w:rsid w:val="00E5217C"/>
    <w:rsid w:val="00E52743"/>
    <w:rsid w:val="00E52777"/>
    <w:rsid w:val="00E529D9"/>
    <w:rsid w:val="00E52E53"/>
    <w:rsid w:val="00E53A6A"/>
    <w:rsid w:val="00E54709"/>
    <w:rsid w:val="00E54732"/>
    <w:rsid w:val="00E54A93"/>
    <w:rsid w:val="00E54EDC"/>
    <w:rsid w:val="00E55040"/>
    <w:rsid w:val="00E55255"/>
    <w:rsid w:val="00E555CF"/>
    <w:rsid w:val="00E55879"/>
    <w:rsid w:val="00E55A75"/>
    <w:rsid w:val="00E55BE2"/>
    <w:rsid w:val="00E55C6A"/>
    <w:rsid w:val="00E55EB2"/>
    <w:rsid w:val="00E562B7"/>
    <w:rsid w:val="00E568F8"/>
    <w:rsid w:val="00E5746C"/>
    <w:rsid w:val="00E57761"/>
    <w:rsid w:val="00E57DDC"/>
    <w:rsid w:val="00E60868"/>
    <w:rsid w:val="00E60992"/>
    <w:rsid w:val="00E6121E"/>
    <w:rsid w:val="00E62697"/>
    <w:rsid w:val="00E62856"/>
    <w:rsid w:val="00E62C80"/>
    <w:rsid w:val="00E62D93"/>
    <w:rsid w:val="00E630BB"/>
    <w:rsid w:val="00E63807"/>
    <w:rsid w:val="00E6408E"/>
    <w:rsid w:val="00E646DA"/>
    <w:rsid w:val="00E64780"/>
    <w:rsid w:val="00E64BBC"/>
    <w:rsid w:val="00E64E19"/>
    <w:rsid w:val="00E6525D"/>
    <w:rsid w:val="00E65496"/>
    <w:rsid w:val="00E6778C"/>
    <w:rsid w:val="00E67B1C"/>
    <w:rsid w:val="00E67BC1"/>
    <w:rsid w:val="00E67CB7"/>
    <w:rsid w:val="00E700D4"/>
    <w:rsid w:val="00E7026F"/>
    <w:rsid w:val="00E704A7"/>
    <w:rsid w:val="00E7084C"/>
    <w:rsid w:val="00E71533"/>
    <w:rsid w:val="00E724E3"/>
    <w:rsid w:val="00E72AA4"/>
    <w:rsid w:val="00E72E64"/>
    <w:rsid w:val="00E73A0A"/>
    <w:rsid w:val="00E73C35"/>
    <w:rsid w:val="00E75054"/>
    <w:rsid w:val="00E755F4"/>
    <w:rsid w:val="00E7588E"/>
    <w:rsid w:val="00E762D0"/>
    <w:rsid w:val="00E7677F"/>
    <w:rsid w:val="00E7697C"/>
    <w:rsid w:val="00E77AAD"/>
    <w:rsid w:val="00E77D42"/>
    <w:rsid w:val="00E80007"/>
    <w:rsid w:val="00E8004C"/>
    <w:rsid w:val="00E8083E"/>
    <w:rsid w:val="00E81426"/>
    <w:rsid w:val="00E815E4"/>
    <w:rsid w:val="00E82571"/>
    <w:rsid w:val="00E82D08"/>
    <w:rsid w:val="00E83026"/>
    <w:rsid w:val="00E832A3"/>
    <w:rsid w:val="00E834FA"/>
    <w:rsid w:val="00E84123"/>
    <w:rsid w:val="00E84C81"/>
    <w:rsid w:val="00E854BC"/>
    <w:rsid w:val="00E86050"/>
    <w:rsid w:val="00E864FF"/>
    <w:rsid w:val="00E86677"/>
    <w:rsid w:val="00E868B0"/>
    <w:rsid w:val="00E87324"/>
    <w:rsid w:val="00E87403"/>
    <w:rsid w:val="00E8766A"/>
    <w:rsid w:val="00E87B23"/>
    <w:rsid w:val="00E90350"/>
    <w:rsid w:val="00E90709"/>
    <w:rsid w:val="00E909CD"/>
    <w:rsid w:val="00E90C53"/>
    <w:rsid w:val="00E91146"/>
    <w:rsid w:val="00E91A9A"/>
    <w:rsid w:val="00E91B62"/>
    <w:rsid w:val="00E91CEA"/>
    <w:rsid w:val="00E91F12"/>
    <w:rsid w:val="00E9232E"/>
    <w:rsid w:val="00E925CE"/>
    <w:rsid w:val="00E92A2B"/>
    <w:rsid w:val="00E92D99"/>
    <w:rsid w:val="00E92FBF"/>
    <w:rsid w:val="00E937AA"/>
    <w:rsid w:val="00E93A89"/>
    <w:rsid w:val="00E93DA2"/>
    <w:rsid w:val="00E93E3E"/>
    <w:rsid w:val="00E93F86"/>
    <w:rsid w:val="00E94713"/>
    <w:rsid w:val="00E94BBE"/>
    <w:rsid w:val="00E94CC5"/>
    <w:rsid w:val="00E94D9A"/>
    <w:rsid w:val="00E950C8"/>
    <w:rsid w:val="00E95189"/>
    <w:rsid w:val="00E952A7"/>
    <w:rsid w:val="00E95724"/>
    <w:rsid w:val="00E957E5"/>
    <w:rsid w:val="00E959F5"/>
    <w:rsid w:val="00E95DB9"/>
    <w:rsid w:val="00E95DC9"/>
    <w:rsid w:val="00E95F09"/>
    <w:rsid w:val="00E96B9F"/>
    <w:rsid w:val="00E96DDF"/>
    <w:rsid w:val="00E96F8B"/>
    <w:rsid w:val="00E97250"/>
    <w:rsid w:val="00E97313"/>
    <w:rsid w:val="00E97430"/>
    <w:rsid w:val="00E976E8"/>
    <w:rsid w:val="00E97958"/>
    <w:rsid w:val="00E97D54"/>
    <w:rsid w:val="00EA01C5"/>
    <w:rsid w:val="00EA0318"/>
    <w:rsid w:val="00EA03FA"/>
    <w:rsid w:val="00EA0752"/>
    <w:rsid w:val="00EA0B21"/>
    <w:rsid w:val="00EA0EB7"/>
    <w:rsid w:val="00EA2412"/>
    <w:rsid w:val="00EA275E"/>
    <w:rsid w:val="00EA2CA7"/>
    <w:rsid w:val="00EA30BA"/>
    <w:rsid w:val="00EA3616"/>
    <w:rsid w:val="00EA38EA"/>
    <w:rsid w:val="00EA3BD4"/>
    <w:rsid w:val="00EA3D05"/>
    <w:rsid w:val="00EA52C3"/>
    <w:rsid w:val="00EA5A9C"/>
    <w:rsid w:val="00EA63F9"/>
    <w:rsid w:val="00EA6B6B"/>
    <w:rsid w:val="00EA7187"/>
    <w:rsid w:val="00EA7653"/>
    <w:rsid w:val="00EA7CE9"/>
    <w:rsid w:val="00EA7D58"/>
    <w:rsid w:val="00EB0A57"/>
    <w:rsid w:val="00EB0B6F"/>
    <w:rsid w:val="00EB1953"/>
    <w:rsid w:val="00EB1CB4"/>
    <w:rsid w:val="00EB1E04"/>
    <w:rsid w:val="00EB348B"/>
    <w:rsid w:val="00EB3FB5"/>
    <w:rsid w:val="00EB3FFF"/>
    <w:rsid w:val="00EB46ED"/>
    <w:rsid w:val="00EB4A52"/>
    <w:rsid w:val="00EB4D75"/>
    <w:rsid w:val="00EB5BC0"/>
    <w:rsid w:val="00EB5CB0"/>
    <w:rsid w:val="00EB61E5"/>
    <w:rsid w:val="00EB641A"/>
    <w:rsid w:val="00EB668F"/>
    <w:rsid w:val="00EB75A7"/>
    <w:rsid w:val="00EB765B"/>
    <w:rsid w:val="00EB76A5"/>
    <w:rsid w:val="00EB7846"/>
    <w:rsid w:val="00EC0111"/>
    <w:rsid w:val="00EC0426"/>
    <w:rsid w:val="00EC0718"/>
    <w:rsid w:val="00EC15A4"/>
    <w:rsid w:val="00EC1704"/>
    <w:rsid w:val="00EC1D84"/>
    <w:rsid w:val="00EC2033"/>
    <w:rsid w:val="00EC2140"/>
    <w:rsid w:val="00EC2C79"/>
    <w:rsid w:val="00EC2D4B"/>
    <w:rsid w:val="00EC36B2"/>
    <w:rsid w:val="00EC36EC"/>
    <w:rsid w:val="00EC3A81"/>
    <w:rsid w:val="00EC3BBF"/>
    <w:rsid w:val="00EC3E19"/>
    <w:rsid w:val="00EC40BF"/>
    <w:rsid w:val="00EC4739"/>
    <w:rsid w:val="00EC4FBB"/>
    <w:rsid w:val="00EC58F8"/>
    <w:rsid w:val="00EC5B7D"/>
    <w:rsid w:val="00EC609F"/>
    <w:rsid w:val="00EC6557"/>
    <w:rsid w:val="00EC668D"/>
    <w:rsid w:val="00EC6DF8"/>
    <w:rsid w:val="00EC7CD4"/>
    <w:rsid w:val="00ED066B"/>
    <w:rsid w:val="00ED0FBE"/>
    <w:rsid w:val="00ED1079"/>
    <w:rsid w:val="00ED125C"/>
    <w:rsid w:val="00ED1296"/>
    <w:rsid w:val="00ED12C9"/>
    <w:rsid w:val="00ED166C"/>
    <w:rsid w:val="00ED1773"/>
    <w:rsid w:val="00ED182F"/>
    <w:rsid w:val="00ED1D0E"/>
    <w:rsid w:val="00ED2C0A"/>
    <w:rsid w:val="00ED334B"/>
    <w:rsid w:val="00ED33F0"/>
    <w:rsid w:val="00ED3564"/>
    <w:rsid w:val="00ED3675"/>
    <w:rsid w:val="00ED45B2"/>
    <w:rsid w:val="00ED4A30"/>
    <w:rsid w:val="00ED4B60"/>
    <w:rsid w:val="00ED4DC8"/>
    <w:rsid w:val="00ED518D"/>
    <w:rsid w:val="00ED5FA4"/>
    <w:rsid w:val="00ED6404"/>
    <w:rsid w:val="00ED64AA"/>
    <w:rsid w:val="00ED6F1D"/>
    <w:rsid w:val="00ED79A1"/>
    <w:rsid w:val="00EE0E1D"/>
    <w:rsid w:val="00EE0EBB"/>
    <w:rsid w:val="00EE16C8"/>
    <w:rsid w:val="00EE1E87"/>
    <w:rsid w:val="00EE2273"/>
    <w:rsid w:val="00EE2274"/>
    <w:rsid w:val="00EE3FD2"/>
    <w:rsid w:val="00EE477F"/>
    <w:rsid w:val="00EE47E8"/>
    <w:rsid w:val="00EE555B"/>
    <w:rsid w:val="00EE561D"/>
    <w:rsid w:val="00EE58A8"/>
    <w:rsid w:val="00EE5B55"/>
    <w:rsid w:val="00EE5D8E"/>
    <w:rsid w:val="00EE61E6"/>
    <w:rsid w:val="00EE6294"/>
    <w:rsid w:val="00EE63C7"/>
    <w:rsid w:val="00EE6628"/>
    <w:rsid w:val="00EE7030"/>
    <w:rsid w:val="00EE7557"/>
    <w:rsid w:val="00EE7FCB"/>
    <w:rsid w:val="00EF0517"/>
    <w:rsid w:val="00EF0CE2"/>
    <w:rsid w:val="00EF0E30"/>
    <w:rsid w:val="00EF10DA"/>
    <w:rsid w:val="00EF216F"/>
    <w:rsid w:val="00EF21C0"/>
    <w:rsid w:val="00EF2305"/>
    <w:rsid w:val="00EF2FAE"/>
    <w:rsid w:val="00EF3139"/>
    <w:rsid w:val="00EF3543"/>
    <w:rsid w:val="00EF398B"/>
    <w:rsid w:val="00EF3A7B"/>
    <w:rsid w:val="00EF3D98"/>
    <w:rsid w:val="00EF4247"/>
    <w:rsid w:val="00EF4BE1"/>
    <w:rsid w:val="00EF4CF5"/>
    <w:rsid w:val="00EF515F"/>
    <w:rsid w:val="00EF520E"/>
    <w:rsid w:val="00EF56C1"/>
    <w:rsid w:val="00EF5AF4"/>
    <w:rsid w:val="00EF5F03"/>
    <w:rsid w:val="00EF6566"/>
    <w:rsid w:val="00EF66A7"/>
    <w:rsid w:val="00EF6981"/>
    <w:rsid w:val="00EF6E49"/>
    <w:rsid w:val="00EF6EB9"/>
    <w:rsid w:val="00EF72FD"/>
    <w:rsid w:val="00EF7669"/>
    <w:rsid w:val="00EF7AE8"/>
    <w:rsid w:val="00F002DD"/>
    <w:rsid w:val="00F00326"/>
    <w:rsid w:val="00F00E6B"/>
    <w:rsid w:val="00F01DB2"/>
    <w:rsid w:val="00F02239"/>
    <w:rsid w:val="00F0223D"/>
    <w:rsid w:val="00F02286"/>
    <w:rsid w:val="00F02661"/>
    <w:rsid w:val="00F02750"/>
    <w:rsid w:val="00F0295D"/>
    <w:rsid w:val="00F02B74"/>
    <w:rsid w:val="00F034E1"/>
    <w:rsid w:val="00F036E5"/>
    <w:rsid w:val="00F03882"/>
    <w:rsid w:val="00F0398B"/>
    <w:rsid w:val="00F03EC0"/>
    <w:rsid w:val="00F04791"/>
    <w:rsid w:val="00F05D53"/>
    <w:rsid w:val="00F05E6C"/>
    <w:rsid w:val="00F0628B"/>
    <w:rsid w:val="00F0659F"/>
    <w:rsid w:val="00F0672E"/>
    <w:rsid w:val="00F0725F"/>
    <w:rsid w:val="00F0764C"/>
    <w:rsid w:val="00F0784A"/>
    <w:rsid w:val="00F07CB6"/>
    <w:rsid w:val="00F07EBA"/>
    <w:rsid w:val="00F10440"/>
    <w:rsid w:val="00F109C7"/>
    <w:rsid w:val="00F10A29"/>
    <w:rsid w:val="00F10BBD"/>
    <w:rsid w:val="00F11CEE"/>
    <w:rsid w:val="00F11D03"/>
    <w:rsid w:val="00F11E13"/>
    <w:rsid w:val="00F1212F"/>
    <w:rsid w:val="00F1285A"/>
    <w:rsid w:val="00F13080"/>
    <w:rsid w:val="00F13E23"/>
    <w:rsid w:val="00F1472E"/>
    <w:rsid w:val="00F15812"/>
    <w:rsid w:val="00F16B20"/>
    <w:rsid w:val="00F202E2"/>
    <w:rsid w:val="00F20851"/>
    <w:rsid w:val="00F21329"/>
    <w:rsid w:val="00F21A52"/>
    <w:rsid w:val="00F21CFB"/>
    <w:rsid w:val="00F21E37"/>
    <w:rsid w:val="00F2216A"/>
    <w:rsid w:val="00F22754"/>
    <w:rsid w:val="00F22832"/>
    <w:rsid w:val="00F228C0"/>
    <w:rsid w:val="00F22D3E"/>
    <w:rsid w:val="00F23713"/>
    <w:rsid w:val="00F23827"/>
    <w:rsid w:val="00F23909"/>
    <w:rsid w:val="00F23AD9"/>
    <w:rsid w:val="00F23DA3"/>
    <w:rsid w:val="00F240E1"/>
    <w:rsid w:val="00F249D4"/>
    <w:rsid w:val="00F24B6B"/>
    <w:rsid w:val="00F25908"/>
    <w:rsid w:val="00F25FCA"/>
    <w:rsid w:val="00F2683E"/>
    <w:rsid w:val="00F269A9"/>
    <w:rsid w:val="00F26F50"/>
    <w:rsid w:val="00F303A9"/>
    <w:rsid w:val="00F31183"/>
    <w:rsid w:val="00F31232"/>
    <w:rsid w:val="00F31CB9"/>
    <w:rsid w:val="00F323DF"/>
    <w:rsid w:val="00F324D5"/>
    <w:rsid w:val="00F32A8A"/>
    <w:rsid w:val="00F32B4A"/>
    <w:rsid w:val="00F32FED"/>
    <w:rsid w:val="00F3339A"/>
    <w:rsid w:val="00F3395A"/>
    <w:rsid w:val="00F33A34"/>
    <w:rsid w:val="00F354F5"/>
    <w:rsid w:val="00F35806"/>
    <w:rsid w:val="00F35D2D"/>
    <w:rsid w:val="00F36BFA"/>
    <w:rsid w:val="00F36D3A"/>
    <w:rsid w:val="00F36FA9"/>
    <w:rsid w:val="00F37BFF"/>
    <w:rsid w:val="00F37CC2"/>
    <w:rsid w:val="00F41D93"/>
    <w:rsid w:val="00F42B4D"/>
    <w:rsid w:val="00F42BC7"/>
    <w:rsid w:val="00F430AC"/>
    <w:rsid w:val="00F43180"/>
    <w:rsid w:val="00F43257"/>
    <w:rsid w:val="00F4432F"/>
    <w:rsid w:val="00F44490"/>
    <w:rsid w:val="00F4546E"/>
    <w:rsid w:val="00F45A2C"/>
    <w:rsid w:val="00F46123"/>
    <w:rsid w:val="00F463C2"/>
    <w:rsid w:val="00F467E2"/>
    <w:rsid w:val="00F4681C"/>
    <w:rsid w:val="00F4698A"/>
    <w:rsid w:val="00F46A49"/>
    <w:rsid w:val="00F46BF5"/>
    <w:rsid w:val="00F46DB5"/>
    <w:rsid w:val="00F4728C"/>
    <w:rsid w:val="00F473AA"/>
    <w:rsid w:val="00F473AD"/>
    <w:rsid w:val="00F478DB"/>
    <w:rsid w:val="00F47C39"/>
    <w:rsid w:val="00F50704"/>
    <w:rsid w:val="00F50779"/>
    <w:rsid w:val="00F507F7"/>
    <w:rsid w:val="00F50DC0"/>
    <w:rsid w:val="00F51274"/>
    <w:rsid w:val="00F5177D"/>
    <w:rsid w:val="00F51BB1"/>
    <w:rsid w:val="00F521C7"/>
    <w:rsid w:val="00F524D1"/>
    <w:rsid w:val="00F52504"/>
    <w:rsid w:val="00F52FA5"/>
    <w:rsid w:val="00F53C45"/>
    <w:rsid w:val="00F53EB5"/>
    <w:rsid w:val="00F53F69"/>
    <w:rsid w:val="00F54855"/>
    <w:rsid w:val="00F549EE"/>
    <w:rsid w:val="00F54D73"/>
    <w:rsid w:val="00F54D99"/>
    <w:rsid w:val="00F54E26"/>
    <w:rsid w:val="00F552C3"/>
    <w:rsid w:val="00F55815"/>
    <w:rsid w:val="00F5629C"/>
    <w:rsid w:val="00F562A4"/>
    <w:rsid w:val="00F563ED"/>
    <w:rsid w:val="00F56DD0"/>
    <w:rsid w:val="00F572DA"/>
    <w:rsid w:val="00F57385"/>
    <w:rsid w:val="00F5778E"/>
    <w:rsid w:val="00F57DE3"/>
    <w:rsid w:val="00F606D0"/>
    <w:rsid w:val="00F608CD"/>
    <w:rsid w:val="00F60B66"/>
    <w:rsid w:val="00F60E5E"/>
    <w:rsid w:val="00F61117"/>
    <w:rsid w:val="00F61A8C"/>
    <w:rsid w:val="00F61CA3"/>
    <w:rsid w:val="00F61F91"/>
    <w:rsid w:val="00F62467"/>
    <w:rsid w:val="00F6281E"/>
    <w:rsid w:val="00F62E3F"/>
    <w:rsid w:val="00F62E72"/>
    <w:rsid w:val="00F63189"/>
    <w:rsid w:val="00F64F96"/>
    <w:rsid w:val="00F651C0"/>
    <w:rsid w:val="00F65677"/>
    <w:rsid w:val="00F65730"/>
    <w:rsid w:val="00F658A4"/>
    <w:rsid w:val="00F65C72"/>
    <w:rsid w:val="00F65DDF"/>
    <w:rsid w:val="00F669AC"/>
    <w:rsid w:val="00F669E1"/>
    <w:rsid w:val="00F66A1D"/>
    <w:rsid w:val="00F66B52"/>
    <w:rsid w:val="00F66E0E"/>
    <w:rsid w:val="00F6710D"/>
    <w:rsid w:val="00F672EB"/>
    <w:rsid w:val="00F70075"/>
    <w:rsid w:val="00F70DBD"/>
    <w:rsid w:val="00F71026"/>
    <w:rsid w:val="00F710E6"/>
    <w:rsid w:val="00F71132"/>
    <w:rsid w:val="00F71542"/>
    <w:rsid w:val="00F718AA"/>
    <w:rsid w:val="00F71A71"/>
    <w:rsid w:val="00F71AB9"/>
    <w:rsid w:val="00F71C95"/>
    <w:rsid w:val="00F71FE0"/>
    <w:rsid w:val="00F7208C"/>
    <w:rsid w:val="00F7248B"/>
    <w:rsid w:val="00F727A7"/>
    <w:rsid w:val="00F728AD"/>
    <w:rsid w:val="00F729BD"/>
    <w:rsid w:val="00F72ED0"/>
    <w:rsid w:val="00F72FC6"/>
    <w:rsid w:val="00F73249"/>
    <w:rsid w:val="00F735F0"/>
    <w:rsid w:val="00F7368F"/>
    <w:rsid w:val="00F737CC"/>
    <w:rsid w:val="00F73949"/>
    <w:rsid w:val="00F73E71"/>
    <w:rsid w:val="00F7438D"/>
    <w:rsid w:val="00F7469F"/>
    <w:rsid w:val="00F74EF9"/>
    <w:rsid w:val="00F751BF"/>
    <w:rsid w:val="00F75A40"/>
    <w:rsid w:val="00F75C35"/>
    <w:rsid w:val="00F76A53"/>
    <w:rsid w:val="00F76F0B"/>
    <w:rsid w:val="00F77059"/>
    <w:rsid w:val="00F772CD"/>
    <w:rsid w:val="00F77552"/>
    <w:rsid w:val="00F778D6"/>
    <w:rsid w:val="00F77B8D"/>
    <w:rsid w:val="00F77BE1"/>
    <w:rsid w:val="00F77C8C"/>
    <w:rsid w:val="00F80EDD"/>
    <w:rsid w:val="00F80EFB"/>
    <w:rsid w:val="00F81109"/>
    <w:rsid w:val="00F81AC2"/>
    <w:rsid w:val="00F8271E"/>
    <w:rsid w:val="00F82CF9"/>
    <w:rsid w:val="00F82F02"/>
    <w:rsid w:val="00F83338"/>
    <w:rsid w:val="00F833FA"/>
    <w:rsid w:val="00F83CCE"/>
    <w:rsid w:val="00F83CF4"/>
    <w:rsid w:val="00F83DD8"/>
    <w:rsid w:val="00F84421"/>
    <w:rsid w:val="00F84863"/>
    <w:rsid w:val="00F84C10"/>
    <w:rsid w:val="00F8554F"/>
    <w:rsid w:val="00F857E1"/>
    <w:rsid w:val="00F85912"/>
    <w:rsid w:val="00F8598F"/>
    <w:rsid w:val="00F859A5"/>
    <w:rsid w:val="00F85A31"/>
    <w:rsid w:val="00F85E1A"/>
    <w:rsid w:val="00F86494"/>
    <w:rsid w:val="00F8698B"/>
    <w:rsid w:val="00F86A07"/>
    <w:rsid w:val="00F86B31"/>
    <w:rsid w:val="00F874D1"/>
    <w:rsid w:val="00F87C6A"/>
    <w:rsid w:val="00F903E7"/>
    <w:rsid w:val="00F90C37"/>
    <w:rsid w:val="00F90F34"/>
    <w:rsid w:val="00F90F5B"/>
    <w:rsid w:val="00F9158E"/>
    <w:rsid w:val="00F915D6"/>
    <w:rsid w:val="00F9169F"/>
    <w:rsid w:val="00F91C77"/>
    <w:rsid w:val="00F92144"/>
    <w:rsid w:val="00F92B19"/>
    <w:rsid w:val="00F92D64"/>
    <w:rsid w:val="00F93DDB"/>
    <w:rsid w:val="00F94362"/>
    <w:rsid w:val="00F95B9C"/>
    <w:rsid w:val="00F96678"/>
    <w:rsid w:val="00F96DC6"/>
    <w:rsid w:val="00F97276"/>
    <w:rsid w:val="00F975C4"/>
    <w:rsid w:val="00FA0196"/>
    <w:rsid w:val="00FA02CA"/>
    <w:rsid w:val="00FA02D7"/>
    <w:rsid w:val="00FA0493"/>
    <w:rsid w:val="00FA0D4F"/>
    <w:rsid w:val="00FA104A"/>
    <w:rsid w:val="00FA11A5"/>
    <w:rsid w:val="00FA14F5"/>
    <w:rsid w:val="00FA17A5"/>
    <w:rsid w:val="00FA1FAB"/>
    <w:rsid w:val="00FA2188"/>
    <w:rsid w:val="00FA24ED"/>
    <w:rsid w:val="00FA2578"/>
    <w:rsid w:val="00FA28CA"/>
    <w:rsid w:val="00FA2C61"/>
    <w:rsid w:val="00FA3436"/>
    <w:rsid w:val="00FA3789"/>
    <w:rsid w:val="00FA42DB"/>
    <w:rsid w:val="00FA42EA"/>
    <w:rsid w:val="00FA45D2"/>
    <w:rsid w:val="00FA487B"/>
    <w:rsid w:val="00FA5A33"/>
    <w:rsid w:val="00FA5C10"/>
    <w:rsid w:val="00FA5D81"/>
    <w:rsid w:val="00FA6351"/>
    <w:rsid w:val="00FA6476"/>
    <w:rsid w:val="00FA67BE"/>
    <w:rsid w:val="00FA68DE"/>
    <w:rsid w:val="00FA6C6D"/>
    <w:rsid w:val="00FA6C80"/>
    <w:rsid w:val="00FA7A8A"/>
    <w:rsid w:val="00FB0764"/>
    <w:rsid w:val="00FB0BC4"/>
    <w:rsid w:val="00FB0C35"/>
    <w:rsid w:val="00FB15C8"/>
    <w:rsid w:val="00FB218F"/>
    <w:rsid w:val="00FB22A3"/>
    <w:rsid w:val="00FB2669"/>
    <w:rsid w:val="00FB3685"/>
    <w:rsid w:val="00FB38E2"/>
    <w:rsid w:val="00FB3AAD"/>
    <w:rsid w:val="00FB3C61"/>
    <w:rsid w:val="00FB4CA6"/>
    <w:rsid w:val="00FB4EB3"/>
    <w:rsid w:val="00FB61BB"/>
    <w:rsid w:val="00FB66E0"/>
    <w:rsid w:val="00FB6777"/>
    <w:rsid w:val="00FB721A"/>
    <w:rsid w:val="00FC0069"/>
    <w:rsid w:val="00FC02B4"/>
    <w:rsid w:val="00FC0923"/>
    <w:rsid w:val="00FC0F07"/>
    <w:rsid w:val="00FC1409"/>
    <w:rsid w:val="00FC1A97"/>
    <w:rsid w:val="00FC1B89"/>
    <w:rsid w:val="00FC21D0"/>
    <w:rsid w:val="00FC2B63"/>
    <w:rsid w:val="00FC2C08"/>
    <w:rsid w:val="00FC3030"/>
    <w:rsid w:val="00FC364E"/>
    <w:rsid w:val="00FC3C3D"/>
    <w:rsid w:val="00FC3CAE"/>
    <w:rsid w:val="00FC404A"/>
    <w:rsid w:val="00FC41DD"/>
    <w:rsid w:val="00FC42FD"/>
    <w:rsid w:val="00FC4434"/>
    <w:rsid w:val="00FC4481"/>
    <w:rsid w:val="00FC48CE"/>
    <w:rsid w:val="00FC5613"/>
    <w:rsid w:val="00FC5C00"/>
    <w:rsid w:val="00FC5ECE"/>
    <w:rsid w:val="00FC5F09"/>
    <w:rsid w:val="00FC64F8"/>
    <w:rsid w:val="00FC6F17"/>
    <w:rsid w:val="00FC7293"/>
    <w:rsid w:val="00FC733F"/>
    <w:rsid w:val="00FC75DC"/>
    <w:rsid w:val="00FC7A18"/>
    <w:rsid w:val="00FD046F"/>
    <w:rsid w:val="00FD0FCB"/>
    <w:rsid w:val="00FD1A70"/>
    <w:rsid w:val="00FD1D26"/>
    <w:rsid w:val="00FD1F2A"/>
    <w:rsid w:val="00FD2908"/>
    <w:rsid w:val="00FD2D42"/>
    <w:rsid w:val="00FD2FCC"/>
    <w:rsid w:val="00FD3370"/>
    <w:rsid w:val="00FD3D21"/>
    <w:rsid w:val="00FD45DA"/>
    <w:rsid w:val="00FD46A3"/>
    <w:rsid w:val="00FD475C"/>
    <w:rsid w:val="00FD4ACF"/>
    <w:rsid w:val="00FD58A0"/>
    <w:rsid w:val="00FD5957"/>
    <w:rsid w:val="00FD5DC7"/>
    <w:rsid w:val="00FD674F"/>
    <w:rsid w:val="00FD7217"/>
    <w:rsid w:val="00FD73B2"/>
    <w:rsid w:val="00FD7498"/>
    <w:rsid w:val="00FE0322"/>
    <w:rsid w:val="00FE193F"/>
    <w:rsid w:val="00FE19D7"/>
    <w:rsid w:val="00FE22DD"/>
    <w:rsid w:val="00FE2734"/>
    <w:rsid w:val="00FE2932"/>
    <w:rsid w:val="00FE2952"/>
    <w:rsid w:val="00FE2CA0"/>
    <w:rsid w:val="00FE3071"/>
    <w:rsid w:val="00FE3167"/>
    <w:rsid w:val="00FE3611"/>
    <w:rsid w:val="00FE386B"/>
    <w:rsid w:val="00FE3AB9"/>
    <w:rsid w:val="00FE3C01"/>
    <w:rsid w:val="00FE4D44"/>
    <w:rsid w:val="00FE5826"/>
    <w:rsid w:val="00FE5892"/>
    <w:rsid w:val="00FE5F91"/>
    <w:rsid w:val="00FE6818"/>
    <w:rsid w:val="00FE6D35"/>
    <w:rsid w:val="00FE6DAD"/>
    <w:rsid w:val="00FE6EA7"/>
    <w:rsid w:val="00FE70FD"/>
    <w:rsid w:val="00FE7151"/>
    <w:rsid w:val="00FE738F"/>
    <w:rsid w:val="00FE76AC"/>
    <w:rsid w:val="00FF00F2"/>
    <w:rsid w:val="00FF0668"/>
    <w:rsid w:val="00FF109A"/>
    <w:rsid w:val="00FF1C20"/>
    <w:rsid w:val="00FF272F"/>
    <w:rsid w:val="00FF33E4"/>
    <w:rsid w:val="00FF3B0D"/>
    <w:rsid w:val="00FF3DCE"/>
    <w:rsid w:val="00FF41AC"/>
    <w:rsid w:val="00FF4510"/>
    <w:rsid w:val="00FF47A5"/>
    <w:rsid w:val="00FF4879"/>
    <w:rsid w:val="00FF5305"/>
    <w:rsid w:val="00FF54C4"/>
    <w:rsid w:val="00FF5851"/>
    <w:rsid w:val="00FF5934"/>
    <w:rsid w:val="00FF59C3"/>
    <w:rsid w:val="00FF5A06"/>
    <w:rsid w:val="00FF64A4"/>
    <w:rsid w:val="00FF70ED"/>
    <w:rsid w:val="00FF74FE"/>
    <w:rsid w:val="00FF7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99"/>
    <o:shapelayout v:ext="edit">
      <o:idmap v:ext="edit" data="1"/>
    </o:shapelayout>
  </w:shapeDefaults>
  <w:decimalSymbol w:val="."/>
  <w:listSeparator w:val=","/>
  <w14:docId w14:val="6F205EFF"/>
  <w15:docId w15:val="{E74F898F-61FB-4C02-8CFF-EE0397C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3C331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Heading4">
    <w:name w:val="heading 4"/>
    <w:basedOn w:val="Normal"/>
    <w:next w:val="Normal"/>
    <w:link w:val="Heading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paragraph" w:styleId="Heading5">
    <w:name w:val="heading 5"/>
    <w:basedOn w:val="Normal"/>
    <w:next w:val="Normal"/>
    <w:link w:val="Heading5Char"/>
    <w:uiPriority w:val="9"/>
    <w:semiHidden/>
    <w:unhideWhenUsed/>
    <w:qFormat/>
    <w:rsid w:val="002E1A3F"/>
    <w:pPr>
      <w:keepNext/>
      <w:keepLines/>
      <w:spacing w:before="40"/>
      <w:outlineLvl w:val="4"/>
    </w:pPr>
    <w:rPr>
      <w:rFonts w:ascii="Calibri Light" w:eastAsia="Times New Roman" w:hAnsi="Calibri Light" w:cs="Times New Roman"/>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qFormat/>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3F68ED"/>
    <w:rPr>
      <w:rFonts w:asciiTheme="majorHAnsi" w:eastAsiaTheme="majorEastAsia" w:hAnsiTheme="majorHAnsi" w:cstheme="majorBidi"/>
      <w:b/>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character" w:customStyle="1" w:styleId="Heading1Char">
    <w:name w:val="Heading 1 Char"/>
    <w:basedOn w:val="DefaultParagraphFont"/>
    <w:link w:val="Heading1"/>
    <w:uiPriority w:val="9"/>
    <w:rsid w:val="00213DEE"/>
    <w:rPr>
      <w:rFonts w:eastAsiaTheme="majorEastAsia" w:cstheme="majorBidi"/>
      <w:b/>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autoRedefine/>
    <w:uiPriority w:val="39"/>
    <w:unhideWhenUsed/>
    <w:rsid w:val="00315A1C"/>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8B7E8A"/>
    <w:pPr>
      <w:tabs>
        <w:tab w:val="left" w:pos="450"/>
        <w:tab w:val="right" w:leader="dot" w:pos="9350"/>
      </w:tabs>
      <w:spacing w:after="100"/>
      <w:ind w:left="540" w:hanging="90"/>
    </w:pPr>
    <w:rPr>
      <w:rFonts w:ascii="Calibri" w:hAnsi="Calibri"/>
      <w:b/>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Normal1">
    <w:name w:val="Normal_1"/>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styleId="FootnoteText">
    <w:name w:val="footnote text"/>
    <w:aliases w:val="Char,FOOTNOTES,Footnote Text Char Char Char Char,Footnote Text Char Char Char1,Footnote Text Char1 Char,Footnote Text Char1 Char Char Char1,Footnote Text Char1 Char1 Char,Texto nota pie 2,Texto nota pie 21,fn,footnote text,ft,single space"/>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Char Char,FOOTNOTES Char,Footnote Text Char Char Char Char Char,Footnote Text Char Char Char1 Char,Footnote Text Char1 Char Char,Footnote Text Char1 Char Char Char1 Char,Footnote Text Char1 Char1 Char Char,Texto nota pie 2 Char"/>
    <w:basedOn w:val="DefaultParagraphFont"/>
    <w:link w:val="FootnoteText"/>
    <w:uiPriority w:val="99"/>
    <w:rsid w:val="00FD674F"/>
    <w:rPr>
      <w:rFonts w:eastAsiaTheme="minorEastAsia" w:cs="Arial"/>
      <w:color w:val="000000"/>
      <w:sz w:val="18"/>
      <w:szCs w:val="20"/>
    </w:r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NoSpacingChar">
    <w:name w:val="No Spacing Char"/>
    <w:link w:val="NoSpacing"/>
    <w:uiPriority w:val="1"/>
    <w:locked/>
    <w:rsid w:val="00E529D9"/>
    <w:rPr>
      <w:rFonts w:eastAsiaTheme="minorEastAsia" w:cs="Arial"/>
      <w:b/>
      <w:color w:val="000000"/>
      <w:szCs w:val="24"/>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AB60E6"/>
    <w:rPr>
      <w:rFonts w:ascii="Arial" w:eastAsiaTheme="minorEastAsia" w:hAnsi="Arial" w:cs="Arial"/>
      <w:color w:val="000000"/>
      <w:sz w:val="24"/>
      <w:szCs w:val="24"/>
    </w:rPr>
  </w:style>
  <w:style w:type="paragraph" w:customStyle="1" w:styleId="Normal67">
    <w:name w:val="Normal_67"/>
    <w:qFormat/>
    <w:rsid w:val="00AB60E6"/>
    <w:rPr>
      <w:rFonts w:ascii="Calibri" w:eastAsia="Calibri" w:hAnsi="Calibri" w:cs="Times New Roman"/>
    </w:rPr>
  </w:style>
  <w:style w:type="table" w:customStyle="1" w:styleId="TableGrid3">
    <w:name w:val="Table Grid3"/>
    <w:basedOn w:val="TableNormal"/>
    <w:next w:val="TableGrid"/>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DD3"/>
    <w:rPr>
      <w:color w:val="954F72" w:themeColor="followedHyperlink"/>
      <w:u w:val="single"/>
    </w:rPr>
  </w:style>
  <w:style w:type="table" w:customStyle="1" w:styleId="TableGrid12">
    <w:name w:val="Table Grid12"/>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331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6476D"/>
    <w:rPr>
      <w:rFonts w:eastAsiaTheme="majorEastAsia" w:cstheme="majorBidi"/>
      <w:b/>
      <w:iCs/>
      <w:szCs w:val="24"/>
    </w:rPr>
  </w:style>
  <w:style w:type="paragraph" w:styleId="TOC4">
    <w:name w:val="toc 4"/>
    <w:basedOn w:val="Normal"/>
    <w:next w:val="Normal"/>
    <w:autoRedefine/>
    <w:uiPriority w:val="39"/>
    <w:unhideWhenUsed/>
    <w:rsid w:val="00B92704"/>
    <w:pPr>
      <w:tabs>
        <w:tab w:val="right" w:leader="dot" w:pos="9350"/>
      </w:tabs>
      <w:spacing w:after="100"/>
      <w:ind w:left="432"/>
    </w:pPr>
    <w:rPr>
      <w:rFonts w:asciiTheme="minorHAnsi" w:hAnsiTheme="minorHAnsi"/>
      <w:b/>
    </w:rPr>
  </w:style>
  <w:style w:type="table" w:customStyle="1" w:styleId="TableGrid211">
    <w:name w:val="Table Grid21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0">
    <w:name w:val="Table Grid10"/>
    <w:basedOn w:val="TableNormal"/>
    <w:next w:val="TableGrid"/>
    <w:uiPriority w:val="39"/>
    <w:rsid w:val="002E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 BVI fnr,16 Point,BVI fnr,Char Char1,FO,Footnote,Footnote Reference Number,Footnote Reference_LVL6,Footnote Reference_LVL61,Footnote Reference_LVL62,Footnote Reference_LVL63,footnote ref,fr,ft Char1,ftref,heading1,Знак сноски-FN"/>
    <w:basedOn w:val="DefaultParagraphFont"/>
    <w:link w:val="CarattereCarattereCharCharCharCharCharCharZchn"/>
    <w:uiPriority w:val="99"/>
    <w:unhideWhenUsed/>
    <w:rsid w:val="002E1A3F"/>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E1A3F"/>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character" w:customStyle="1" w:styleId="Heading5Char">
    <w:name w:val="Heading 5 Char"/>
    <w:basedOn w:val="DefaultParagraphFont"/>
    <w:link w:val="Heading5"/>
    <w:uiPriority w:val="9"/>
    <w:semiHidden/>
    <w:rsid w:val="002E1A3F"/>
    <w:rPr>
      <w:rFonts w:ascii="Calibri Light" w:eastAsia="Times New Roman" w:hAnsi="Calibri Light" w:cs="Times New Roman"/>
      <w:color w:val="2F5496"/>
      <w:sz w:val="24"/>
      <w:szCs w:val="24"/>
    </w:rPr>
  </w:style>
  <w:style w:type="table" w:customStyle="1" w:styleId="TableGrid23">
    <w:name w:val="Table Grid23"/>
    <w:basedOn w:val="TableNormal"/>
    <w:next w:val="TableGrid"/>
    <w:uiPriority w:val="39"/>
    <w:rsid w:val="002E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E1A3F"/>
    <w:rPr>
      <w:b/>
      <w:bCs/>
    </w:rPr>
  </w:style>
  <w:style w:type="character" w:customStyle="1" w:styleId="CommentSubjectChar">
    <w:name w:val="Comment Subject Char"/>
    <w:basedOn w:val="CommentTextChar"/>
    <w:link w:val="CommentSubject"/>
    <w:uiPriority w:val="99"/>
    <w:semiHidden/>
    <w:rsid w:val="002E1A3F"/>
    <w:rPr>
      <w:rFonts w:ascii="Arial" w:eastAsiaTheme="minorEastAsia" w:hAnsi="Arial" w:cs="Arial"/>
      <w:b/>
      <w:bCs/>
      <w:color w:val="000000"/>
      <w:sz w:val="20"/>
      <w:szCs w:val="20"/>
    </w:rPr>
  </w:style>
  <w:style w:type="paragraph" w:styleId="Revision">
    <w:name w:val="Revision"/>
    <w:hidden/>
    <w:uiPriority w:val="99"/>
    <w:semiHidden/>
    <w:rsid w:val="002E1A3F"/>
    <w:pPr>
      <w:spacing w:after="0" w:line="240" w:lineRule="auto"/>
    </w:pPr>
  </w:style>
  <w:style w:type="table" w:customStyle="1" w:styleId="TableGrid18">
    <w:name w:val="Table Grid18"/>
    <w:basedOn w:val="TableNormal"/>
    <w:next w:val="TableGrid"/>
    <w:uiPriority w:val="39"/>
    <w:rsid w:val="002E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2E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0">
    <w:name w:val="Normal_200"/>
    <w:qFormat/>
    <w:rsid w:val="002E1A3F"/>
  </w:style>
  <w:style w:type="paragraph" w:styleId="NormalWeb">
    <w:name w:val="Normal (Web)"/>
    <w:basedOn w:val="Normal"/>
    <w:uiPriority w:val="99"/>
    <w:unhideWhenUsed/>
    <w:rsid w:val="002E1A3F"/>
    <w:rPr>
      <w:rFonts w:ascii="Times New Roman" w:hAnsi="Times New Roman" w:cs="Times New Roman"/>
    </w:rPr>
  </w:style>
  <w:style w:type="table" w:styleId="PlainTable2">
    <w:name w:val="Plain Table 2"/>
    <w:basedOn w:val="TableNormal"/>
    <w:uiPriority w:val="99"/>
    <w:rsid w:val="002E1A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99"/>
    <w:rsid w:val="002E1A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_0"/>
    <w:basedOn w:val="TableNormal"/>
    <w:next w:val="TableGrid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3_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TableNormal"/>
    <w:next w:val="TableGrid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_0"/>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_0"/>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_0"/>
    <w:basedOn w:val="TableNormal"/>
    <w:next w:val="TableGrid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_42_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3_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_1"/>
    <w:basedOn w:val="TableNormal"/>
    <w:next w:val="TableGrid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_1"/>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_1"/>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_1"/>
    <w:basedOn w:val="TableNormal"/>
    <w:next w:val="TableGrid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_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_2"/>
    <w:basedOn w:val="TableNormal"/>
    <w:next w:val="TableGrid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3_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_2"/>
    <w:basedOn w:val="TableNormal"/>
    <w:next w:val="TableGrid2"/>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_2"/>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_2"/>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_2"/>
    <w:basedOn w:val="TableNormal"/>
    <w:next w:val="TableGrid2"/>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
    <w:name w:val="Table Grid_423_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_3"/>
    <w:basedOn w:val="TableNormal"/>
    <w:next w:val="TableGrid3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_3"/>
    <w:basedOn w:val="TableNormal"/>
    <w:next w:val="TableGrid3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_3"/>
    <w:basedOn w:val="TableNormal"/>
    <w:next w:val="TableGrid3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_3"/>
    <w:basedOn w:val="TableNormal"/>
    <w:next w:val="TableGrid33"/>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4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4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_4"/>
    <w:basedOn w:val="TableNormal"/>
    <w:next w:val="TableGrid4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3_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TableNormal"/>
    <w:next w:val="TableGrid44"/>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_4"/>
    <w:basedOn w:val="TableNormal"/>
    <w:next w:val="TableGrid4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_4"/>
    <w:basedOn w:val="TableNormal"/>
    <w:next w:val="TableGrid4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_4"/>
    <w:basedOn w:val="TableNormal"/>
    <w:next w:val="TableGrid4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_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3_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TableNormal"/>
    <w:next w:val="TableGrid5"/>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_5"/>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_5"/>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_5"/>
    <w:basedOn w:val="TableNormal"/>
    <w:next w:val="TableGrid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40133"/>
    <w:rPr>
      <w:sz w:val="20"/>
      <w:szCs w:val="20"/>
    </w:rPr>
  </w:style>
  <w:style w:type="character" w:customStyle="1" w:styleId="EndnoteTextChar">
    <w:name w:val="Endnote Text Char"/>
    <w:basedOn w:val="DefaultParagraphFont"/>
    <w:link w:val="EndnoteText"/>
    <w:uiPriority w:val="99"/>
    <w:semiHidden/>
    <w:rsid w:val="00040133"/>
    <w:rPr>
      <w:rFonts w:ascii="Arial" w:eastAsiaTheme="minorEastAsia" w:hAnsi="Arial" w:cs="Arial"/>
      <w:color w:val="000000"/>
      <w:sz w:val="20"/>
      <w:szCs w:val="20"/>
    </w:rPr>
  </w:style>
  <w:style w:type="character" w:styleId="EndnoteReference">
    <w:name w:val="endnote reference"/>
    <w:basedOn w:val="DefaultParagraphFont"/>
    <w:uiPriority w:val="99"/>
    <w:semiHidden/>
    <w:unhideWhenUsed/>
    <w:rsid w:val="00040133"/>
    <w:rPr>
      <w:vertAlign w:val="superscript"/>
    </w:rPr>
  </w:style>
  <w:style w:type="character" w:customStyle="1" w:styleId="UnresolvedMention1">
    <w:name w:val="Unresolved Mention1"/>
    <w:basedOn w:val="DefaultParagraphFont"/>
    <w:uiPriority w:val="99"/>
    <w:semiHidden/>
    <w:unhideWhenUsed/>
    <w:rsid w:val="00076BA8"/>
    <w:rPr>
      <w:color w:val="605E5C"/>
      <w:shd w:val="clear" w:color="auto" w:fill="E1DFDD"/>
    </w:rPr>
  </w:style>
  <w:style w:type="paragraph" w:customStyle="1" w:styleId="paragraph">
    <w:name w:val="paragraph"/>
    <w:basedOn w:val="Normal"/>
    <w:rsid w:val="00127774"/>
    <w:pPr>
      <w:widowControl/>
      <w:autoSpaceDE/>
      <w:autoSpaceDN/>
      <w:adjustRightInd/>
    </w:pPr>
    <w:rPr>
      <w:rFonts w:ascii="Times New Roman" w:eastAsia="Times New Roman" w:hAnsi="Times New Roman" w:cs="Times New Roman"/>
      <w:color w:val="auto"/>
    </w:rPr>
  </w:style>
  <w:style w:type="character" w:customStyle="1" w:styleId="spellingerror">
    <w:name w:val="spellingerror"/>
    <w:basedOn w:val="DefaultParagraphFont"/>
    <w:rsid w:val="00127774"/>
  </w:style>
  <w:style w:type="character" w:customStyle="1" w:styleId="advancedproofingissue">
    <w:name w:val="advancedproofingissue"/>
    <w:basedOn w:val="DefaultParagraphFont"/>
    <w:rsid w:val="00127774"/>
  </w:style>
  <w:style w:type="character" w:customStyle="1" w:styleId="normaltextrun1">
    <w:name w:val="normaltextrun1"/>
    <w:basedOn w:val="DefaultParagraphFont"/>
    <w:rsid w:val="00127774"/>
  </w:style>
  <w:style w:type="character" w:customStyle="1" w:styleId="eop">
    <w:name w:val="eop"/>
    <w:basedOn w:val="DefaultParagraphFont"/>
    <w:rsid w:val="00127774"/>
  </w:style>
  <w:style w:type="table" w:customStyle="1" w:styleId="TableGrid6">
    <w:name w:val="Table Grid_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3_6"/>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TableNormal"/>
    <w:next w:val="TableGrid6"/>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_6"/>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_6"/>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_6"/>
    <w:basedOn w:val="TableNormal"/>
    <w:next w:val="TableGrid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3_7"/>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TableNormal"/>
    <w:next w:val="TableGrid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_7"/>
    <w:basedOn w:val="TableNormal"/>
    <w:next w:val="TableGrid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_7"/>
    <w:basedOn w:val="TableNormal"/>
    <w:next w:val="TableGrid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_7"/>
    <w:basedOn w:val="TableNormal"/>
    <w:next w:val="TableGrid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elNrmlSingle">
    <w:name w:val="ModelNrmlSingle"/>
    <w:basedOn w:val="Normal"/>
    <w:link w:val="ModelNrmlSingleChar"/>
    <w:rsid w:val="00256EEA"/>
    <w:pPr>
      <w:widowControl/>
      <w:autoSpaceDE/>
      <w:autoSpaceDN/>
      <w:adjustRightInd/>
      <w:spacing w:after="240"/>
      <w:ind w:firstLine="720"/>
      <w:jc w:val="both"/>
    </w:pPr>
    <w:rPr>
      <w:rFonts w:ascii="Times New Roman" w:eastAsia="Times New Roman" w:hAnsi="Times New Roman" w:cs="Times New Roman"/>
      <w:color w:val="auto"/>
      <w:sz w:val="22"/>
      <w:szCs w:val="20"/>
    </w:rPr>
  </w:style>
  <w:style w:type="character" w:customStyle="1" w:styleId="ModelNrmlSingleChar">
    <w:name w:val="ModelNrmlSingle Char"/>
    <w:link w:val="ModelNrmlSingle"/>
    <w:rsid w:val="00256EEA"/>
    <w:rPr>
      <w:rFonts w:ascii="Times New Roman" w:eastAsia="Times New Roman" w:hAnsi="Times New Roman" w:cs="Times New Roman"/>
      <w:szCs w:val="20"/>
    </w:rPr>
  </w:style>
  <w:style w:type="table" w:customStyle="1" w:styleId="TableGrid20">
    <w:name w:val="Table Grid20"/>
    <w:basedOn w:val="TableNormal"/>
    <w:next w:val="TableGrid"/>
    <w:uiPriority w:val="39"/>
    <w:rsid w:val="0025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256E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3_8"/>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TableNormal"/>
    <w:next w:val="TableGrid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_8"/>
    <w:basedOn w:val="TableNormal"/>
    <w:next w:val="TableGrid8"/>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_8"/>
    <w:basedOn w:val="TableNormal"/>
    <w:next w:val="TableGrid8"/>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_8"/>
    <w:basedOn w:val="TableNormal"/>
    <w:next w:val="TableGrid8"/>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63638D"/>
    <w:rPr>
      <w:color w:val="605E5C"/>
      <w:shd w:val="clear" w:color="auto" w:fill="E1DFDD"/>
    </w:rPr>
  </w:style>
  <w:style w:type="table" w:customStyle="1" w:styleId="TableGrid9">
    <w:name w:val="Table Grid_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3_9"/>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TableNormal"/>
    <w:next w:val="TableGrid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_9"/>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_9"/>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_9"/>
    <w:basedOn w:val="TableNormal"/>
    <w:next w:val="TableGrid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0"/>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
    <w:name w:val="Table Grid_423_10"/>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_10"/>
    <w:basedOn w:val="TableNormal"/>
    <w:next w:val="TableGrid1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0">
    <w:name w:val="Table Grid21_10"/>
    <w:basedOn w:val="TableNormal"/>
    <w:next w:val="TableGrid10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0">
    <w:name w:val="Table Grid211_10"/>
    <w:basedOn w:val="TableNormal"/>
    <w:next w:val="TableGrid10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_10"/>
    <w:basedOn w:val="TableNormal"/>
    <w:next w:val="TableGrid10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_1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_423_11"/>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1"/>
    <w:basedOn w:val="TableNormal"/>
    <w:next w:val="TableGrid1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_11"/>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_11"/>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_11"/>
    <w:basedOn w:val="TableNormal"/>
    <w:next w:val="TableGrid11"/>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2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_423_12"/>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_12"/>
    <w:basedOn w:val="TableNormal"/>
    <w:next w:val="TableGrid12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0">
    <w:name w:val="Table Grid21_12"/>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_12"/>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_12"/>
    <w:basedOn w:val="TableNormal"/>
    <w:next w:val="TableGrid12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3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3">
    <w:name w:val="Table Grid_423_13"/>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_13"/>
    <w:basedOn w:val="TableNormal"/>
    <w:next w:val="TableGrid13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0">
    <w:name w:val="Table Grid21_13"/>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_13"/>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_13"/>
    <w:basedOn w:val="TableNormal"/>
    <w:next w:val="TableGrid13a"/>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_1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4">
    <w:name w:val="Table Grid_423_14"/>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_14"/>
    <w:basedOn w:val="TableNormal"/>
    <w:next w:val="TableGrid14"/>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0">
    <w:name w:val="Table Grid21_14"/>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_14"/>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_14"/>
    <w:basedOn w:val="TableNormal"/>
    <w:next w:val="TableGrid14"/>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_1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5">
    <w:name w:val="Table Grid_423_15"/>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_15"/>
    <w:basedOn w:val="TableNormal"/>
    <w:next w:val="TableGrid15"/>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0">
    <w:name w:val="Table Grid21_15"/>
    <w:basedOn w:val="TableNormal"/>
    <w:next w:val="TableGrid1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_15"/>
    <w:basedOn w:val="TableNormal"/>
    <w:next w:val="TableGrid1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_15"/>
    <w:basedOn w:val="TableNormal"/>
    <w:next w:val="TableGrid15"/>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_1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1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1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1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6">
    <w:name w:val="Table Grid_423_16"/>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_16"/>
    <w:basedOn w:val="TableNormal"/>
    <w:next w:val="TableGrid16"/>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0">
    <w:name w:val="Table Grid21_16"/>
    <w:basedOn w:val="TableNormal"/>
    <w:next w:val="TableGrid1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_16"/>
    <w:basedOn w:val="TableNormal"/>
    <w:next w:val="TableGrid1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_16"/>
    <w:basedOn w:val="TableNormal"/>
    <w:next w:val="TableGrid16"/>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1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7">
    <w:name w:val="Table Grid_423_17"/>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_17"/>
    <w:basedOn w:val="TableNormal"/>
    <w:next w:val="TableGrid1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0">
    <w:name w:val="Table Grid21_17"/>
    <w:basedOn w:val="TableNormal"/>
    <w:next w:val="TableGrid1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_17"/>
    <w:basedOn w:val="TableNormal"/>
    <w:next w:val="TableGrid1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_17"/>
    <w:basedOn w:val="TableNormal"/>
    <w:next w:val="TableGrid17"/>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_1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1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1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18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8">
    <w:name w:val="Table Grid_423_18"/>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_18"/>
    <w:basedOn w:val="TableNormal"/>
    <w:next w:val="TableGrid18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0">
    <w:name w:val="Table Grid21_18"/>
    <w:basedOn w:val="TableNormal"/>
    <w:next w:val="TableGrid1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_18"/>
    <w:basedOn w:val="TableNormal"/>
    <w:next w:val="TableGrid1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_18"/>
    <w:basedOn w:val="TableNormal"/>
    <w:next w:val="TableGrid180"/>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1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9">
    <w:name w:val="Table Grid_423_19"/>
    <w:basedOn w:val="TableNormal"/>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_19"/>
    <w:basedOn w:val="TableNormal"/>
    <w:next w:val="TableGrid1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0">
    <w:name w:val="Table Grid21_19"/>
    <w:basedOn w:val="TableNormal"/>
    <w:next w:val="TableGrid1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_19"/>
    <w:basedOn w:val="TableNormal"/>
    <w:next w:val="TableGrid1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_19"/>
    <w:basedOn w:val="TableNormal"/>
    <w:next w:val="TableGrid19"/>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0"/>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0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0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TableNormal"/>
    <w:next w:val="TableGrid200"/>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
    <w:name w:val="Table Grid_423_20"/>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_20"/>
    <w:basedOn w:val="TableNormal"/>
    <w:next w:val="TableGrid200"/>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_20"/>
    <w:basedOn w:val="TableNormal"/>
    <w:next w:val="TableGrid2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00">
    <w:name w:val="Table Grid211_20"/>
    <w:basedOn w:val="TableNormal"/>
    <w:next w:val="TableGrid2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_20"/>
    <w:basedOn w:val="TableNormal"/>
    <w:next w:val="TableGrid2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a">
    <w:name w:val="Table Grid_2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1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1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_21"/>
    <w:basedOn w:val="TableNormal"/>
    <w:next w:val="TableGrid21a"/>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
    <w:name w:val="Table Grid_423_21"/>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_21"/>
    <w:basedOn w:val="TableNormal"/>
    <w:next w:val="TableGrid21a"/>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_21"/>
    <w:basedOn w:val="TableNormal"/>
    <w:next w:val="TableGrid2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_21"/>
    <w:basedOn w:val="TableNormal"/>
    <w:next w:val="TableGrid2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_21"/>
    <w:basedOn w:val="TableNormal"/>
    <w:next w:val="TableGrid2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a">
    <w:name w:val="Table Grid_2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2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2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_22"/>
    <w:basedOn w:val="TableNormal"/>
    <w:next w:val="TableGrid22a"/>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2">
    <w:name w:val="Table Grid_423_22"/>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_22"/>
    <w:basedOn w:val="TableNormal"/>
    <w:next w:val="TableGrid22a"/>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_22"/>
    <w:basedOn w:val="TableNormal"/>
    <w:next w:val="TableGrid2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_22"/>
    <w:basedOn w:val="TableNormal"/>
    <w:next w:val="TableGrid2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_22"/>
    <w:basedOn w:val="TableNormal"/>
    <w:next w:val="TableGrid2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0">
    <w:name w:val="Table Grid_42_23"/>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3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3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_23"/>
    <w:basedOn w:val="TableNormal"/>
    <w:next w:val="TableGrid230"/>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3">
    <w:name w:val="Table Grid_423_23"/>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_23"/>
    <w:basedOn w:val="TableNormal"/>
    <w:next w:val="TableGrid230"/>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_23"/>
    <w:basedOn w:val="TableNormal"/>
    <w:next w:val="TableGrid23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_23"/>
    <w:basedOn w:val="TableNormal"/>
    <w:next w:val="TableGrid23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_23"/>
    <w:basedOn w:val="TableNormal"/>
    <w:next w:val="TableGrid23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_24"/>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4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4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_24"/>
    <w:basedOn w:val="TableNormal"/>
    <w:next w:val="TableGrid240"/>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4">
    <w:name w:val="Table Grid_423_24"/>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_24"/>
    <w:basedOn w:val="TableNormal"/>
    <w:next w:val="TableGrid240"/>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_24"/>
    <w:basedOn w:val="TableNormal"/>
    <w:next w:val="TableGrid2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_24"/>
    <w:basedOn w:val="TableNormal"/>
    <w:next w:val="TableGrid2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_24"/>
    <w:basedOn w:val="TableNormal"/>
    <w:next w:val="TableGrid2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5"/>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5"/>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4_25"/>
    <w:basedOn w:val="TableNormal"/>
    <w:next w:val="TableGrid25"/>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5">
    <w:name w:val="Table Grid_423_25"/>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_25"/>
    <w:basedOn w:val="TableNormal"/>
    <w:next w:val="TableGrid25"/>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_25"/>
    <w:basedOn w:val="TableNormal"/>
    <w:next w:val="TableGrid25"/>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_25"/>
    <w:basedOn w:val="TableNormal"/>
    <w:next w:val="TableGrid25"/>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_25"/>
    <w:basedOn w:val="TableNormal"/>
    <w:next w:val="TableGrid25"/>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26"/>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26"/>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4_26"/>
    <w:basedOn w:val="TableNormal"/>
    <w:next w:val="TableGrid26"/>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6">
    <w:name w:val="Table Grid_423_26"/>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_26"/>
    <w:basedOn w:val="TableNormal"/>
    <w:next w:val="TableGrid26"/>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_26"/>
    <w:basedOn w:val="TableNormal"/>
    <w:next w:val="TableGrid26"/>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_26"/>
    <w:basedOn w:val="TableNormal"/>
    <w:next w:val="TableGrid26"/>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_26"/>
    <w:basedOn w:val="TableNormal"/>
    <w:next w:val="TableGrid26"/>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27"/>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27"/>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4_27"/>
    <w:basedOn w:val="TableNormal"/>
    <w:next w:val="TableGrid27"/>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7">
    <w:name w:val="Table Grid_423_27"/>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_27"/>
    <w:basedOn w:val="TableNormal"/>
    <w:next w:val="TableGrid27"/>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_27"/>
    <w:basedOn w:val="TableNormal"/>
    <w:next w:val="TableGrid27"/>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7">
    <w:name w:val="Table Grid211_27"/>
    <w:basedOn w:val="TableNormal"/>
    <w:next w:val="TableGrid27"/>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_27"/>
    <w:basedOn w:val="TableNormal"/>
    <w:next w:val="TableGrid27"/>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28"/>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28"/>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4_28"/>
    <w:basedOn w:val="TableNormal"/>
    <w:next w:val="TableGrid28"/>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8">
    <w:name w:val="Table Grid_423_28"/>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_28"/>
    <w:basedOn w:val="TableNormal"/>
    <w:next w:val="TableGrid28"/>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28"/>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28"/>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28"/>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29"/>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29"/>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4_29"/>
    <w:basedOn w:val="TableNormal"/>
    <w:next w:val="TableGrid29"/>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9">
    <w:name w:val="Table Grid_423_29"/>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_29"/>
    <w:basedOn w:val="TableNormal"/>
    <w:next w:val="TableGrid29"/>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_29"/>
    <w:basedOn w:val="TableNormal"/>
    <w:next w:val="TableGrid29"/>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9">
    <w:name w:val="Table Grid211_29"/>
    <w:basedOn w:val="TableNormal"/>
    <w:next w:val="TableGrid29"/>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_29"/>
    <w:basedOn w:val="TableNormal"/>
    <w:next w:val="TableGrid29"/>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0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0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TableNormal"/>
    <w:next w:val="TableGrid300"/>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0">
    <w:name w:val="Table Grid_423_30"/>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0">
    <w:name w:val="Table Grid3_30"/>
    <w:basedOn w:val="TableNormal"/>
    <w:next w:val="TableGrid300"/>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_30"/>
    <w:basedOn w:val="TableNormal"/>
    <w:next w:val="TableGrid3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00">
    <w:name w:val="Table Grid211_30"/>
    <w:basedOn w:val="TableNormal"/>
    <w:next w:val="TableGrid3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0">
    <w:name w:val="Table Grid22_30"/>
    <w:basedOn w:val="TableNormal"/>
    <w:next w:val="TableGrid30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a">
    <w:name w:val="Table Grid_3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a">
    <w:name w:val="Table Grid_42_31"/>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1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1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Grid31a"/>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
    <w:name w:val="Table Grid_423_31"/>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_31"/>
    <w:basedOn w:val="TableNormal"/>
    <w:next w:val="TableGrid31a"/>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_31"/>
    <w:basedOn w:val="TableNormal"/>
    <w:next w:val="TableGrid3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_31"/>
    <w:basedOn w:val="TableNormal"/>
    <w:next w:val="TableGrid3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_31"/>
    <w:basedOn w:val="TableNormal"/>
    <w:next w:val="TableGrid31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a">
    <w:name w:val="Table Grid_3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a">
    <w:name w:val="Table Grid_42_32"/>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2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2a"/>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TableNormal"/>
    <w:next w:val="TableGrid32a"/>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2">
    <w:name w:val="Table Grid_423_32"/>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_32"/>
    <w:basedOn w:val="TableNormal"/>
    <w:next w:val="TableGrid32a"/>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_32"/>
    <w:basedOn w:val="TableNormal"/>
    <w:next w:val="TableGrid3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_32"/>
    <w:basedOn w:val="TableNormal"/>
    <w:next w:val="TableGrid3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_32"/>
    <w:basedOn w:val="TableNormal"/>
    <w:next w:val="TableGrid32a"/>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_3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3">
    <w:name w:val="Table Grid_42_33"/>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33"/>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33"/>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_33"/>
    <w:basedOn w:val="TableNormal"/>
    <w:next w:val="TableGrid333"/>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30">
    <w:name w:val="Table Grid_423_33"/>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0">
    <w:name w:val="Table Grid3_33"/>
    <w:basedOn w:val="TableNormal"/>
    <w:next w:val="TableGrid333"/>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_33"/>
    <w:basedOn w:val="TableNormal"/>
    <w:next w:val="TableGrid333"/>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_33"/>
    <w:basedOn w:val="TableNormal"/>
    <w:next w:val="TableGrid333"/>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_33"/>
    <w:basedOn w:val="TableNormal"/>
    <w:next w:val="TableGrid333"/>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_34"/>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0">
    <w:name w:val="Table Grid_42_34"/>
    <w:basedOn w:val="TableNormal"/>
    <w:uiPriority w:val="39"/>
    <w:rsid w:val="00094EC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4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40"/>
    <w:uiPriority w:val="39"/>
    <w:rsid w:val="00A23B6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_34"/>
    <w:basedOn w:val="TableNormal"/>
    <w:next w:val="TableGrid340"/>
    <w:uiPriority w:val="39"/>
    <w:rsid w:val="00436FC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4">
    <w:name w:val="Table Grid_423_34"/>
    <w:basedOn w:val="TableNormal"/>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_34"/>
    <w:basedOn w:val="TableNormal"/>
    <w:next w:val="TableGrid340"/>
    <w:uiPriority w:val="39"/>
    <w:rsid w:val="0079748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_34"/>
    <w:basedOn w:val="TableNormal"/>
    <w:next w:val="TableGrid3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_34"/>
    <w:basedOn w:val="TableNormal"/>
    <w:next w:val="TableGrid3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_34"/>
    <w:basedOn w:val="TableNormal"/>
    <w:next w:val="TableGrid340"/>
    <w:uiPriority w:val="39"/>
    <w:rsid w:val="004E1BE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285">
      <w:bodyDiv w:val="1"/>
      <w:marLeft w:val="0"/>
      <w:marRight w:val="0"/>
      <w:marTop w:val="0"/>
      <w:marBottom w:val="0"/>
      <w:divBdr>
        <w:top w:val="none" w:sz="0" w:space="0" w:color="auto"/>
        <w:left w:val="none" w:sz="0" w:space="0" w:color="auto"/>
        <w:bottom w:val="none" w:sz="0" w:space="0" w:color="auto"/>
        <w:right w:val="none" w:sz="0" w:space="0" w:color="auto"/>
      </w:divBdr>
    </w:div>
    <w:div w:id="151876556">
      <w:bodyDiv w:val="1"/>
      <w:marLeft w:val="0"/>
      <w:marRight w:val="0"/>
      <w:marTop w:val="0"/>
      <w:marBottom w:val="0"/>
      <w:divBdr>
        <w:top w:val="none" w:sz="0" w:space="0" w:color="auto"/>
        <w:left w:val="none" w:sz="0" w:space="0" w:color="auto"/>
        <w:bottom w:val="none" w:sz="0" w:space="0" w:color="auto"/>
        <w:right w:val="none" w:sz="0" w:space="0" w:color="auto"/>
      </w:divBdr>
    </w:div>
    <w:div w:id="236324722">
      <w:bodyDiv w:val="1"/>
      <w:marLeft w:val="0"/>
      <w:marRight w:val="0"/>
      <w:marTop w:val="0"/>
      <w:marBottom w:val="0"/>
      <w:divBdr>
        <w:top w:val="none" w:sz="0" w:space="0" w:color="auto"/>
        <w:left w:val="none" w:sz="0" w:space="0" w:color="auto"/>
        <w:bottom w:val="none" w:sz="0" w:space="0" w:color="auto"/>
        <w:right w:val="none" w:sz="0" w:space="0" w:color="auto"/>
      </w:divBdr>
      <w:divsChild>
        <w:div w:id="1459421901">
          <w:marLeft w:val="0"/>
          <w:marRight w:val="0"/>
          <w:marTop w:val="0"/>
          <w:marBottom w:val="0"/>
          <w:divBdr>
            <w:top w:val="none" w:sz="0" w:space="0" w:color="auto"/>
            <w:left w:val="none" w:sz="0" w:space="0" w:color="auto"/>
            <w:bottom w:val="none" w:sz="0" w:space="0" w:color="auto"/>
            <w:right w:val="none" w:sz="0" w:space="0" w:color="auto"/>
          </w:divBdr>
          <w:divsChild>
            <w:div w:id="20381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3120">
      <w:bodyDiv w:val="1"/>
      <w:marLeft w:val="0"/>
      <w:marRight w:val="0"/>
      <w:marTop w:val="0"/>
      <w:marBottom w:val="0"/>
      <w:divBdr>
        <w:top w:val="none" w:sz="0" w:space="0" w:color="auto"/>
        <w:left w:val="none" w:sz="0" w:space="0" w:color="auto"/>
        <w:bottom w:val="none" w:sz="0" w:space="0" w:color="auto"/>
        <w:right w:val="none" w:sz="0" w:space="0" w:color="auto"/>
      </w:divBdr>
    </w:div>
    <w:div w:id="904023339">
      <w:bodyDiv w:val="1"/>
      <w:marLeft w:val="0"/>
      <w:marRight w:val="0"/>
      <w:marTop w:val="0"/>
      <w:marBottom w:val="0"/>
      <w:divBdr>
        <w:top w:val="none" w:sz="0" w:space="0" w:color="auto"/>
        <w:left w:val="none" w:sz="0" w:space="0" w:color="auto"/>
        <w:bottom w:val="none" w:sz="0" w:space="0" w:color="auto"/>
        <w:right w:val="none" w:sz="0" w:space="0" w:color="auto"/>
      </w:divBdr>
    </w:div>
    <w:div w:id="1153722359">
      <w:bodyDiv w:val="1"/>
      <w:marLeft w:val="0"/>
      <w:marRight w:val="0"/>
      <w:marTop w:val="0"/>
      <w:marBottom w:val="0"/>
      <w:divBdr>
        <w:top w:val="none" w:sz="0" w:space="0" w:color="auto"/>
        <w:left w:val="none" w:sz="0" w:space="0" w:color="auto"/>
        <w:bottom w:val="none" w:sz="0" w:space="0" w:color="auto"/>
        <w:right w:val="none" w:sz="0" w:space="0" w:color="auto"/>
      </w:divBdr>
    </w:div>
    <w:div w:id="1163931317">
      <w:bodyDiv w:val="1"/>
      <w:marLeft w:val="0"/>
      <w:marRight w:val="0"/>
      <w:marTop w:val="0"/>
      <w:marBottom w:val="0"/>
      <w:divBdr>
        <w:top w:val="none" w:sz="0" w:space="0" w:color="auto"/>
        <w:left w:val="none" w:sz="0" w:space="0" w:color="auto"/>
        <w:bottom w:val="none" w:sz="0" w:space="0" w:color="auto"/>
        <w:right w:val="none" w:sz="0" w:space="0" w:color="auto"/>
      </w:divBdr>
      <w:divsChild>
        <w:div w:id="1813323903">
          <w:marLeft w:val="0"/>
          <w:marRight w:val="0"/>
          <w:marTop w:val="0"/>
          <w:marBottom w:val="0"/>
          <w:divBdr>
            <w:top w:val="none" w:sz="0" w:space="0" w:color="auto"/>
            <w:left w:val="none" w:sz="0" w:space="0" w:color="auto"/>
            <w:bottom w:val="none" w:sz="0" w:space="0" w:color="auto"/>
            <w:right w:val="none" w:sz="0" w:space="0" w:color="auto"/>
          </w:divBdr>
          <w:divsChild>
            <w:div w:id="9793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5030">
      <w:bodyDiv w:val="1"/>
      <w:marLeft w:val="0"/>
      <w:marRight w:val="0"/>
      <w:marTop w:val="0"/>
      <w:marBottom w:val="0"/>
      <w:divBdr>
        <w:top w:val="none" w:sz="0" w:space="0" w:color="auto"/>
        <w:left w:val="none" w:sz="0" w:space="0" w:color="auto"/>
        <w:bottom w:val="none" w:sz="0" w:space="0" w:color="auto"/>
        <w:right w:val="none" w:sz="0" w:space="0" w:color="auto"/>
      </w:divBdr>
    </w:div>
    <w:div w:id="1809737218">
      <w:bodyDiv w:val="1"/>
      <w:marLeft w:val="0"/>
      <w:marRight w:val="0"/>
      <w:marTop w:val="0"/>
      <w:marBottom w:val="0"/>
      <w:divBdr>
        <w:top w:val="none" w:sz="0" w:space="0" w:color="auto"/>
        <w:left w:val="none" w:sz="0" w:space="0" w:color="auto"/>
        <w:bottom w:val="none" w:sz="0" w:space="0" w:color="auto"/>
        <w:right w:val="none" w:sz="0" w:space="0" w:color="auto"/>
      </w:divBdr>
    </w:div>
    <w:div w:id="1961110283">
      <w:bodyDiv w:val="1"/>
      <w:marLeft w:val="0"/>
      <w:marRight w:val="0"/>
      <w:marTop w:val="0"/>
      <w:marBottom w:val="0"/>
      <w:divBdr>
        <w:top w:val="none" w:sz="0" w:space="0" w:color="auto"/>
        <w:left w:val="none" w:sz="0" w:space="0" w:color="auto"/>
        <w:bottom w:val="none" w:sz="0" w:space="0" w:color="auto"/>
        <w:right w:val="none" w:sz="0" w:space="0" w:color="auto"/>
      </w:divBdr>
      <w:divsChild>
        <w:div w:id="669604616">
          <w:marLeft w:val="0"/>
          <w:marRight w:val="0"/>
          <w:marTop w:val="0"/>
          <w:marBottom w:val="0"/>
          <w:divBdr>
            <w:top w:val="none" w:sz="0" w:space="0" w:color="auto"/>
            <w:left w:val="none" w:sz="0" w:space="0" w:color="auto"/>
            <w:bottom w:val="none" w:sz="0" w:space="0" w:color="auto"/>
            <w:right w:val="none" w:sz="0" w:space="0" w:color="auto"/>
          </w:divBdr>
          <w:divsChild>
            <w:div w:id="11427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9.xml"/><Relationship Id="rId42" Type="http://schemas.openxmlformats.org/officeDocument/2006/relationships/header" Target="header14.xml"/><Relationship Id="rId47" Type="http://schemas.microsoft.com/office/2011/relationships/commentsExtended" Target="commentsExtended.xml"/><Relationship Id="rId63" Type="http://schemas.openxmlformats.org/officeDocument/2006/relationships/header" Target="header21.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www.worldbank.org/en/projects-operations/products-and-services/grievance-redress-service" TargetMode="Externa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eader" Target="header23.xml"/><Relationship Id="rId5" Type="http://schemas.openxmlformats.org/officeDocument/2006/relationships/numbering" Target="numbering.xml"/><Relationship Id="rId61" Type="http://schemas.openxmlformats.org/officeDocument/2006/relationships/hyperlink" Target="http://data.uis.unesco.org/OECDStat_Metadata/ShowMetadata.ashx?Dataset=EDULIT_DS&amp;Coords=%5bEDULIT_IND%5d.%5bXGOVEXP_IMF_5T8%5d&amp;ShowOnWeb=true&amp;Lang=en" TargetMode="Externa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yperlink" Target="https://worldbankgroup.sharepoint.com/sites/Waterpractice/SitePages/Detail.aspx/Events/mode=view?_Id=1469&amp;SiteURL=/sites/Waterpractice/" TargetMode="Externa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header" Target="header15.xml"/><Relationship Id="rId48" Type="http://schemas.microsoft.com/office/2016/09/relationships/commentsIds" Target="commentsIds.xml"/><Relationship Id="rId56" Type="http://schemas.openxmlformats.org/officeDocument/2006/relationships/image" Target="media/image11.png"/><Relationship Id="rId64" Type="http://schemas.openxmlformats.org/officeDocument/2006/relationships/header" Target="header22.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data.uis.unesco.org/Index.aspx?DataSetCode=edulit_ds" TargetMode="External"/><Relationship Id="rId33" Type="http://schemas.openxmlformats.org/officeDocument/2006/relationships/hyperlink" Target="http://www.uemoa.int/fr" TargetMode="External"/><Relationship Id="rId38" Type="http://schemas.openxmlformats.org/officeDocument/2006/relationships/hyperlink" Target="http://www.inspectionpanel.org/" TargetMode="External"/><Relationship Id="rId46" Type="http://schemas.openxmlformats.org/officeDocument/2006/relationships/comments" Target="comments.xml"/><Relationship Id="rId59" Type="http://schemas.openxmlformats.org/officeDocument/2006/relationships/hyperlink" Target="http://data.uis.unesco.org/OECDStat_Metadata/ShowMetadata.ashx?Dataset=EDULIT_DS&amp;Coords=%5bEDULIT_IND%5d.%5bXGDP_FSGOV%5d&amp;ShowOnWeb=true&amp;Lang=en" TargetMode="Externa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image" Target="media/image9.png"/><Relationship Id="rId62" Type="http://schemas.openxmlformats.org/officeDocument/2006/relationships/hyperlink" Target="http://data.uis.unesco.org/OECDStat_Metadata/ShowMetadata.ashx?Dataset=EDULIT_DS&amp;Coords=%5bEDULIT_IND%5d.%5bXPUBP_5T8%5d&amp;ShowOnWeb=true&amp;Lang=e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worldbankgroup.sharepoint.com/sites/wbsites/independent-evaluation-group/SitePages/Detail.aspx/Documents/mode=view?_Id=287&amp;SiteURL=/sites/wbsites/independent-evaluation-group/" TargetMode="External"/><Relationship Id="rId36" Type="http://schemas.openxmlformats.org/officeDocument/2006/relationships/hyperlink" Target="https://policies.worldbank.org/sites/ppf3/PPFDocuments/Forms/DispPage.aspx?docid=4005&amp;ver=current" TargetMode="External"/><Relationship Id="rId49" Type="http://schemas.openxmlformats.org/officeDocument/2006/relationships/header" Target="header18.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yperlink" Target="http://data.uis.unesco.org/OECDStat_Metadata/ShowMetadata.ashx?Dataset=EDULIT_DS&amp;Coords=%5bEDULIT_IND%5d.%5bXGDP_5T8_FSGOV%5d&amp;ShowOnWeb=true&amp;Lang=en" TargetMode="Externa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12.xml"/><Relationship Id="rId34" Type="http://schemas.openxmlformats.org/officeDocument/2006/relationships/hyperlink" Target="https://www.cnrs.fr/" TargetMode="External"/><Relationship Id="rId50" Type="http://schemas.openxmlformats.org/officeDocument/2006/relationships/header" Target="header19.xml"/><Relationship Id="rId55"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hubs.worldbank.org/docs/ImageBank/Pages/DocProfile.aspx?nodeid=19316701" TargetMode="External"/><Relationship Id="rId2" Type="http://schemas.openxmlformats.org/officeDocument/2006/relationships/hyperlink" Target="https://hubs.worldbank.org/docs/ImageBank/Pages/DocProfile.aspx?nodeid=19316701" TargetMode="External"/><Relationship Id="rId1" Type="http://schemas.openxmlformats.org/officeDocument/2006/relationships/hyperlink" Target="http://documents.worldbank.org/curated/en/700111528428661825/Africa-Regional-integration-cooperation-assistance-strategy-for-the-period-FY18-FY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810CB5">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810CB5" w:rsidP="00FC1B89">
          <w:pPr>
            <w:pStyle w:val="78ED5D8AF7FB4293B60F728F0F97B4DC"/>
          </w:pPr>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RDefault="00810CB5" w:rsidP="00C168DA">
          <w:pPr>
            <w:pStyle w:val="4C6F3F8C360047F3AC0EDCD46E696C86"/>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810CB5">
          <w:r>
            <w:t xml:space="preserve"> </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sidRDefault="00810CB5">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810CB5"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810CB5" w:rsidP="00683E2D">
          <w:pPr>
            <w:pStyle w:val="3F0B331C2F344760AE61C9A706D5C71921"/>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810CB5"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810CB5" w:rsidP="00683E2D">
          <w:pPr>
            <w:pStyle w:val="907ABA86110D43A3A29F78514338019420"/>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810CB5" w:rsidP="004A5840">
          <w:pPr>
            <w:pStyle w:val="5E63676D9F374CAE9D0AE4399CE26A60"/>
          </w:pPr>
          <w:r w:rsidRPr="00764859">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A5D37629-E033-407C-A03F-3E9608BA87AA}"/>
      </w:docPartPr>
      <w:docPartBody>
        <w:p w:rsidR="006A4F8A" w:rsidRDefault="00810CB5">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Arial,Times New Roman">
    <w:altName w:val="Times New Roman"/>
    <w:panose1 w:val="00000000000000000000"/>
    <w:charset w:val="00"/>
    <w:family w:val="roman"/>
    <w:notTrueType/>
    <w:pitch w:val="default"/>
  </w:font>
  <w:font w:name="Open Sans,Arial">
    <w:altName w:val="Segoe UI"/>
    <w:panose1 w:val="00000000000000000000"/>
    <w:charset w:val="00"/>
    <w:family w:val="roman"/>
    <w:notTrueType/>
    <w:pitch w:val="default"/>
  </w:font>
  <w:font w:name="Arial,Calibri,Times New Roman">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wiss721BT-LightCondensed">
    <w:altName w:val="Microsoft JhengHei"/>
    <w:panose1 w:val="00000000000000000000"/>
    <w:charset w:val="88"/>
    <w:family w:val="auto"/>
    <w:notTrueType/>
    <w:pitch w:val="default"/>
    <w:sig w:usb0="00000003" w:usb1="08080000" w:usb2="00000010"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80"/>
    <w:rsid w:val="00040119"/>
    <w:rsid w:val="0008051C"/>
    <w:rsid w:val="000B2495"/>
    <w:rsid w:val="000B2805"/>
    <w:rsid w:val="000B37A0"/>
    <w:rsid w:val="000B38A9"/>
    <w:rsid w:val="000D47E1"/>
    <w:rsid w:val="000D5C62"/>
    <w:rsid w:val="000E289F"/>
    <w:rsid w:val="000F539C"/>
    <w:rsid w:val="00105A34"/>
    <w:rsid w:val="00113892"/>
    <w:rsid w:val="00142693"/>
    <w:rsid w:val="00157E9E"/>
    <w:rsid w:val="00193A13"/>
    <w:rsid w:val="001A3B05"/>
    <w:rsid w:val="001E0ECD"/>
    <w:rsid w:val="001E741B"/>
    <w:rsid w:val="002059FA"/>
    <w:rsid w:val="002072C5"/>
    <w:rsid w:val="002162A5"/>
    <w:rsid w:val="00220C73"/>
    <w:rsid w:val="0026320E"/>
    <w:rsid w:val="0027654D"/>
    <w:rsid w:val="002B4B76"/>
    <w:rsid w:val="002D06DA"/>
    <w:rsid w:val="002D3097"/>
    <w:rsid w:val="002D4ABB"/>
    <w:rsid w:val="002E27CA"/>
    <w:rsid w:val="002E4D51"/>
    <w:rsid w:val="002F37DE"/>
    <w:rsid w:val="00312B3E"/>
    <w:rsid w:val="0033490A"/>
    <w:rsid w:val="00336CA6"/>
    <w:rsid w:val="003860D4"/>
    <w:rsid w:val="003C416D"/>
    <w:rsid w:val="003C7D38"/>
    <w:rsid w:val="003D0114"/>
    <w:rsid w:val="003E75D8"/>
    <w:rsid w:val="004167E7"/>
    <w:rsid w:val="004311E2"/>
    <w:rsid w:val="00431902"/>
    <w:rsid w:val="0045493F"/>
    <w:rsid w:val="00481963"/>
    <w:rsid w:val="00496E8C"/>
    <w:rsid w:val="004A1509"/>
    <w:rsid w:val="004A47F4"/>
    <w:rsid w:val="004A5840"/>
    <w:rsid w:val="004B08E9"/>
    <w:rsid w:val="004B4E54"/>
    <w:rsid w:val="004C02E9"/>
    <w:rsid w:val="004D09C8"/>
    <w:rsid w:val="004D6E42"/>
    <w:rsid w:val="004E00F6"/>
    <w:rsid w:val="004E06A6"/>
    <w:rsid w:val="00504349"/>
    <w:rsid w:val="00507B0C"/>
    <w:rsid w:val="00544451"/>
    <w:rsid w:val="0054598E"/>
    <w:rsid w:val="00553535"/>
    <w:rsid w:val="00583D80"/>
    <w:rsid w:val="005A12D2"/>
    <w:rsid w:val="005A758B"/>
    <w:rsid w:val="005B3AF6"/>
    <w:rsid w:val="005B47AF"/>
    <w:rsid w:val="005B7710"/>
    <w:rsid w:val="005D3509"/>
    <w:rsid w:val="005F1AB4"/>
    <w:rsid w:val="00626B5B"/>
    <w:rsid w:val="00644904"/>
    <w:rsid w:val="00647D36"/>
    <w:rsid w:val="0066214E"/>
    <w:rsid w:val="006640C2"/>
    <w:rsid w:val="00666294"/>
    <w:rsid w:val="00676121"/>
    <w:rsid w:val="00683E2D"/>
    <w:rsid w:val="00694F98"/>
    <w:rsid w:val="006A274F"/>
    <w:rsid w:val="006A3F0D"/>
    <w:rsid w:val="006A4F8A"/>
    <w:rsid w:val="006C5290"/>
    <w:rsid w:val="006C5E80"/>
    <w:rsid w:val="006D1E9C"/>
    <w:rsid w:val="006D381C"/>
    <w:rsid w:val="006D4B6B"/>
    <w:rsid w:val="00724137"/>
    <w:rsid w:val="00731353"/>
    <w:rsid w:val="00736032"/>
    <w:rsid w:val="00742090"/>
    <w:rsid w:val="00763194"/>
    <w:rsid w:val="00764FD3"/>
    <w:rsid w:val="00776CF5"/>
    <w:rsid w:val="007773E7"/>
    <w:rsid w:val="00797A05"/>
    <w:rsid w:val="007A300E"/>
    <w:rsid w:val="007B25F5"/>
    <w:rsid w:val="007E085D"/>
    <w:rsid w:val="007F539D"/>
    <w:rsid w:val="00810CB5"/>
    <w:rsid w:val="00821EDA"/>
    <w:rsid w:val="00842FCD"/>
    <w:rsid w:val="0087166B"/>
    <w:rsid w:val="008A49FB"/>
    <w:rsid w:val="008B47E2"/>
    <w:rsid w:val="008C3F09"/>
    <w:rsid w:val="008E1129"/>
    <w:rsid w:val="008E7D29"/>
    <w:rsid w:val="00914A80"/>
    <w:rsid w:val="009278B5"/>
    <w:rsid w:val="00932042"/>
    <w:rsid w:val="00934F48"/>
    <w:rsid w:val="00935661"/>
    <w:rsid w:val="00936B0E"/>
    <w:rsid w:val="009441F0"/>
    <w:rsid w:val="00965623"/>
    <w:rsid w:val="00970540"/>
    <w:rsid w:val="009736F5"/>
    <w:rsid w:val="009B3C73"/>
    <w:rsid w:val="009E54A1"/>
    <w:rsid w:val="009E76DF"/>
    <w:rsid w:val="009F0E32"/>
    <w:rsid w:val="009F5488"/>
    <w:rsid w:val="00A33626"/>
    <w:rsid w:val="00A33880"/>
    <w:rsid w:val="00A57493"/>
    <w:rsid w:val="00A57554"/>
    <w:rsid w:val="00A7738D"/>
    <w:rsid w:val="00AC79B4"/>
    <w:rsid w:val="00AD6D6F"/>
    <w:rsid w:val="00AE4EC4"/>
    <w:rsid w:val="00AE795F"/>
    <w:rsid w:val="00B03BA0"/>
    <w:rsid w:val="00B0412B"/>
    <w:rsid w:val="00B41432"/>
    <w:rsid w:val="00B535DE"/>
    <w:rsid w:val="00B568DB"/>
    <w:rsid w:val="00B6726F"/>
    <w:rsid w:val="00B85A29"/>
    <w:rsid w:val="00BA15E3"/>
    <w:rsid w:val="00BC640E"/>
    <w:rsid w:val="00BD1169"/>
    <w:rsid w:val="00BE788D"/>
    <w:rsid w:val="00C023BA"/>
    <w:rsid w:val="00C168DA"/>
    <w:rsid w:val="00C24046"/>
    <w:rsid w:val="00C55F97"/>
    <w:rsid w:val="00C76270"/>
    <w:rsid w:val="00C77187"/>
    <w:rsid w:val="00C80150"/>
    <w:rsid w:val="00C90A7B"/>
    <w:rsid w:val="00CB0AFE"/>
    <w:rsid w:val="00CC6DFD"/>
    <w:rsid w:val="00CE2633"/>
    <w:rsid w:val="00CE7E25"/>
    <w:rsid w:val="00D07F53"/>
    <w:rsid w:val="00D217A0"/>
    <w:rsid w:val="00D30A23"/>
    <w:rsid w:val="00D3448F"/>
    <w:rsid w:val="00D54BB2"/>
    <w:rsid w:val="00D54EE8"/>
    <w:rsid w:val="00D5566D"/>
    <w:rsid w:val="00D65785"/>
    <w:rsid w:val="00D9230A"/>
    <w:rsid w:val="00D95A72"/>
    <w:rsid w:val="00DB1C4A"/>
    <w:rsid w:val="00DC1AEB"/>
    <w:rsid w:val="00DD0C1B"/>
    <w:rsid w:val="00DD54AB"/>
    <w:rsid w:val="00DE72E0"/>
    <w:rsid w:val="00DF207E"/>
    <w:rsid w:val="00DF2D9F"/>
    <w:rsid w:val="00DF5D2F"/>
    <w:rsid w:val="00E24746"/>
    <w:rsid w:val="00E25591"/>
    <w:rsid w:val="00E33705"/>
    <w:rsid w:val="00E40A5F"/>
    <w:rsid w:val="00E51E19"/>
    <w:rsid w:val="00E551E7"/>
    <w:rsid w:val="00E66990"/>
    <w:rsid w:val="00E67C66"/>
    <w:rsid w:val="00E80A7F"/>
    <w:rsid w:val="00E911C9"/>
    <w:rsid w:val="00E94695"/>
    <w:rsid w:val="00EA75E9"/>
    <w:rsid w:val="00EC6C64"/>
    <w:rsid w:val="00ED664A"/>
    <w:rsid w:val="00EE16F1"/>
    <w:rsid w:val="00EF14A2"/>
    <w:rsid w:val="00EF3D98"/>
    <w:rsid w:val="00F03DB4"/>
    <w:rsid w:val="00F12E0E"/>
    <w:rsid w:val="00F32A6C"/>
    <w:rsid w:val="00F40B39"/>
    <w:rsid w:val="00F41C3E"/>
    <w:rsid w:val="00F51343"/>
    <w:rsid w:val="00F64218"/>
    <w:rsid w:val="00F710E6"/>
    <w:rsid w:val="00FB498F"/>
    <w:rsid w:val="00FB4D22"/>
    <w:rsid w:val="00FC1B89"/>
    <w:rsid w:val="00FE4E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3E2D"/>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823FF282A98E4B8198708CF03F88532E">
    <w:name w:val="823FF282A98E4B8198708CF03F88532E"/>
    <w:rsid w:val="002D3097"/>
  </w:style>
  <w:style w:type="paragraph" w:customStyle="1" w:styleId="2E84E3F786E742E7899D0B76C8A30471">
    <w:name w:val="2E84E3F786E742E7899D0B76C8A30471"/>
    <w:rsid w:val="002D3097"/>
  </w:style>
  <w:style w:type="paragraph" w:customStyle="1" w:styleId="907ABA86110D43A3A29F78514338019411">
    <w:name w:val="907ABA86110D43A3A29F78514338019411"/>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683E2D"/>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3b55f244e7ed99fdaa04740113257ceb">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b950b0fdd45fe9e76d7a9be5c5aaa8ab"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A6D54-5CFE-4B9F-A018-41A9C201FFEA}">
  <ds:schemaRefs>
    <ds:schemaRef ds:uri="http://schemas.microsoft.com/office/infopath/2007/PartnerControls"/>
    <ds:schemaRef ds:uri="http://schemas.microsoft.com/office/2006/metadata/properties"/>
    <ds:schemaRef ds:uri="http://schemas.microsoft.com/office/2006/documentManagement/types"/>
    <ds:schemaRef ds:uri="543abfbf-1b39-4535-8b1b-c72a4cdaa484"/>
    <ds:schemaRef ds:uri="http://purl.org/dc/elements/1.1/"/>
    <ds:schemaRef ds:uri="http://purl.org/dc/terms/"/>
    <ds:schemaRef ds:uri="2834bc84-a818-4cb9-8b4d-5179cfe104eb"/>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A70CF07-2DA2-4776-8C29-ED4C15F5A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FC7086-0080-4228-9B7A-A1305F810B52}">
  <ds:schemaRefs>
    <ds:schemaRef ds:uri="http://schemas.microsoft.com/sharepoint/v3/contenttype/forms"/>
  </ds:schemaRefs>
</ds:datastoreItem>
</file>

<file path=customXml/itemProps4.xml><?xml version="1.0" encoding="utf-8"?>
<ds:datastoreItem xmlns:ds="http://schemas.openxmlformats.org/officeDocument/2006/customXml" ds:itemID="{CC5DBDB1-0C47-4B5F-9F72-12CEBDAD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168</Pages>
  <Words>62183</Words>
  <Characters>354445</Characters>
  <Application>Microsoft Office Word</Application>
  <DocSecurity>0</DocSecurity>
  <Lines>2953</Lines>
  <Paragraphs>831</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415797</CharactersWithSpaces>
  <SharedDoc>false</SharedDoc>
  <HLinks>
    <vt:vector size="270" baseType="variant">
      <vt:variant>
        <vt:i4>7012471</vt:i4>
      </vt:variant>
      <vt:variant>
        <vt:i4>618</vt:i4>
      </vt:variant>
      <vt:variant>
        <vt:i4>0</vt:i4>
      </vt:variant>
      <vt:variant>
        <vt:i4>5</vt:i4>
      </vt:variant>
      <vt:variant>
        <vt:lpwstr>http://data.uis.unesco.org/OECDStat_Metadata/ShowMetadata.ashx?Dataset=EDULIT_DS&amp;Coords=%5bEDULIT_IND%5d.%5bXPUBP_5T8%5d&amp;ShowOnWeb=true&amp;Lang=en</vt:lpwstr>
      </vt:variant>
      <vt:variant>
        <vt:lpwstr/>
      </vt:variant>
      <vt:variant>
        <vt:i4>2228231</vt:i4>
      </vt:variant>
      <vt:variant>
        <vt:i4>615</vt:i4>
      </vt:variant>
      <vt:variant>
        <vt:i4>0</vt:i4>
      </vt:variant>
      <vt:variant>
        <vt:i4>5</vt:i4>
      </vt:variant>
      <vt:variant>
        <vt:lpwstr>http://data.uis.unesco.org/OECDStat_Metadata/ShowMetadata.ashx?Dataset=EDULIT_DS&amp;Coords=%5bEDULIT_IND%5d.%5bXGOVEXP_IMF_5T8%5d&amp;ShowOnWeb=true&amp;Lang=en</vt:lpwstr>
      </vt:variant>
      <vt:variant>
        <vt:lpwstr/>
      </vt:variant>
      <vt:variant>
        <vt:i4>2097154</vt:i4>
      </vt:variant>
      <vt:variant>
        <vt:i4>612</vt:i4>
      </vt:variant>
      <vt:variant>
        <vt:i4>0</vt:i4>
      </vt:variant>
      <vt:variant>
        <vt:i4>5</vt:i4>
      </vt:variant>
      <vt:variant>
        <vt:lpwstr>http://data.uis.unesco.org/OECDStat_Metadata/ShowMetadata.ashx?Dataset=EDULIT_DS&amp;Coords=%5bEDULIT_IND%5d.%5bXGDP_5T8_FSGOV%5d&amp;ShowOnWeb=true&amp;Lang=en</vt:lpwstr>
      </vt:variant>
      <vt:variant>
        <vt:lpwstr/>
      </vt:variant>
      <vt:variant>
        <vt:i4>2949161</vt:i4>
      </vt:variant>
      <vt:variant>
        <vt:i4>609</vt:i4>
      </vt:variant>
      <vt:variant>
        <vt:i4>0</vt:i4>
      </vt:variant>
      <vt:variant>
        <vt:i4>5</vt:i4>
      </vt:variant>
      <vt:variant>
        <vt:lpwstr>http://data.uis.unesco.org/OECDStat_Metadata/ShowMetadata.ashx?Dataset=EDULIT_DS&amp;Coords=%5bEDULIT_IND%5d.%5bXGDP_FSGOV%5d&amp;ShowOnWeb=true&amp;Lang=en</vt:lpwstr>
      </vt:variant>
      <vt:variant>
        <vt:lpwstr/>
      </vt:variant>
      <vt:variant>
        <vt:i4>3473522</vt:i4>
      </vt:variant>
      <vt:variant>
        <vt:i4>606</vt:i4>
      </vt:variant>
      <vt:variant>
        <vt:i4>0</vt:i4>
      </vt:variant>
      <vt:variant>
        <vt:i4>5</vt:i4>
      </vt:variant>
      <vt:variant>
        <vt:lpwstr>http://www.inspectionpanel.org/</vt:lpwstr>
      </vt:variant>
      <vt:variant>
        <vt:lpwstr/>
      </vt:variant>
      <vt:variant>
        <vt:i4>6881379</vt:i4>
      </vt:variant>
      <vt:variant>
        <vt:i4>603</vt:i4>
      </vt:variant>
      <vt:variant>
        <vt:i4>0</vt:i4>
      </vt:variant>
      <vt:variant>
        <vt:i4>5</vt:i4>
      </vt:variant>
      <vt:variant>
        <vt:lpwstr>http://www.worldbank.org/en/projects-operations/products-and-services/grievance-redress-service</vt:lpwstr>
      </vt:variant>
      <vt:variant>
        <vt:lpwstr/>
      </vt:variant>
      <vt:variant>
        <vt:i4>1441802</vt:i4>
      </vt:variant>
      <vt:variant>
        <vt:i4>600</vt:i4>
      </vt:variant>
      <vt:variant>
        <vt:i4>0</vt:i4>
      </vt:variant>
      <vt:variant>
        <vt:i4>5</vt:i4>
      </vt:variant>
      <vt:variant>
        <vt:lpwstr>https://policies.worldbank.org/sites/ppf3/PPFDocuments/Forms/DispPage.aspx?docid=4005&amp;ver=current</vt:lpwstr>
      </vt:variant>
      <vt:variant>
        <vt:lpwstr/>
      </vt:variant>
      <vt:variant>
        <vt:i4>1835021</vt:i4>
      </vt:variant>
      <vt:variant>
        <vt:i4>597</vt:i4>
      </vt:variant>
      <vt:variant>
        <vt:i4>0</vt:i4>
      </vt:variant>
      <vt:variant>
        <vt:i4>5</vt:i4>
      </vt:variant>
      <vt:variant>
        <vt:lpwstr>https://www.cnrs.fr/</vt:lpwstr>
      </vt:variant>
      <vt:variant>
        <vt:lpwstr/>
      </vt:variant>
      <vt:variant>
        <vt:i4>2687029</vt:i4>
      </vt:variant>
      <vt:variant>
        <vt:i4>594</vt:i4>
      </vt:variant>
      <vt:variant>
        <vt:i4>0</vt:i4>
      </vt:variant>
      <vt:variant>
        <vt:i4>5</vt:i4>
      </vt:variant>
      <vt:variant>
        <vt:lpwstr>http://www.uemoa.int/fr</vt:lpwstr>
      </vt:variant>
      <vt:variant>
        <vt:lpwstr/>
      </vt:variant>
      <vt:variant>
        <vt:i4>1245230</vt:i4>
      </vt:variant>
      <vt:variant>
        <vt:i4>591</vt:i4>
      </vt:variant>
      <vt:variant>
        <vt:i4>0</vt:i4>
      </vt:variant>
      <vt:variant>
        <vt:i4>5</vt:i4>
      </vt:variant>
      <vt:variant>
        <vt:lpwstr>https://worldbankgroup.sharepoint.com/sites/wbsites/independent-evaluation-group/SitePages/Detail.aspx/Documents/mode=view?_Id=287&amp;SiteURL=/sites/wbsites/independent-evaluation-group/</vt:lpwstr>
      </vt:variant>
      <vt:variant>
        <vt:lpwstr/>
      </vt:variant>
      <vt:variant>
        <vt:i4>65640</vt:i4>
      </vt:variant>
      <vt:variant>
        <vt:i4>588</vt:i4>
      </vt:variant>
      <vt:variant>
        <vt:i4>0</vt:i4>
      </vt:variant>
      <vt:variant>
        <vt:i4>5</vt:i4>
      </vt:variant>
      <vt:variant>
        <vt:lpwstr>https://worldbankgroup.sharepoint.com/sites/Waterpractice/SitePages/Detail.aspx/Events/mode=view?_Id=1469&amp;SiteURL=/sites/Waterpractice/</vt:lpwstr>
      </vt:variant>
      <vt:variant>
        <vt:lpwstr/>
      </vt:variant>
      <vt:variant>
        <vt:i4>3407898</vt:i4>
      </vt:variant>
      <vt:variant>
        <vt:i4>585</vt:i4>
      </vt:variant>
      <vt:variant>
        <vt:i4>0</vt:i4>
      </vt:variant>
      <vt:variant>
        <vt:i4>5</vt:i4>
      </vt:variant>
      <vt:variant>
        <vt:lpwstr>http://data.uis.unesco.org/Index.aspx?DataSetCode=edulit_ds</vt:lpwstr>
      </vt:variant>
      <vt:variant>
        <vt:lpwstr/>
      </vt:variant>
      <vt:variant>
        <vt:i4>1638451</vt:i4>
      </vt:variant>
      <vt:variant>
        <vt:i4>176</vt:i4>
      </vt:variant>
      <vt:variant>
        <vt:i4>0</vt:i4>
      </vt:variant>
      <vt:variant>
        <vt:i4>5</vt:i4>
      </vt:variant>
      <vt:variant>
        <vt:lpwstr/>
      </vt:variant>
      <vt:variant>
        <vt:lpwstr>_Toc23930688</vt:lpwstr>
      </vt:variant>
      <vt:variant>
        <vt:i4>1441843</vt:i4>
      </vt:variant>
      <vt:variant>
        <vt:i4>170</vt:i4>
      </vt:variant>
      <vt:variant>
        <vt:i4>0</vt:i4>
      </vt:variant>
      <vt:variant>
        <vt:i4>5</vt:i4>
      </vt:variant>
      <vt:variant>
        <vt:lpwstr/>
      </vt:variant>
      <vt:variant>
        <vt:lpwstr>_Toc23930687</vt:lpwstr>
      </vt:variant>
      <vt:variant>
        <vt:i4>1507379</vt:i4>
      </vt:variant>
      <vt:variant>
        <vt:i4>164</vt:i4>
      </vt:variant>
      <vt:variant>
        <vt:i4>0</vt:i4>
      </vt:variant>
      <vt:variant>
        <vt:i4>5</vt:i4>
      </vt:variant>
      <vt:variant>
        <vt:lpwstr/>
      </vt:variant>
      <vt:variant>
        <vt:lpwstr>_Toc23930686</vt:lpwstr>
      </vt:variant>
      <vt:variant>
        <vt:i4>1310771</vt:i4>
      </vt:variant>
      <vt:variant>
        <vt:i4>158</vt:i4>
      </vt:variant>
      <vt:variant>
        <vt:i4>0</vt:i4>
      </vt:variant>
      <vt:variant>
        <vt:i4>5</vt:i4>
      </vt:variant>
      <vt:variant>
        <vt:lpwstr/>
      </vt:variant>
      <vt:variant>
        <vt:lpwstr>_Toc23930685</vt:lpwstr>
      </vt:variant>
      <vt:variant>
        <vt:i4>1376307</vt:i4>
      </vt:variant>
      <vt:variant>
        <vt:i4>152</vt:i4>
      </vt:variant>
      <vt:variant>
        <vt:i4>0</vt:i4>
      </vt:variant>
      <vt:variant>
        <vt:i4>5</vt:i4>
      </vt:variant>
      <vt:variant>
        <vt:lpwstr/>
      </vt:variant>
      <vt:variant>
        <vt:lpwstr>_Toc23930684</vt:lpwstr>
      </vt:variant>
      <vt:variant>
        <vt:i4>1179699</vt:i4>
      </vt:variant>
      <vt:variant>
        <vt:i4>146</vt:i4>
      </vt:variant>
      <vt:variant>
        <vt:i4>0</vt:i4>
      </vt:variant>
      <vt:variant>
        <vt:i4>5</vt:i4>
      </vt:variant>
      <vt:variant>
        <vt:lpwstr/>
      </vt:variant>
      <vt:variant>
        <vt:lpwstr>_Toc23930683</vt:lpwstr>
      </vt:variant>
      <vt:variant>
        <vt:i4>1245235</vt:i4>
      </vt:variant>
      <vt:variant>
        <vt:i4>140</vt:i4>
      </vt:variant>
      <vt:variant>
        <vt:i4>0</vt:i4>
      </vt:variant>
      <vt:variant>
        <vt:i4>5</vt:i4>
      </vt:variant>
      <vt:variant>
        <vt:lpwstr/>
      </vt:variant>
      <vt:variant>
        <vt:lpwstr>_Toc23930682</vt:lpwstr>
      </vt:variant>
      <vt:variant>
        <vt:i4>1048627</vt:i4>
      </vt:variant>
      <vt:variant>
        <vt:i4>134</vt:i4>
      </vt:variant>
      <vt:variant>
        <vt:i4>0</vt:i4>
      </vt:variant>
      <vt:variant>
        <vt:i4>5</vt:i4>
      </vt:variant>
      <vt:variant>
        <vt:lpwstr/>
      </vt:variant>
      <vt:variant>
        <vt:lpwstr>_Toc23930681</vt:lpwstr>
      </vt:variant>
      <vt:variant>
        <vt:i4>1114163</vt:i4>
      </vt:variant>
      <vt:variant>
        <vt:i4>128</vt:i4>
      </vt:variant>
      <vt:variant>
        <vt:i4>0</vt:i4>
      </vt:variant>
      <vt:variant>
        <vt:i4>5</vt:i4>
      </vt:variant>
      <vt:variant>
        <vt:lpwstr/>
      </vt:variant>
      <vt:variant>
        <vt:lpwstr>_Toc23930680</vt:lpwstr>
      </vt:variant>
      <vt:variant>
        <vt:i4>1572924</vt:i4>
      </vt:variant>
      <vt:variant>
        <vt:i4>122</vt:i4>
      </vt:variant>
      <vt:variant>
        <vt:i4>0</vt:i4>
      </vt:variant>
      <vt:variant>
        <vt:i4>5</vt:i4>
      </vt:variant>
      <vt:variant>
        <vt:lpwstr/>
      </vt:variant>
      <vt:variant>
        <vt:lpwstr>_Toc23930679</vt:lpwstr>
      </vt:variant>
      <vt:variant>
        <vt:i4>1638460</vt:i4>
      </vt:variant>
      <vt:variant>
        <vt:i4>116</vt:i4>
      </vt:variant>
      <vt:variant>
        <vt:i4>0</vt:i4>
      </vt:variant>
      <vt:variant>
        <vt:i4>5</vt:i4>
      </vt:variant>
      <vt:variant>
        <vt:lpwstr/>
      </vt:variant>
      <vt:variant>
        <vt:lpwstr>_Toc23930678</vt:lpwstr>
      </vt:variant>
      <vt:variant>
        <vt:i4>1441852</vt:i4>
      </vt:variant>
      <vt:variant>
        <vt:i4>110</vt:i4>
      </vt:variant>
      <vt:variant>
        <vt:i4>0</vt:i4>
      </vt:variant>
      <vt:variant>
        <vt:i4>5</vt:i4>
      </vt:variant>
      <vt:variant>
        <vt:lpwstr/>
      </vt:variant>
      <vt:variant>
        <vt:lpwstr>_Toc23930677</vt:lpwstr>
      </vt:variant>
      <vt:variant>
        <vt:i4>1507388</vt:i4>
      </vt:variant>
      <vt:variant>
        <vt:i4>104</vt:i4>
      </vt:variant>
      <vt:variant>
        <vt:i4>0</vt:i4>
      </vt:variant>
      <vt:variant>
        <vt:i4>5</vt:i4>
      </vt:variant>
      <vt:variant>
        <vt:lpwstr/>
      </vt:variant>
      <vt:variant>
        <vt:lpwstr>_Toc23930676</vt:lpwstr>
      </vt:variant>
      <vt:variant>
        <vt:i4>1310780</vt:i4>
      </vt:variant>
      <vt:variant>
        <vt:i4>98</vt:i4>
      </vt:variant>
      <vt:variant>
        <vt:i4>0</vt:i4>
      </vt:variant>
      <vt:variant>
        <vt:i4>5</vt:i4>
      </vt:variant>
      <vt:variant>
        <vt:lpwstr/>
      </vt:variant>
      <vt:variant>
        <vt:lpwstr>_Toc23930675</vt:lpwstr>
      </vt:variant>
      <vt:variant>
        <vt:i4>1376316</vt:i4>
      </vt:variant>
      <vt:variant>
        <vt:i4>92</vt:i4>
      </vt:variant>
      <vt:variant>
        <vt:i4>0</vt:i4>
      </vt:variant>
      <vt:variant>
        <vt:i4>5</vt:i4>
      </vt:variant>
      <vt:variant>
        <vt:lpwstr/>
      </vt:variant>
      <vt:variant>
        <vt:lpwstr>_Toc23930674</vt:lpwstr>
      </vt:variant>
      <vt:variant>
        <vt:i4>1179708</vt:i4>
      </vt:variant>
      <vt:variant>
        <vt:i4>86</vt:i4>
      </vt:variant>
      <vt:variant>
        <vt:i4>0</vt:i4>
      </vt:variant>
      <vt:variant>
        <vt:i4>5</vt:i4>
      </vt:variant>
      <vt:variant>
        <vt:lpwstr/>
      </vt:variant>
      <vt:variant>
        <vt:lpwstr>_Toc23930673</vt:lpwstr>
      </vt:variant>
      <vt:variant>
        <vt:i4>1245244</vt:i4>
      </vt:variant>
      <vt:variant>
        <vt:i4>80</vt:i4>
      </vt:variant>
      <vt:variant>
        <vt:i4>0</vt:i4>
      </vt:variant>
      <vt:variant>
        <vt:i4>5</vt:i4>
      </vt:variant>
      <vt:variant>
        <vt:lpwstr/>
      </vt:variant>
      <vt:variant>
        <vt:lpwstr>_Toc23930672</vt:lpwstr>
      </vt:variant>
      <vt:variant>
        <vt:i4>1048636</vt:i4>
      </vt:variant>
      <vt:variant>
        <vt:i4>74</vt:i4>
      </vt:variant>
      <vt:variant>
        <vt:i4>0</vt:i4>
      </vt:variant>
      <vt:variant>
        <vt:i4>5</vt:i4>
      </vt:variant>
      <vt:variant>
        <vt:lpwstr/>
      </vt:variant>
      <vt:variant>
        <vt:lpwstr>_Toc23930671</vt:lpwstr>
      </vt:variant>
      <vt:variant>
        <vt:i4>1114172</vt:i4>
      </vt:variant>
      <vt:variant>
        <vt:i4>68</vt:i4>
      </vt:variant>
      <vt:variant>
        <vt:i4>0</vt:i4>
      </vt:variant>
      <vt:variant>
        <vt:i4>5</vt:i4>
      </vt:variant>
      <vt:variant>
        <vt:lpwstr/>
      </vt:variant>
      <vt:variant>
        <vt:lpwstr>_Toc23930670</vt:lpwstr>
      </vt:variant>
      <vt:variant>
        <vt:i4>1572925</vt:i4>
      </vt:variant>
      <vt:variant>
        <vt:i4>62</vt:i4>
      </vt:variant>
      <vt:variant>
        <vt:i4>0</vt:i4>
      </vt:variant>
      <vt:variant>
        <vt:i4>5</vt:i4>
      </vt:variant>
      <vt:variant>
        <vt:lpwstr/>
      </vt:variant>
      <vt:variant>
        <vt:lpwstr>_Toc23930669</vt:lpwstr>
      </vt:variant>
      <vt:variant>
        <vt:i4>1638461</vt:i4>
      </vt:variant>
      <vt:variant>
        <vt:i4>56</vt:i4>
      </vt:variant>
      <vt:variant>
        <vt:i4>0</vt:i4>
      </vt:variant>
      <vt:variant>
        <vt:i4>5</vt:i4>
      </vt:variant>
      <vt:variant>
        <vt:lpwstr/>
      </vt:variant>
      <vt:variant>
        <vt:lpwstr>_Toc23930668</vt:lpwstr>
      </vt:variant>
      <vt:variant>
        <vt:i4>1441853</vt:i4>
      </vt:variant>
      <vt:variant>
        <vt:i4>50</vt:i4>
      </vt:variant>
      <vt:variant>
        <vt:i4>0</vt:i4>
      </vt:variant>
      <vt:variant>
        <vt:i4>5</vt:i4>
      </vt:variant>
      <vt:variant>
        <vt:lpwstr/>
      </vt:variant>
      <vt:variant>
        <vt:lpwstr>_Toc23930667</vt:lpwstr>
      </vt:variant>
      <vt:variant>
        <vt:i4>1507389</vt:i4>
      </vt:variant>
      <vt:variant>
        <vt:i4>44</vt:i4>
      </vt:variant>
      <vt:variant>
        <vt:i4>0</vt:i4>
      </vt:variant>
      <vt:variant>
        <vt:i4>5</vt:i4>
      </vt:variant>
      <vt:variant>
        <vt:lpwstr/>
      </vt:variant>
      <vt:variant>
        <vt:lpwstr>_Toc23930666</vt:lpwstr>
      </vt:variant>
      <vt:variant>
        <vt:i4>1310781</vt:i4>
      </vt:variant>
      <vt:variant>
        <vt:i4>38</vt:i4>
      </vt:variant>
      <vt:variant>
        <vt:i4>0</vt:i4>
      </vt:variant>
      <vt:variant>
        <vt:i4>5</vt:i4>
      </vt:variant>
      <vt:variant>
        <vt:lpwstr/>
      </vt:variant>
      <vt:variant>
        <vt:lpwstr>_Toc23930665</vt:lpwstr>
      </vt:variant>
      <vt:variant>
        <vt:i4>1376317</vt:i4>
      </vt:variant>
      <vt:variant>
        <vt:i4>32</vt:i4>
      </vt:variant>
      <vt:variant>
        <vt:i4>0</vt:i4>
      </vt:variant>
      <vt:variant>
        <vt:i4>5</vt:i4>
      </vt:variant>
      <vt:variant>
        <vt:lpwstr/>
      </vt:variant>
      <vt:variant>
        <vt:lpwstr>_Toc23930664</vt:lpwstr>
      </vt:variant>
      <vt:variant>
        <vt:i4>1179709</vt:i4>
      </vt:variant>
      <vt:variant>
        <vt:i4>26</vt:i4>
      </vt:variant>
      <vt:variant>
        <vt:i4>0</vt:i4>
      </vt:variant>
      <vt:variant>
        <vt:i4>5</vt:i4>
      </vt:variant>
      <vt:variant>
        <vt:lpwstr/>
      </vt:variant>
      <vt:variant>
        <vt:lpwstr>_Toc23930663</vt:lpwstr>
      </vt:variant>
      <vt:variant>
        <vt:i4>1245245</vt:i4>
      </vt:variant>
      <vt:variant>
        <vt:i4>20</vt:i4>
      </vt:variant>
      <vt:variant>
        <vt:i4>0</vt:i4>
      </vt:variant>
      <vt:variant>
        <vt:i4>5</vt:i4>
      </vt:variant>
      <vt:variant>
        <vt:lpwstr/>
      </vt:variant>
      <vt:variant>
        <vt:lpwstr>_Toc23930662</vt:lpwstr>
      </vt:variant>
      <vt:variant>
        <vt:i4>1048637</vt:i4>
      </vt:variant>
      <vt:variant>
        <vt:i4>14</vt:i4>
      </vt:variant>
      <vt:variant>
        <vt:i4>0</vt:i4>
      </vt:variant>
      <vt:variant>
        <vt:i4>5</vt:i4>
      </vt:variant>
      <vt:variant>
        <vt:lpwstr/>
      </vt:variant>
      <vt:variant>
        <vt:lpwstr>_Toc23930661</vt:lpwstr>
      </vt:variant>
      <vt:variant>
        <vt:i4>1114173</vt:i4>
      </vt:variant>
      <vt:variant>
        <vt:i4>8</vt:i4>
      </vt:variant>
      <vt:variant>
        <vt:i4>0</vt:i4>
      </vt:variant>
      <vt:variant>
        <vt:i4>5</vt:i4>
      </vt:variant>
      <vt:variant>
        <vt:lpwstr/>
      </vt:variant>
      <vt:variant>
        <vt:lpwstr>_Toc23930660</vt:lpwstr>
      </vt:variant>
      <vt:variant>
        <vt:i4>1572926</vt:i4>
      </vt:variant>
      <vt:variant>
        <vt:i4>2</vt:i4>
      </vt:variant>
      <vt:variant>
        <vt:i4>0</vt:i4>
      </vt:variant>
      <vt:variant>
        <vt:i4>5</vt:i4>
      </vt:variant>
      <vt:variant>
        <vt:lpwstr/>
      </vt:variant>
      <vt:variant>
        <vt:lpwstr>_Toc23930659</vt:lpwstr>
      </vt:variant>
      <vt:variant>
        <vt:i4>6684732</vt:i4>
      </vt:variant>
      <vt:variant>
        <vt:i4>6</vt:i4>
      </vt:variant>
      <vt:variant>
        <vt:i4>0</vt:i4>
      </vt:variant>
      <vt:variant>
        <vt:i4>5</vt:i4>
      </vt:variant>
      <vt:variant>
        <vt:lpwstr>https://hubs.worldbank.org/docs/ImageBank/Pages/DocProfile.aspx?nodeid=19316701</vt:lpwstr>
      </vt:variant>
      <vt:variant>
        <vt:lpwstr/>
      </vt:variant>
      <vt:variant>
        <vt:i4>6684732</vt:i4>
      </vt:variant>
      <vt:variant>
        <vt:i4>3</vt:i4>
      </vt:variant>
      <vt:variant>
        <vt:i4>0</vt:i4>
      </vt:variant>
      <vt:variant>
        <vt:i4>5</vt:i4>
      </vt:variant>
      <vt:variant>
        <vt:lpwstr>https://hubs.worldbank.org/docs/ImageBank/Pages/DocProfile.aspx?nodeid=19316701</vt:lpwstr>
      </vt:variant>
      <vt:variant>
        <vt:lpwstr/>
      </vt:variant>
      <vt:variant>
        <vt:i4>1441801</vt:i4>
      </vt:variant>
      <vt:variant>
        <vt:i4>0</vt:i4>
      </vt:variant>
      <vt:variant>
        <vt:i4>0</vt:i4>
      </vt:variant>
      <vt:variant>
        <vt:i4>5</vt:i4>
      </vt:variant>
      <vt:variant>
        <vt:lpwstr>http://documents.worldbank.org/curated/en/700111528428661825/Africa-Regional-integration-cooperation-assistance-strategy-for-the-period-FY18-FY23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subject/>
  <dc:creator>Ekua Nuama Bentil</dc:creator>
  <cp:keywords/>
  <cp:lastModifiedBy>M'Bahly Maud-Andree Kouadio IV</cp:lastModifiedBy>
  <cp:revision>8</cp:revision>
  <cp:lastPrinted>2019-11-06T19:05:00Z</cp:lastPrinted>
  <dcterms:created xsi:type="dcterms:W3CDTF">2019-12-02T22:06:00Z</dcterms:created>
  <dcterms:modified xsi:type="dcterms:W3CDTF">2019-12-02T22:22:00Z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APR:408.0</vt:lpwstr>
  </property>
  <property fmtid="{D5CDD505-2E9C-101B-9397-08002B2CF9AE}" pid="3" name="Authors">
    <vt:lpwstr/>
  </property>
  <property fmtid="{D5CDD505-2E9C-101B-9397-08002B2CF9AE}" pid="4" name="ContentTypeId">
    <vt:lpwstr>0x0101007787EA3DE823DC489E44BF4CD2C2AF9F</vt:lpwstr>
  </property>
  <property fmtid="{D5CDD505-2E9C-101B-9397-08002B2CF9AE}" pid="5" name="Cordis ID">
    <vt:lpwstr>ITM00201</vt:lpwstr>
  </property>
  <property fmtid="{D5CDD505-2E9C-101B-9397-08002B2CF9AE}" pid="6" name="DependentDoc">
    <vt:lpwstr>ITM00186</vt:lpwstr>
  </property>
  <property fmtid="{D5CDD505-2E9C-101B-9397-08002B2CF9AE}" pid="7" name="DisclosedVersion">
    <vt:lpwstr>APR:411.0</vt:lpwstr>
  </property>
  <property fmtid="{D5CDD505-2E9C-101B-9397-08002B2CF9AE}" pid="8" name="DocStatus">
    <vt:lpwstr>21</vt:lpwstr>
  </property>
  <property fmtid="{D5CDD505-2E9C-101B-9397-08002B2CF9AE}" pid="9" name="DocumentType">
    <vt:lpwstr>ITM00201</vt:lpwstr>
  </property>
  <property fmtid="{D5CDD505-2E9C-101B-9397-08002B2CF9AE}" pid="10" name="HasUserUploaded">
    <vt:bool>true</vt:bool>
  </property>
  <property fmtid="{D5CDD505-2E9C-101B-9397-08002B2CF9AE}" pid="11" name="IsHidden">
    <vt:bool>false</vt:bool>
  </property>
  <property fmtid="{D5CDD505-2E9C-101B-9397-08002B2CF9AE}" pid="12" name="IsMandatory">
    <vt:bool>true</vt:bool>
  </property>
  <property fmtid="{D5CDD505-2E9C-101B-9397-08002B2CF9AE}" pid="13" name="IsTemplate">
    <vt:bool>true</vt:bool>
  </property>
  <property fmtid="{D5CDD505-2E9C-101B-9397-08002B2CF9AE}" pid="14" name="LikedBy">
    <vt:lpwstr/>
  </property>
  <property fmtid="{D5CDD505-2E9C-101B-9397-08002B2CF9AE}" pid="15" name="Package">
    <vt:bool>true</vt:bool>
  </property>
  <property fmtid="{D5CDD505-2E9C-101B-9397-08002B2CF9AE}" pid="16" name="ProjectID">
    <vt:lpwstr>P169064</vt:lpwstr>
  </property>
  <property fmtid="{D5CDD505-2E9C-101B-9397-08002B2CF9AE}" pid="17" name="RatedBy">
    <vt:lpwstr/>
  </property>
  <property fmtid="{D5CDD505-2E9C-101B-9397-08002B2CF9AE}" pid="18" name="RefreshDate">
    <vt:filetime>2019-07-24T09:25:53Z</vt:filetime>
  </property>
  <property fmtid="{D5CDD505-2E9C-101B-9397-08002B2CF9AE}" pid="19" name="SAPStage">
    <vt:lpwstr>APR</vt:lpwstr>
  </property>
  <property fmtid="{D5CDD505-2E9C-101B-9397-08002B2CF9AE}" pid="20" name="SecurityClassification">
    <vt:lpwstr>Official use only</vt:lpwstr>
  </property>
  <property fmtid="{D5CDD505-2E9C-101B-9397-08002B2CF9AE}" pid="21" name="Stage">
    <vt:lpwstr>APR</vt:lpwstr>
  </property>
  <property fmtid="{D5CDD505-2E9C-101B-9397-08002B2CF9AE}" pid="22" name="Task ID">
    <vt:lpwstr>TSK7790866,TSK7790869,TSK7790870,TSK7790891,TSK7790895,TSK7790897,TSK7790926,TSK7791118</vt:lpwstr>
  </property>
  <property fmtid="{D5CDD505-2E9C-101B-9397-08002B2CF9AE}" pid="23" name="TemplateDocVersion">
    <vt:lpwstr>apr_4.0</vt:lpwstr>
  </property>
</Properties>
</file>